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5E792" w14:textId="42AE0714" w:rsidR="00333444" w:rsidRPr="008F64A0" w:rsidRDefault="004668E7" w:rsidP="00B4698D">
      <w:pPr>
        <w:pStyle w:val="Bezatstarpm"/>
      </w:pPr>
      <w:r w:rsidRPr="008F64A0">
        <w:rPr>
          <w:noProof/>
        </w:rPr>
        <w:drawing>
          <wp:anchor distT="0" distB="0" distL="114300" distR="114300" simplePos="0" relativeHeight="251658244" behindDoc="0" locked="0" layoutInCell="1" allowOverlap="1" wp14:anchorId="42B454A5" wp14:editId="03E6ECB0">
            <wp:simplePos x="0" y="0"/>
            <wp:positionH relativeFrom="margin">
              <wp:posOffset>3745230</wp:posOffset>
            </wp:positionH>
            <wp:positionV relativeFrom="margin">
              <wp:posOffset>-657225</wp:posOffset>
            </wp:positionV>
            <wp:extent cx="1219200" cy="812165"/>
            <wp:effectExtent l="0" t="0" r="0" b="6985"/>
            <wp:wrapSquare wrapText="bothSides"/>
            <wp:docPr id="2" name="Picture 6" descr="Attēls, kurā ir zvaigzne, karogs, zils, Elektriski zila&#10;&#10;Apraksts ģenerēts automātiski">
              <a:extLst xmlns:a="http://schemas.openxmlformats.org/drawingml/2006/main">
                <a:ext uri="{FF2B5EF4-FFF2-40B4-BE49-F238E27FC236}">
                  <a16:creationId xmlns:a16="http://schemas.microsoft.com/office/drawing/2014/main" id="{E75E16C7-998E-7681-EBC7-047E10775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Attēls, kurā ir zvaigzne, karogs, zils, Elektriski zila&#10;&#10;Apraksts ģenerēts automātiski">
                      <a:extLst>
                        <a:ext uri="{FF2B5EF4-FFF2-40B4-BE49-F238E27FC236}">
                          <a16:creationId xmlns:a16="http://schemas.microsoft.com/office/drawing/2014/main" id="{E75E16C7-998E-7681-EBC7-047E10775448}"/>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812165"/>
                    </a:xfrm>
                    <a:prstGeom prst="rect">
                      <a:avLst/>
                    </a:prstGeom>
                    <a:noFill/>
                  </pic:spPr>
                </pic:pic>
              </a:graphicData>
            </a:graphic>
            <wp14:sizeRelH relativeFrom="margin">
              <wp14:pctWidth>0</wp14:pctWidth>
            </wp14:sizeRelH>
            <wp14:sizeRelV relativeFrom="margin">
              <wp14:pctHeight>0</wp14:pctHeight>
            </wp14:sizeRelV>
          </wp:anchor>
        </w:drawing>
      </w:r>
      <w:r w:rsidR="001F5C4C" w:rsidRPr="008F64A0">
        <w:rPr>
          <w:noProof/>
        </w:rPr>
        <mc:AlternateContent>
          <mc:Choice Requires="wps">
            <w:drawing>
              <wp:anchor distT="0" distB="0" distL="114300" distR="114300" simplePos="0" relativeHeight="251658241" behindDoc="0" locked="1" layoutInCell="1" allowOverlap="1" wp14:anchorId="3F4A283D" wp14:editId="3C45797A">
                <wp:simplePos x="0" y="0"/>
                <wp:positionH relativeFrom="margin">
                  <wp:posOffset>1033780</wp:posOffset>
                </wp:positionH>
                <wp:positionV relativeFrom="margin">
                  <wp:posOffset>1859915</wp:posOffset>
                </wp:positionV>
                <wp:extent cx="5751830" cy="6921500"/>
                <wp:effectExtent l="0" t="0" r="1270" b="12700"/>
                <wp:wrapNone/>
                <wp:docPr id="225097532" name="Text Box 15"/>
                <wp:cNvGraphicFramePr/>
                <a:graphic xmlns:a="http://schemas.openxmlformats.org/drawingml/2006/main">
                  <a:graphicData uri="http://schemas.microsoft.com/office/word/2010/wordprocessingShape">
                    <wps:wsp>
                      <wps:cNvSpPr txBox="1"/>
                      <wps:spPr>
                        <a:xfrm>
                          <a:off x="0" y="0"/>
                          <a:ext cx="5751830" cy="6921500"/>
                        </a:xfrm>
                        <a:prstGeom prst="rect">
                          <a:avLst/>
                        </a:prstGeom>
                        <a:noFill/>
                        <a:ln w="6350">
                          <a:noFill/>
                        </a:ln>
                      </wps:spPr>
                      <wps:txbx>
                        <w:txbxContent>
                          <w:p w14:paraId="7156A2A4" w14:textId="77F04398" w:rsidR="00B76001" w:rsidRDefault="00B76001" w:rsidP="001F5C4C">
                            <w:pPr>
                              <w:pStyle w:val="CoverText"/>
                              <w:rPr>
                                <w:rStyle w:val="Izteiksmgs"/>
                                <w:sz w:val="18"/>
                                <w:szCs w:val="16"/>
                              </w:rPr>
                            </w:pPr>
                            <w:r w:rsidRPr="003978B4">
                              <w:rPr>
                                <w:rFonts w:asciiTheme="majorHAnsi" w:eastAsiaTheme="majorEastAsia" w:hAnsiTheme="majorHAnsi" w:cstheme="majorBidi"/>
                                <w:b/>
                                <w:bCs/>
                                <w:color w:val="auto"/>
                                <w:kern w:val="28"/>
                                <w:sz w:val="52"/>
                                <w:szCs w:val="28"/>
                              </w:rPr>
                              <w:t>ES Iekšējās drošības fonda un Patvēruma, migrācijas un integrācijas fonda 2014.-2020. gada plānošanas perioda nacionālo programmu pēcpārbaudes ietekmes (ex-post) izvērtējum</w:t>
                            </w:r>
                            <w:r>
                              <w:rPr>
                                <w:rFonts w:asciiTheme="majorHAnsi" w:eastAsiaTheme="majorEastAsia" w:hAnsiTheme="majorHAnsi" w:cstheme="majorBidi"/>
                                <w:b/>
                                <w:bCs/>
                                <w:color w:val="auto"/>
                                <w:kern w:val="28"/>
                                <w:sz w:val="52"/>
                                <w:szCs w:val="28"/>
                              </w:rPr>
                              <w:t>s</w:t>
                            </w:r>
                            <w:r w:rsidRPr="003978B4">
                              <w:rPr>
                                <w:rFonts w:asciiTheme="majorHAnsi" w:eastAsiaTheme="majorEastAsia" w:hAnsiTheme="majorHAnsi" w:cstheme="majorBidi"/>
                                <w:b/>
                                <w:bCs/>
                                <w:color w:val="auto"/>
                                <w:kern w:val="28"/>
                                <w:sz w:val="52"/>
                                <w:szCs w:val="28"/>
                              </w:rPr>
                              <w:t xml:space="preserve"> </w:t>
                            </w:r>
                          </w:p>
                          <w:p w14:paraId="59348694" w14:textId="77777777" w:rsidR="00B76001" w:rsidRDefault="00B76001" w:rsidP="001F5C4C">
                            <w:pPr>
                              <w:pStyle w:val="CoverText"/>
                              <w:rPr>
                                <w:rStyle w:val="Izteiksmgs"/>
                                <w:sz w:val="18"/>
                                <w:szCs w:val="16"/>
                              </w:rPr>
                            </w:pPr>
                          </w:p>
                          <w:p w14:paraId="774ED33E" w14:textId="77777777" w:rsidR="00B76001" w:rsidRDefault="00B76001" w:rsidP="001F5C4C">
                            <w:pPr>
                              <w:pStyle w:val="CoverText"/>
                              <w:rPr>
                                <w:rStyle w:val="Izteiksmgs"/>
                                <w:sz w:val="18"/>
                                <w:szCs w:val="16"/>
                              </w:rPr>
                            </w:pPr>
                          </w:p>
                          <w:p w14:paraId="1E4F41C2" w14:textId="77777777" w:rsidR="00B76001" w:rsidRDefault="00B76001" w:rsidP="001F5C4C">
                            <w:pPr>
                              <w:pStyle w:val="CoverText"/>
                              <w:rPr>
                                <w:rStyle w:val="Izteiksmgs"/>
                                <w:color w:val="auto"/>
                                <w:sz w:val="18"/>
                                <w:szCs w:val="16"/>
                              </w:rPr>
                            </w:pPr>
                          </w:p>
                          <w:p w14:paraId="7BA4D2DE" w14:textId="77777777" w:rsidR="00B76001" w:rsidRDefault="00B76001" w:rsidP="001F5C4C">
                            <w:pPr>
                              <w:pStyle w:val="CoverText"/>
                              <w:rPr>
                                <w:rStyle w:val="Izteiksmgs"/>
                                <w:color w:val="auto"/>
                                <w:sz w:val="18"/>
                                <w:szCs w:val="16"/>
                              </w:rPr>
                            </w:pPr>
                          </w:p>
                          <w:p w14:paraId="4B5EA951" w14:textId="77777777" w:rsidR="00B76001" w:rsidRDefault="00B76001" w:rsidP="001F5C4C">
                            <w:pPr>
                              <w:pStyle w:val="CoverText"/>
                              <w:rPr>
                                <w:rStyle w:val="Izteiksmgs"/>
                                <w:color w:val="auto"/>
                                <w:sz w:val="18"/>
                                <w:szCs w:val="16"/>
                              </w:rPr>
                            </w:pPr>
                          </w:p>
                          <w:p w14:paraId="518588B7" w14:textId="77777777" w:rsidR="00B76001" w:rsidRDefault="00B76001" w:rsidP="001F5C4C">
                            <w:pPr>
                              <w:pStyle w:val="CoverText"/>
                              <w:rPr>
                                <w:rStyle w:val="Izteiksmgs"/>
                                <w:color w:val="auto"/>
                                <w:sz w:val="18"/>
                                <w:szCs w:val="16"/>
                              </w:rPr>
                            </w:pPr>
                          </w:p>
                          <w:p w14:paraId="0629E5C1" w14:textId="77777777" w:rsidR="00B76001" w:rsidRDefault="00B76001" w:rsidP="001F5C4C">
                            <w:pPr>
                              <w:pStyle w:val="CoverText"/>
                              <w:rPr>
                                <w:rStyle w:val="Izteiksmgs"/>
                                <w:color w:val="auto"/>
                                <w:sz w:val="18"/>
                                <w:szCs w:val="16"/>
                              </w:rPr>
                            </w:pPr>
                          </w:p>
                          <w:p w14:paraId="44FA97BD" w14:textId="77777777" w:rsidR="00B76001" w:rsidRDefault="00B76001" w:rsidP="001F5C4C">
                            <w:pPr>
                              <w:pStyle w:val="CoverText"/>
                              <w:rPr>
                                <w:rStyle w:val="Izteiksmgs"/>
                                <w:color w:val="auto"/>
                                <w:sz w:val="18"/>
                                <w:szCs w:val="16"/>
                              </w:rPr>
                            </w:pPr>
                          </w:p>
                          <w:p w14:paraId="6693E54B" w14:textId="77777777" w:rsidR="00B76001" w:rsidRDefault="00B76001" w:rsidP="001F5C4C">
                            <w:pPr>
                              <w:pStyle w:val="CoverText"/>
                              <w:rPr>
                                <w:rStyle w:val="Izteiksmgs"/>
                                <w:color w:val="auto"/>
                                <w:sz w:val="18"/>
                                <w:szCs w:val="16"/>
                              </w:rPr>
                            </w:pPr>
                          </w:p>
                          <w:p w14:paraId="1F5E1825" w14:textId="77777777" w:rsidR="00B76001" w:rsidRDefault="00B76001" w:rsidP="001F5C4C">
                            <w:pPr>
                              <w:pStyle w:val="CoverText"/>
                              <w:rPr>
                                <w:rStyle w:val="Izteiksmgs"/>
                                <w:color w:val="auto"/>
                                <w:sz w:val="18"/>
                                <w:szCs w:val="16"/>
                              </w:rPr>
                            </w:pPr>
                          </w:p>
                          <w:p w14:paraId="27A01B68" w14:textId="77777777" w:rsidR="00B76001" w:rsidRDefault="00B76001" w:rsidP="001F5C4C">
                            <w:pPr>
                              <w:pStyle w:val="CoverText"/>
                              <w:rPr>
                                <w:rStyle w:val="Izteiksmgs"/>
                                <w:color w:val="auto"/>
                                <w:sz w:val="18"/>
                                <w:szCs w:val="16"/>
                              </w:rPr>
                            </w:pPr>
                          </w:p>
                          <w:p w14:paraId="1EAED871" w14:textId="77777777" w:rsidR="00B76001" w:rsidRDefault="00B76001" w:rsidP="001F5C4C">
                            <w:pPr>
                              <w:pStyle w:val="CoverText"/>
                              <w:rPr>
                                <w:rStyle w:val="Izteiksmgs"/>
                                <w:color w:val="auto"/>
                                <w:sz w:val="18"/>
                                <w:szCs w:val="16"/>
                              </w:rPr>
                            </w:pPr>
                          </w:p>
                          <w:p w14:paraId="31D2A625" w14:textId="77777777" w:rsidR="00B76001" w:rsidRDefault="00B76001" w:rsidP="001F5C4C">
                            <w:pPr>
                              <w:pStyle w:val="CoverText"/>
                              <w:rPr>
                                <w:rStyle w:val="Izteiksmgs"/>
                                <w:color w:val="auto"/>
                                <w:sz w:val="18"/>
                                <w:szCs w:val="16"/>
                              </w:rPr>
                            </w:pPr>
                          </w:p>
                          <w:p w14:paraId="2649BEC4" w14:textId="77777777" w:rsidR="00B76001" w:rsidRDefault="00B76001" w:rsidP="001F5C4C">
                            <w:pPr>
                              <w:pStyle w:val="CoverText"/>
                              <w:rPr>
                                <w:rStyle w:val="Izteiksmgs"/>
                                <w:color w:val="auto"/>
                                <w:sz w:val="18"/>
                                <w:szCs w:val="16"/>
                              </w:rPr>
                            </w:pPr>
                          </w:p>
                          <w:p w14:paraId="7C670FF2" w14:textId="77777777" w:rsidR="00B76001" w:rsidRPr="00920979" w:rsidRDefault="00B76001" w:rsidP="001F5C4C">
                            <w:pPr>
                              <w:pStyle w:val="CoverText"/>
                              <w:rPr>
                                <w:rStyle w:val="Izteiksmgs"/>
                                <w:color w:val="auto"/>
                                <w:sz w:val="18"/>
                                <w:szCs w:val="16"/>
                              </w:rPr>
                            </w:pPr>
                          </w:p>
                          <w:sdt>
                            <w:sdtPr>
                              <w:rPr>
                                <w:b/>
                                <w:bCs/>
                                <w:color w:val="auto"/>
                                <w:sz w:val="18"/>
                                <w:szCs w:val="16"/>
                              </w:rPr>
                              <w:alias w:val="Publish Date"/>
                              <w:tag w:val=""/>
                              <w:id w:val="2101059790"/>
                              <w:dataBinding w:prefixMappings="xmlns:ns0='http://schemas.microsoft.com/office/2006/coverPageProps' " w:xpath="/ns0:CoverPageProperties[1]/ns0:PublishDate[1]" w:storeItemID="{55AF091B-3C7A-41E3-B477-F2FDAA23CFDA}"/>
                              <w:date>
                                <w:dateFormat w:val="MMMM yyyy"/>
                                <w:lid w:val="en-IN"/>
                                <w:storeMappedDataAs w:val="dateTime"/>
                                <w:calendar w:val="gregorian"/>
                              </w:date>
                            </w:sdtPr>
                            <w:sdtEndPr/>
                            <w:sdtContent>
                              <w:p w14:paraId="4FCD1786" w14:textId="13C6D3C8" w:rsidR="00B76001" w:rsidRPr="00920979" w:rsidRDefault="007816DD" w:rsidP="001F5C4C">
                                <w:pPr>
                                  <w:pStyle w:val="CoverText"/>
                                  <w:rPr>
                                    <w:color w:val="auto"/>
                                    <w:sz w:val="18"/>
                                    <w:szCs w:val="16"/>
                                  </w:rPr>
                                </w:pPr>
                                <w:r>
                                  <w:rPr>
                                    <w:color w:val="auto"/>
                                    <w:sz w:val="18"/>
                                    <w:szCs w:val="16"/>
                                    <w:lang w:val="en-IN"/>
                                  </w:rPr>
                                  <w:t>Marts</w:t>
                                </w:r>
                                <w:r w:rsidR="00B76001">
                                  <w:rPr>
                                    <w:color w:val="auto"/>
                                    <w:sz w:val="18"/>
                                    <w:szCs w:val="16"/>
                                    <w:lang w:val="en-IN"/>
                                  </w:rPr>
                                  <w:t>, 2025</w:t>
                                </w:r>
                              </w:p>
                            </w:sdtContent>
                          </w:sdt>
                          <w:p w14:paraId="0A0C4E3E" w14:textId="77777777" w:rsidR="00B76001" w:rsidRPr="00920979" w:rsidRDefault="00B76001" w:rsidP="001F5C4C">
                            <w:pPr>
                              <w:pStyle w:val="CoverTitle"/>
                              <w:rPr>
                                <w:sz w:val="74"/>
                                <w:szCs w:val="50"/>
                              </w:rPr>
                            </w:pPr>
                          </w:p>
                          <w:p w14:paraId="15225CD8" w14:textId="77777777" w:rsidR="00B76001" w:rsidRPr="009E0301" w:rsidRDefault="00B76001" w:rsidP="001F5C4C">
                            <w:pPr>
                              <w:pStyle w:val="CoverTitle"/>
                              <w:rPr>
                                <w:sz w:val="74"/>
                                <w:szCs w:val="50"/>
                              </w:rPr>
                            </w:pPr>
                          </w:p>
                          <w:p w14:paraId="414BD134" w14:textId="2ADC3F54" w:rsidR="00B76001" w:rsidRPr="00206A2B" w:rsidRDefault="00B76001" w:rsidP="00206A2B">
                            <w:pPr>
                              <w:spacing w:before="100" w:beforeAutospacing="1" w:after="100" w:afterAutospacing="1" w:line="240" w:lineRule="auto"/>
                              <w:jc w:val="left"/>
                              <w:rPr>
                                <w:rFonts w:ascii="Times New Roman" w:eastAsia="Times New Roman" w:hAnsi="Times New Roman" w:cs="Times New Roman"/>
                                <w:kern w:val="0"/>
                                <w:sz w:val="24"/>
                                <w:szCs w:val="24"/>
                                <w:lang w:val="en-US"/>
                                <w14:ligatures w14:val="none"/>
                              </w:rPr>
                            </w:pPr>
                          </w:p>
                          <w:p w14:paraId="62508669" w14:textId="77777777" w:rsidR="00B76001" w:rsidRPr="009E0301" w:rsidRDefault="00B76001" w:rsidP="001F5C4C">
                            <w:pPr>
                              <w:pStyle w:val="CoverTitle"/>
                              <w:rPr>
                                <w:sz w:val="74"/>
                                <w:szCs w:val="5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A283D" id="_x0000_t202" coordsize="21600,21600" o:spt="202" path="m,l,21600r21600,l21600,xe">
                <v:stroke joinstyle="miter"/>
                <v:path gradientshapeok="t" o:connecttype="rect"/>
              </v:shapetype>
              <v:shape id="Text Box 15" o:spid="_x0000_s1026" type="#_x0000_t202" style="position:absolute;margin-left:81.4pt;margin-top:146.45pt;width:452.9pt;height:5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" filled="f" stroked="f" strokeweight=".5pt">
                <v:textbox inset="0,0,0,0">
                  <w:txbxContent>
                    <w:p w14:paraId="7156A2A4" w14:textId="77F04398" w:rsidR="00B76001" w:rsidRDefault="00B76001" w:rsidP="001F5C4C">
                      <w:pPr>
                        <w:pStyle w:val="CoverText"/>
                        <w:rPr>
                          <w:rStyle w:val="Strong"/>
                          <w:sz w:val="18"/>
                          <w:szCs w:val="16"/>
                        </w:rPr>
                      </w:pPr>
                      <w:r w:rsidRPr="003978B4">
                        <w:rPr>
                          <w:rFonts w:asciiTheme="majorHAnsi" w:eastAsiaTheme="majorEastAsia" w:hAnsiTheme="majorHAnsi" w:cstheme="majorBidi"/>
                          <w:b/>
                          <w:bCs/>
                          <w:color w:val="auto"/>
                          <w:kern w:val="28"/>
                          <w:sz w:val="52"/>
                          <w:szCs w:val="28"/>
                        </w:rPr>
                        <w:t>ES Iekšējās drošības fonda un Patvēruma, migrācijas un integrācijas fonda 2014.-2020. gada plānošanas perioda nacionālo programmu pēcpārbaudes ietekmes (ex-post) izvērtējum</w:t>
                      </w:r>
                      <w:r>
                        <w:rPr>
                          <w:rFonts w:asciiTheme="majorHAnsi" w:eastAsiaTheme="majorEastAsia" w:hAnsiTheme="majorHAnsi" w:cstheme="majorBidi"/>
                          <w:b/>
                          <w:bCs/>
                          <w:color w:val="auto"/>
                          <w:kern w:val="28"/>
                          <w:sz w:val="52"/>
                          <w:szCs w:val="28"/>
                        </w:rPr>
                        <w:t>s</w:t>
                      </w:r>
                      <w:r w:rsidRPr="003978B4">
                        <w:rPr>
                          <w:rFonts w:asciiTheme="majorHAnsi" w:eastAsiaTheme="majorEastAsia" w:hAnsiTheme="majorHAnsi" w:cstheme="majorBidi"/>
                          <w:b/>
                          <w:bCs/>
                          <w:color w:val="auto"/>
                          <w:kern w:val="28"/>
                          <w:sz w:val="52"/>
                          <w:szCs w:val="28"/>
                        </w:rPr>
                        <w:t xml:space="preserve"> </w:t>
                      </w:r>
                    </w:p>
                    <w:p w14:paraId="59348694" w14:textId="77777777" w:rsidR="00B76001" w:rsidRDefault="00B76001" w:rsidP="001F5C4C">
                      <w:pPr>
                        <w:pStyle w:val="CoverText"/>
                        <w:rPr>
                          <w:rStyle w:val="Strong"/>
                          <w:sz w:val="18"/>
                          <w:szCs w:val="16"/>
                        </w:rPr>
                      </w:pPr>
                    </w:p>
                    <w:p w14:paraId="774ED33E" w14:textId="77777777" w:rsidR="00B76001" w:rsidRDefault="00B76001" w:rsidP="001F5C4C">
                      <w:pPr>
                        <w:pStyle w:val="CoverText"/>
                        <w:rPr>
                          <w:rStyle w:val="Strong"/>
                          <w:sz w:val="18"/>
                          <w:szCs w:val="16"/>
                        </w:rPr>
                      </w:pPr>
                    </w:p>
                    <w:p w14:paraId="1E4F41C2" w14:textId="77777777" w:rsidR="00B76001" w:rsidRDefault="00B76001" w:rsidP="001F5C4C">
                      <w:pPr>
                        <w:pStyle w:val="CoverText"/>
                        <w:rPr>
                          <w:rStyle w:val="Strong"/>
                          <w:color w:val="auto"/>
                          <w:sz w:val="18"/>
                          <w:szCs w:val="16"/>
                        </w:rPr>
                      </w:pPr>
                    </w:p>
                    <w:p w14:paraId="7BA4D2DE" w14:textId="77777777" w:rsidR="00B76001" w:rsidRDefault="00B76001" w:rsidP="001F5C4C">
                      <w:pPr>
                        <w:pStyle w:val="CoverText"/>
                        <w:rPr>
                          <w:rStyle w:val="Strong"/>
                          <w:color w:val="auto"/>
                          <w:sz w:val="18"/>
                          <w:szCs w:val="16"/>
                        </w:rPr>
                      </w:pPr>
                    </w:p>
                    <w:p w14:paraId="4B5EA951" w14:textId="77777777" w:rsidR="00B76001" w:rsidRDefault="00B76001" w:rsidP="001F5C4C">
                      <w:pPr>
                        <w:pStyle w:val="CoverText"/>
                        <w:rPr>
                          <w:rStyle w:val="Strong"/>
                          <w:color w:val="auto"/>
                          <w:sz w:val="18"/>
                          <w:szCs w:val="16"/>
                        </w:rPr>
                      </w:pPr>
                    </w:p>
                    <w:p w14:paraId="518588B7" w14:textId="77777777" w:rsidR="00B76001" w:rsidRDefault="00B76001" w:rsidP="001F5C4C">
                      <w:pPr>
                        <w:pStyle w:val="CoverText"/>
                        <w:rPr>
                          <w:rStyle w:val="Strong"/>
                          <w:color w:val="auto"/>
                          <w:sz w:val="18"/>
                          <w:szCs w:val="16"/>
                        </w:rPr>
                      </w:pPr>
                    </w:p>
                    <w:p w14:paraId="0629E5C1" w14:textId="77777777" w:rsidR="00B76001" w:rsidRDefault="00B76001" w:rsidP="001F5C4C">
                      <w:pPr>
                        <w:pStyle w:val="CoverText"/>
                        <w:rPr>
                          <w:rStyle w:val="Strong"/>
                          <w:color w:val="auto"/>
                          <w:sz w:val="18"/>
                          <w:szCs w:val="16"/>
                        </w:rPr>
                      </w:pPr>
                    </w:p>
                    <w:p w14:paraId="44FA97BD" w14:textId="77777777" w:rsidR="00B76001" w:rsidRDefault="00B76001" w:rsidP="001F5C4C">
                      <w:pPr>
                        <w:pStyle w:val="CoverText"/>
                        <w:rPr>
                          <w:rStyle w:val="Strong"/>
                          <w:color w:val="auto"/>
                          <w:sz w:val="18"/>
                          <w:szCs w:val="16"/>
                        </w:rPr>
                      </w:pPr>
                    </w:p>
                    <w:p w14:paraId="6693E54B" w14:textId="77777777" w:rsidR="00B76001" w:rsidRDefault="00B76001" w:rsidP="001F5C4C">
                      <w:pPr>
                        <w:pStyle w:val="CoverText"/>
                        <w:rPr>
                          <w:rStyle w:val="Strong"/>
                          <w:color w:val="auto"/>
                          <w:sz w:val="18"/>
                          <w:szCs w:val="16"/>
                        </w:rPr>
                      </w:pPr>
                    </w:p>
                    <w:p w14:paraId="1F5E1825" w14:textId="77777777" w:rsidR="00B76001" w:rsidRDefault="00B76001" w:rsidP="001F5C4C">
                      <w:pPr>
                        <w:pStyle w:val="CoverText"/>
                        <w:rPr>
                          <w:rStyle w:val="Strong"/>
                          <w:color w:val="auto"/>
                          <w:sz w:val="18"/>
                          <w:szCs w:val="16"/>
                        </w:rPr>
                      </w:pPr>
                    </w:p>
                    <w:p w14:paraId="27A01B68" w14:textId="77777777" w:rsidR="00B76001" w:rsidRDefault="00B76001" w:rsidP="001F5C4C">
                      <w:pPr>
                        <w:pStyle w:val="CoverText"/>
                        <w:rPr>
                          <w:rStyle w:val="Strong"/>
                          <w:color w:val="auto"/>
                          <w:sz w:val="18"/>
                          <w:szCs w:val="16"/>
                        </w:rPr>
                      </w:pPr>
                    </w:p>
                    <w:p w14:paraId="1EAED871" w14:textId="77777777" w:rsidR="00B76001" w:rsidRDefault="00B76001" w:rsidP="001F5C4C">
                      <w:pPr>
                        <w:pStyle w:val="CoverText"/>
                        <w:rPr>
                          <w:rStyle w:val="Strong"/>
                          <w:color w:val="auto"/>
                          <w:sz w:val="18"/>
                          <w:szCs w:val="16"/>
                        </w:rPr>
                      </w:pPr>
                    </w:p>
                    <w:p w14:paraId="31D2A625" w14:textId="77777777" w:rsidR="00B76001" w:rsidRDefault="00B76001" w:rsidP="001F5C4C">
                      <w:pPr>
                        <w:pStyle w:val="CoverText"/>
                        <w:rPr>
                          <w:rStyle w:val="Strong"/>
                          <w:color w:val="auto"/>
                          <w:sz w:val="18"/>
                          <w:szCs w:val="16"/>
                        </w:rPr>
                      </w:pPr>
                    </w:p>
                    <w:p w14:paraId="2649BEC4" w14:textId="77777777" w:rsidR="00B76001" w:rsidRDefault="00B76001" w:rsidP="001F5C4C">
                      <w:pPr>
                        <w:pStyle w:val="CoverText"/>
                        <w:rPr>
                          <w:rStyle w:val="Strong"/>
                          <w:color w:val="auto"/>
                          <w:sz w:val="18"/>
                          <w:szCs w:val="16"/>
                        </w:rPr>
                      </w:pPr>
                    </w:p>
                    <w:p w14:paraId="7C670FF2" w14:textId="77777777" w:rsidR="00B76001" w:rsidRPr="00920979" w:rsidRDefault="00B76001" w:rsidP="001F5C4C">
                      <w:pPr>
                        <w:pStyle w:val="CoverText"/>
                        <w:rPr>
                          <w:rStyle w:val="Strong"/>
                          <w:color w:val="auto"/>
                          <w:sz w:val="18"/>
                          <w:szCs w:val="16"/>
                        </w:rPr>
                      </w:pPr>
                    </w:p>
                    <w:sdt>
                      <w:sdtPr>
                        <w:rPr>
                          <w:b/>
                          <w:bCs/>
                          <w:color w:val="auto"/>
                          <w:sz w:val="18"/>
                          <w:szCs w:val="16"/>
                        </w:rPr>
                        <w:alias w:val="Publish Date"/>
                        <w:tag w:val=""/>
                        <w:id w:val="2101059790"/>
                        <w:dataBinding w:prefixMappings="xmlns:ns0='http://schemas.microsoft.com/office/2006/coverPageProps' " w:xpath="/ns0:CoverPageProperties[1]/ns0:PublishDate[1]" w:storeItemID="{55AF091B-3C7A-41E3-B477-F2FDAA23CFDA}"/>
                        <w:date>
                          <w:dateFormat w:val="MMMM yyyy"/>
                          <w:lid w:val="en-IN"/>
                          <w:storeMappedDataAs w:val="dateTime"/>
                          <w:calendar w:val="gregorian"/>
                        </w:date>
                      </w:sdtPr>
                      <w:sdtEndPr/>
                      <w:sdtContent>
                        <w:p w14:paraId="4FCD1786" w14:textId="13C6D3C8" w:rsidR="00B76001" w:rsidRPr="00920979" w:rsidRDefault="007816DD" w:rsidP="001F5C4C">
                          <w:pPr>
                            <w:pStyle w:val="CoverText"/>
                            <w:rPr>
                              <w:color w:val="auto"/>
                              <w:sz w:val="18"/>
                              <w:szCs w:val="16"/>
                            </w:rPr>
                          </w:pPr>
                          <w:r>
                            <w:rPr>
                              <w:color w:val="auto"/>
                              <w:sz w:val="18"/>
                              <w:szCs w:val="16"/>
                              <w:lang w:val="en-IN"/>
                            </w:rPr>
                            <w:t>Marts</w:t>
                          </w:r>
                          <w:r w:rsidR="00B76001">
                            <w:rPr>
                              <w:color w:val="auto"/>
                              <w:sz w:val="18"/>
                              <w:szCs w:val="16"/>
                              <w:lang w:val="en-IN"/>
                            </w:rPr>
                            <w:t>, 2025</w:t>
                          </w:r>
                        </w:p>
                      </w:sdtContent>
                    </w:sdt>
                    <w:p w14:paraId="0A0C4E3E" w14:textId="77777777" w:rsidR="00B76001" w:rsidRPr="00920979" w:rsidRDefault="00B76001" w:rsidP="001F5C4C">
                      <w:pPr>
                        <w:pStyle w:val="CoverTitle"/>
                        <w:rPr>
                          <w:sz w:val="74"/>
                          <w:szCs w:val="50"/>
                        </w:rPr>
                      </w:pPr>
                    </w:p>
                    <w:p w14:paraId="15225CD8" w14:textId="77777777" w:rsidR="00B76001" w:rsidRPr="009E0301" w:rsidRDefault="00B76001" w:rsidP="001F5C4C">
                      <w:pPr>
                        <w:pStyle w:val="CoverTitle"/>
                        <w:rPr>
                          <w:sz w:val="74"/>
                          <w:szCs w:val="50"/>
                        </w:rPr>
                      </w:pPr>
                    </w:p>
                    <w:p w14:paraId="414BD134" w14:textId="2ADC3F54" w:rsidR="00B76001" w:rsidRPr="00206A2B" w:rsidRDefault="00B76001" w:rsidP="00206A2B">
                      <w:pPr>
                        <w:spacing w:before="100" w:beforeAutospacing="1" w:after="100" w:afterAutospacing="1" w:line="240" w:lineRule="auto"/>
                        <w:jc w:val="left"/>
                        <w:rPr>
                          <w:rFonts w:ascii="Times New Roman" w:eastAsia="Times New Roman" w:hAnsi="Times New Roman" w:cs="Times New Roman"/>
                          <w:kern w:val="0"/>
                          <w:sz w:val="24"/>
                          <w:szCs w:val="24"/>
                          <w:lang w:val="en-US"/>
                          <w14:ligatures w14:val="none"/>
                        </w:rPr>
                      </w:pPr>
                    </w:p>
                    <w:p w14:paraId="62508669" w14:textId="77777777" w:rsidR="00B76001" w:rsidRPr="009E0301" w:rsidRDefault="00B76001" w:rsidP="001F5C4C">
                      <w:pPr>
                        <w:pStyle w:val="CoverTitle"/>
                        <w:rPr>
                          <w:sz w:val="74"/>
                          <w:szCs w:val="50"/>
                        </w:rPr>
                      </w:pPr>
                    </w:p>
                  </w:txbxContent>
                </v:textbox>
                <w10:wrap anchorx="margin" anchory="margin"/>
                <w10:anchorlock/>
              </v:shape>
            </w:pict>
          </mc:Fallback>
        </mc:AlternateContent>
      </w:r>
      <w:r w:rsidR="00333444" w:rsidRPr="008F64A0">
        <w:br w:type="page"/>
      </w:r>
      <w:r w:rsidR="00BD7802" w:rsidRPr="008F64A0">
        <w:rPr>
          <w:noProof/>
        </w:rPr>
        <w:drawing>
          <wp:anchor distT="0" distB="0" distL="114300" distR="114300" simplePos="0" relativeHeight="251658240" behindDoc="1" locked="1" layoutInCell="1" allowOverlap="1" wp14:anchorId="655AA72F" wp14:editId="0CBCD3CF">
            <wp:simplePos x="0" y="0"/>
            <wp:positionH relativeFrom="page">
              <wp:align>left</wp:align>
            </wp:positionH>
            <wp:positionV relativeFrom="page">
              <wp:posOffset>20955</wp:posOffset>
            </wp:positionV>
            <wp:extent cx="7543800" cy="10669270"/>
            <wp:effectExtent l="0" t="0" r="0" b="0"/>
            <wp:wrapNone/>
            <wp:docPr id="926824944" name="Picture 4" descr="A white backgroun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24944" name="Picture 4" descr="A white background with black lines&#10;&#10;Description automatically generated"/>
                    <pic:cNvPicPr/>
                  </pic:nvPicPr>
                  <pic:blipFill>
                    <a:blip r:embed="rId10"/>
                    <a:stretch>
                      <a:fillRect/>
                    </a:stretch>
                  </pic:blipFill>
                  <pic:spPr>
                    <a:xfrm>
                      <a:off x="0" y="0"/>
                      <a:ext cx="7543800" cy="10669270"/>
                    </a:xfrm>
                    <a:prstGeom prst="rect">
                      <a:avLst/>
                    </a:prstGeom>
                  </pic:spPr>
                </pic:pic>
              </a:graphicData>
            </a:graphic>
            <wp14:sizeRelH relativeFrom="margin">
              <wp14:pctWidth>0</wp14:pctWidth>
            </wp14:sizeRelH>
            <wp14:sizeRelV relativeFrom="margin">
              <wp14:pctHeight>0</wp14:pctHeight>
            </wp14:sizeRelV>
          </wp:anchor>
        </w:drawing>
      </w:r>
    </w:p>
    <w:p w14:paraId="58FE2C2F" w14:textId="77777777" w:rsidR="009031F7" w:rsidRPr="008F64A0" w:rsidRDefault="00333444" w:rsidP="009031F7">
      <w:pPr>
        <w:pStyle w:val="Virsraksts1"/>
      </w:pPr>
      <w:r w:rsidRPr="008F64A0">
        <w:lastRenderedPageBreak/>
        <w:br w:type="page"/>
      </w:r>
    </w:p>
    <w:p w14:paraId="3EF246D2" w14:textId="02D1F7FC" w:rsidR="009031F7" w:rsidRPr="008F64A0" w:rsidRDefault="009031F7" w:rsidP="00A469F2">
      <w:pPr>
        <w:rPr>
          <w:b/>
          <w:sz w:val="40"/>
          <w:szCs w:val="40"/>
        </w:rPr>
      </w:pPr>
      <w:bookmarkStart w:id="0" w:name="_Toc175821134"/>
      <w:bookmarkStart w:id="1" w:name="_Toc175823529"/>
      <w:r w:rsidRPr="008F64A0">
        <w:rPr>
          <w:b/>
          <w:sz w:val="40"/>
          <w:szCs w:val="40"/>
        </w:rPr>
        <w:lastRenderedPageBreak/>
        <w:t>SAĪSINĀJUMI</w:t>
      </w:r>
      <w:bookmarkEnd w:id="0"/>
      <w:bookmarkEnd w:id="1"/>
    </w:p>
    <w:tbl>
      <w:tblPr>
        <w:tblStyle w:val="Reatabula"/>
        <w:tblW w:w="0" w:type="auto"/>
        <w:tblLook w:val="04A0" w:firstRow="1" w:lastRow="0" w:firstColumn="1" w:lastColumn="0" w:noHBand="0" w:noVBand="1"/>
      </w:tblPr>
      <w:tblGrid>
        <w:gridCol w:w="3256"/>
        <w:gridCol w:w="6996"/>
      </w:tblGrid>
      <w:tr w:rsidR="008B7B6B" w:rsidRPr="008F64A0" w14:paraId="6F98371F" w14:textId="77777777" w:rsidTr="02E055BF">
        <w:tc>
          <w:tcPr>
            <w:tcW w:w="3256" w:type="dxa"/>
          </w:tcPr>
          <w:p w14:paraId="5651DCA7" w14:textId="3D8798F9" w:rsidR="008B7B6B" w:rsidRPr="008F64A0" w:rsidRDefault="008B7B6B" w:rsidP="009031F7">
            <w:r w:rsidRPr="008F64A0">
              <w:t>AĀIC</w:t>
            </w:r>
          </w:p>
        </w:tc>
        <w:tc>
          <w:tcPr>
            <w:tcW w:w="6996" w:type="dxa"/>
          </w:tcPr>
          <w:p w14:paraId="1D8AC444" w14:textId="046E26B6" w:rsidR="008B7B6B" w:rsidRPr="008F64A0" w:rsidRDefault="001A1201" w:rsidP="009031F7">
            <w:r w:rsidRPr="008F64A0">
              <w:t>Aizturēto ārzemnieku izmitināšanas centrs</w:t>
            </w:r>
          </w:p>
        </w:tc>
      </w:tr>
      <w:tr w:rsidR="000A2098" w:rsidRPr="008F64A0" w14:paraId="6F3294CC" w14:textId="77777777" w:rsidTr="02E055BF">
        <w:tc>
          <w:tcPr>
            <w:tcW w:w="3256" w:type="dxa"/>
          </w:tcPr>
          <w:p w14:paraId="75362020" w14:textId="6C3580DF" w:rsidR="000A2098" w:rsidRPr="008F64A0" w:rsidRDefault="000A2098" w:rsidP="009031F7">
            <w:r w:rsidRPr="008F64A0">
              <w:t>AFIS</w:t>
            </w:r>
          </w:p>
        </w:tc>
        <w:tc>
          <w:tcPr>
            <w:tcW w:w="6996" w:type="dxa"/>
          </w:tcPr>
          <w:p w14:paraId="387B59D8" w14:textId="4CB3B70B" w:rsidR="000A2098" w:rsidRPr="008F64A0" w:rsidRDefault="00410BB8" w:rsidP="009031F7">
            <w:r w:rsidRPr="008F64A0">
              <w:t>Automātiskās pirkstu nospiedumu informācijas sistēma</w:t>
            </w:r>
          </w:p>
        </w:tc>
      </w:tr>
      <w:tr w:rsidR="00264F4D" w:rsidRPr="008F64A0" w14:paraId="1A39BDE7" w14:textId="77777777" w:rsidTr="02E055BF">
        <w:tc>
          <w:tcPr>
            <w:tcW w:w="3256" w:type="dxa"/>
          </w:tcPr>
          <w:p w14:paraId="61E823AD" w14:textId="3CFFBD0D" w:rsidR="00264F4D" w:rsidRPr="008F64A0" w:rsidRDefault="00264F4D" w:rsidP="009031F7">
            <w:r>
              <w:t>ĀM</w:t>
            </w:r>
          </w:p>
        </w:tc>
        <w:tc>
          <w:tcPr>
            <w:tcW w:w="6996" w:type="dxa"/>
          </w:tcPr>
          <w:p w14:paraId="21AD8E53" w14:textId="407494BC" w:rsidR="00264F4D" w:rsidRPr="008F64A0" w:rsidRDefault="00264F4D" w:rsidP="009031F7">
            <w:r>
              <w:t>Ārlietu ministrija</w:t>
            </w:r>
          </w:p>
        </w:tc>
      </w:tr>
      <w:tr w:rsidR="007F6E07" w:rsidRPr="008F64A0" w14:paraId="6D0A0A09" w14:textId="77777777" w:rsidTr="02E055BF">
        <w:tc>
          <w:tcPr>
            <w:tcW w:w="3256" w:type="dxa"/>
          </w:tcPr>
          <w:p w14:paraId="59C49845" w14:textId="77777777" w:rsidR="007F6E07" w:rsidRPr="008F64A0" w:rsidRDefault="007F6E07" w:rsidP="009031F7">
            <w:r w:rsidRPr="008F64A0">
              <w:t>BDAS</w:t>
            </w:r>
          </w:p>
        </w:tc>
        <w:tc>
          <w:tcPr>
            <w:tcW w:w="6996" w:type="dxa"/>
          </w:tcPr>
          <w:p w14:paraId="66127471" w14:textId="77777777" w:rsidR="007F6E07" w:rsidRPr="008F64A0" w:rsidRDefault="007F6E07" w:rsidP="009031F7">
            <w:r w:rsidRPr="008F64A0">
              <w:t>Biometrijas datu apstrādes sistēma</w:t>
            </w:r>
          </w:p>
        </w:tc>
      </w:tr>
      <w:tr w:rsidR="007F6E07" w:rsidRPr="008F64A0" w14:paraId="2B55BACD" w14:textId="77777777" w:rsidTr="02E055BF">
        <w:tc>
          <w:tcPr>
            <w:tcW w:w="3256" w:type="dxa"/>
          </w:tcPr>
          <w:p w14:paraId="352FE631" w14:textId="77777777" w:rsidR="007F6E07" w:rsidRPr="008F64A0" w:rsidRDefault="007F6E07" w:rsidP="009031F7">
            <w:r w:rsidRPr="008F64A0">
              <w:t>CBRNE</w:t>
            </w:r>
          </w:p>
        </w:tc>
        <w:tc>
          <w:tcPr>
            <w:tcW w:w="6996" w:type="dxa"/>
          </w:tcPr>
          <w:p w14:paraId="099EC770" w14:textId="77777777" w:rsidR="007F6E07" w:rsidRPr="008F64A0" w:rsidRDefault="007F6E07" w:rsidP="009031F7">
            <w:r w:rsidRPr="008F64A0">
              <w:t>Ķīmiskie, bioloģiskie, radioloģiskie, kodolavāriju un sprāgstvielu (draudi)</w:t>
            </w:r>
          </w:p>
        </w:tc>
      </w:tr>
      <w:tr w:rsidR="007F6E07" w:rsidRPr="008F64A0" w14:paraId="31E13DF7" w14:textId="77777777" w:rsidTr="02E055BF">
        <w:tc>
          <w:tcPr>
            <w:tcW w:w="3256" w:type="dxa"/>
          </w:tcPr>
          <w:p w14:paraId="12EC1D46" w14:textId="77777777" w:rsidR="007F6E07" w:rsidRPr="008F64A0" w:rsidRDefault="007F6E07" w:rsidP="009031F7">
            <w:r w:rsidRPr="008F64A0">
              <w:t>CPP</w:t>
            </w:r>
          </w:p>
        </w:tc>
        <w:tc>
          <w:tcPr>
            <w:tcW w:w="6996" w:type="dxa"/>
          </w:tcPr>
          <w:p w14:paraId="072BAEE5" w14:textId="77777777" w:rsidR="007F6E07" w:rsidRPr="008F64A0" w:rsidRDefault="007F6E07" w:rsidP="009031F7">
            <w:r w:rsidRPr="008F64A0">
              <w:t>Centrālais piekļuves punkts</w:t>
            </w:r>
          </w:p>
        </w:tc>
      </w:tr>
      <w:tr w:rsidR="00835A83" w:rsidRPr="008F64A0" w14:paraId="64229C38" w14:textId="77777777" w:rsidTr="02E055BF">
        <w:tc>
          <w:tcPr>
            <w:tcW w:w="3256" w:type="dxa"/>
          </w:tcPr>
          <w:p w14:paraId="1FA45037" w14:textId="475B592C" w:rsidR="00835A83" w:rsidRPr="008F64A0" w:rsidRDefault="00835A83" w:rsidP="009031F7">
            <w:r>
              <w:t>CVIS</w:t>
            </w:r>
          </w:p>
        </w:tc>
        <w:tc>
          <w:tcPr>
            <w:tcW w:w="6996" w:type="dxa"/>
          </w:tcPr>
          <w:p w14:paraId="7DA5FE88" w14:textId="4A85FCE9" w:rsidR="00835A83" w:rsidRPr="008F64A0" w:rsidRDefault="00CB7ADC" w:rsidP="009031F7">
            <w:r>
              <w:t>Centrālā vīzu informācijas sistēma</w:t>
            </w:r>
          </w:p>
        </w:tc>
      </w:tr>
      <w:tr w:rsidR="008D3560" w:rsidRPr="008F64A0" w14:paraId="1A7127D7" w14:textId="77777777" w:rsidTr="02E055BF">
        <w:tc>
          <w:tcPr>
            <w:tcW w:w="3256" w:type="dxa"/>
          </w:tcPr>
          <w:p w14:paraId="45861143" w14:textId="506066A8" w:rsidR="008D3560" w:rsidRPr="008F64A0" w:rsidRDefault="008D3560" w:rsidP="009031F7">
            <w:r w:rsidRPr="008F64A0">
              <w:t>EASO</w:t>
            </w:r>
          </w:p>
        </w:tc>
        <w:tc>
          <w:tcPr>
            <w:tcW w:w="6996" w:type="dxa"/>
          </w:tcPr>
          <w:p w14:paraId="43512124" w14:textId="50A3DDED" w:rsidR="008D3560" w:rsidRPr="008F64A0" w:rsidRDefault="008D3560" w:rsidP="009031F7">
            <w:r w:rsidRPr="008F64A0">
              <w:t>Eiropas Patvēruma atbalsta birojs</w:t>
            </w:r>
          </w:p>
        </w:tc>
      </w:tr>
      <w:tr w:rsidR="00A3266B" w:rsidRPr="008F64A0" w14:paraId="61D8D3B3" w14:textId="77777777" w:rsidTr="02E055BF">
        <w:tc>
          <w:tcPr>
            <w:tcW w:w="3256" w:type="dxa"/>
          </w:tcPr>
          <w:p w14:paraId="57BD3E1E" w14:textId="5AA6B3BB" w:rsidR="00A3266B" w:rsidRPr="008F64A0" w:rsidRDefault="00A3266B" w:rsidP="009031F7">
            <w:r w:rsidRPr="008F64A0">
              <w:t>ECRIS</w:t>
            </w:r>
          </w:p>
        </w:tc>
        <w:tc>
          <w:tcPr>
            <w:tcW w:w="6996" w:type="dxa"/>
          </w:tcPr>
          <w:p w14:paraId="1204EBDA" w14:textId="58C306CE" w:rsidR="00A3266B" w:rsidRPr="008F64A0" w:rsidRDefault="00A3266B" w:rsidP="009031F7">
            <w:r w:rsidRPr="008F64A0">
              <w:t>Eiropas Sodāmības reģistru informācijas sistēma</w:t>
            </w:r>
          </w:p>
        </w:tc>
      </w:tr>
      <w:tr w:rsidR="00CE4C3F" w:rsidRPr="008F64A0" w14:paraId="564B2335" w14:textId="77777777" w:rsidTr="02E055BF">
        <w:tc>
          <w:tcPr>
            <w:tcW w:w="3256" w:type="dxa"/>
          </w:tcPr>
          <w:p w14:paraId="6499DFF6" w14:textId="7C525268" w:rsidR="00CE4C3F" w:rsidRPr="008F64A0" w:rsidRDefault="00CE4C3F" w:rsidP="009031F7">
            <w:r>
              <w:t>EEZ</w:t>
            </w:r>
          </w:p>
        </w:tc>
        <w:tc>
          <w:tcPr>
            <w:tcW w:w="6996" w:type="dxa"/>
          </w:tcPr>
          <w:p w14:paraId="7E31C478" w14:textId="0FB799BB" w:rsidR="00CE4C3F" w:rsidRPr="008F64A0" w:rsidRDefault="00CE4C3F" w:rsidP="009031F7">
            <w:r>
              <w:t xml:space="preserve">Eiropas </w:t>
            </w:r>
            <w:r w:rsidR="00BA5688">
              <w:t>E</w:t>
            </w:r>
            <w:r>
              <w:t>konomiskā zona</w:t>
            </w:r>
          </w:p>
        </w:tc>
      </w:tr>
      <w:tr w:rsidR="000C2D7F" w:rsidRPr="000C2D7F" w14:paraId="77CF18B3" w14:textId="77777777" w:rsidTr="02E055BF">
        <w:tc>
          <w:tcPr>
            <w:tcW w:w="3256" w:type="dxa"/>
          </w:tcPr>
          <w:p w14:paraId="2CB0C372" w14:textId="0061072C" w:rsidR="000C2D7F" w:rsidRPr="000C2D7F" w:rsidRDefault="000C2D7F" w:rsidP="000C2D7F">
            <w:r w:rsidRPr="000C2D7F">
              <w:t>EIS</w:t>
            </w:r>
          </w:p>
        </w:tc>
        <w:tc>
          <w:tcPr>
            <w:tcW w:w="6996" w:type="dxa"/>
          </w:tcPr>
          <w:p w14:paraId="1446B65F" w14:textId="255CE2C0" w:rsidR="000C2D7F" w:rsidRPr="000C2D7F" w:rsidRDefault="000C2D7F" w:rsidP="000C2D7F">
            <w:r w:rsidRPr="000C2D7F">
              <w:t>Elektronisko iepirkumu sistēma</w:t>
            </w:r>
          </w:p>
        </w:tc>
      </w:tr>
      <w:tr w:rsidR="000E2835" w:rsidRPr="008F64A0" w14:paraId="29481C1B" w14:textId="77777777" w:rsidTr="02E055BF">
        <w:tc>
          <w:tcPr>
            <w:tcW w:w="3256" w:type="dxa"/>
          </w:tcPr>
          <w:p w14:paraId="117A9EA5" w14:textId="78877D77" w:rsidR="000E2835" w:rsidRPr="008F64A0" w:rsidRDefault="000E2835" w:rsidP="009031F7">
            <w:r>
              <w:t>EK</w:t>
            </w:r>
          </w:p>
        </w:tc>
        <w:tc>
          <w:tcPr>
            <w:tcW w:w="6996" w:type="dxa"/>
          </w:tcPr>
          <w:p w14:paraId="2824DD3C" w14:textId="5C5ECEBE" w:rsidR="000E2835" w:rsidRPr="008F64A0" w:rsidRDefault="000E2835" w:rsidP="009031F7">
            <w:r>
              <w:t>Eiropas Komisija</w:t>
            </w:r>
          </w:p>
        </w:tc>
      </w:tr>
      <w:tr w:rsidR="00C00594" w:rsidRPr="008F64A0" w14:paraId="40D36E4D" w14:textId="77777777" w:rsidTr="02E055BF">
        <w:tc>
          <w:tcPr>
            <w:tcW w:w="3256" w:type="dxa"/>
          </w:tcPr>
          <w:p w14:paraId="0D93495C" w14:textId="7086F8A0" w:rsidR="00C00594" w:rsidRPr="008F64A0" w:rsidRDefault="00C00594" w:rsidP="009031F7">
            <w:r>
              <w:t>ELIS</w:t>
            </w:r>
          </w:p>
        </w:tc>
        <w:tc>
          <w:tcPr>
            <w:tcW w:w="6996" w:type="dxa"/>
          </w:tcPr>
          <w:p w14:paraId="66720FC2" w14:textId="56B5741E" w:rsidR="00C00594" w:rsidRPr="008F64A0" w:rsidRDefault="00E85F0A" w:rsidP="009031F7">
            <w:r w:rsidRPr="00E85F0A">
              <w:t>Ekspertīžu laboratorijas informācijas sistēm</w:t>
            </w:r>
            <w:r>
              <w:t>a</w:t>
            </w:r>
          </w:p>
        </w:tc>
      </w:tr>
      <w:tr w:rsidR="007F6E07" w:rsidRPr="008F64A0" w14:paraId="3577C1DD" w14:textId="77777777" w:rsidTr="02E055BF">
        <w:tc>
          <w:tcPr>
            <w:tcW w:w="3256" w:type="dxa"/>
          </w:tcPr>
          <w:p w14:paraId="2912FE1B" w14:textId="77777777" w:rsidR="007F6E07" w:rsidRPr="008F64A0" w:rsidRDefault="007F6E07" w:rsidP="009031F7">
            <w:r w:rsidRPr="008F64A0">
              <w:t>ES</w:t>
            </w:r>
          </w:p>
        </w:tc>
        <w:tc>
          <w:tcPr>
            <w:tcW w:w="6996" w:type="dxa"/>
          </w:tcPr>
          <w:p w14:paraId="58AB0F53" w14:textId="77777777" w:rsidR="007F6E07" w:rsidRPr="008F64A0" w:rsidRDefault="007F6E07" w:rsidP="009031F7">
            <w:r w:rsidRPr="008F64A0">
              <w:t>Eiropas Savienība</w:t>
            </w:r>
          </w:p>
        </w:tc>
      </w:tr>
      <w:tr w:rsidR="007F6E07" w:rsidRPr="008F64A0" w14:paraId="68055799" w14:textId="77777777" w:rsidTr="02E055BF">
        <w:tc>
          <w:tcPr>
            <w:tcW w:w="3256" w:type="dxa"/>
          </w:tcPr>
          <w:p w14:paraId="6C0FF83E" w14:textId="77777777" w:rsidR="007F6E07" w:rsidRPr="008F64A0" w:rsidRDefault="007F6E07" w:rsidP="009031F7">
            <w:r w:rsidRPr="008F64A0">
              <w:t>ETIAS</w:t>
            </w:r>
          </w:p>
        </w:tc>
        <w:tc>
          <w:tcPr>
            <w:tcW w:w="6996" w:type="dxa"/>
          </w:tcPr>
          <w:p w14:paraId="3BB34907" w14:textId="77777777" w:rsidR="007F6E07" w:rsidRPr="008F64A0" w:rsidRDefault="007F6E07" w:rsidP="007626E6">
            <w:r w:rsidRPr="008F64A0">
              <w:t>Eiropas ceļošanas informācijas un atļauju sistēma</w:t>
            </w:r>
          </w:p>
        </w:tc>
      </w:tr>
      <w:tr w:rsidR="007F6E07" w:rsidRPr="008F64A0" w14:paraId="4D402EFC" w14:textId="77777777" w:rsidTr="02E055BF">
        <w:tc>
          <w:tcPr>
            <w:tcW w:w="3256" w:type="dxa"/>
          </w:tcPr>
          <w:p w14:paraId="2FFE826B" w14:textId="77777777" w:rsidR="007F6E07" w:rsidRPr="008F64A0" w:rsidRDefault="007F6E07" w:rsidP="009031F7">
            <w:r w:rsidRPr="008F64A0">
              <w:t>eu-LISA</w:t>
            </w:r>
          </w:p>
        </w:tc>
        <w:tc>
          <w:tcPr>
            <w:tcW w:w="6996" w:type="dxa"/>
          </w:tcPr>
          <w:p w14:paraId="51DE03AF" w14:textId="77777777" w:rsidR="007F6E07" w:rsidRPr="008F64A0" w:rsidRDefault="007F6E07" w:rsidP="009031F7">
            <w:r w:rsidRPr="008F64A0">
              <w:t>Eiropas Savienības Aģentūra lielapjoma IT sistēmu darbības pārvaldībai brīvības, drošības un tiesiskuma telpā</w:t>
            </w:r>
          </w:p>
        </w:tc>
      </w:tr>
      <w:tr w:rsidR="000A2098" w:rsidRPr="008F64A0" w14:paraId="37C0244B" w14:textId="77777777" w:rsidTr="02E055BF">
        <w:tc>
          <w:tcPr>
            <w:tcW w:w="3256" w:type="dxa"/>
          </w:tcPr>
          <w:p w14:paraId="184F210C" w14:textId="25F152E6" w:rsidR="000A2098" w:rsidRPr="008F64A0" w:rsidRDefault="000A2098" w:rsidP="009031F7">
            <w:r w:rsidRPr="008F64A0">
              <w:t>EURODAC</w:t>
            </w:r>
          </w:p>
        </w:tc>
        <w:tc>
          <w:tcPr>
            <w:tcW w:w="6996" w:type="dxa"/>
          </w:tcPr>
          <w:p w14:paraId="2EB38348" w14:textId="35C510D6" w:rsidR="000A2098" w:rsidRPr="008F64A0" w:rsidRDefault="00410BB8" w:rsidP="009031F7">
            <w:r w:rsidRPr="008F64A0">
              <w:t>Eiropas pirkstu nospiedumu datubāze patvēruma meklētāju un nelegālo robežas šķērsotāju identificēšanai</w:t>
            </w:r>
          </w:p>
        </w:tc>
      </w:tr>
      <w:tr w:rsidR="005E5E79" w:rsidRPr="008F64A0" w14:paraId="74832D1F" w14:textId="77777777" w:rsidTr="02E055BF">
        <w:tc>
          <w:tcPr>
            <w:tcW w:w="3256" w:type="dxa"/>
          </w:tcPr>
          <w:p w14:paraId="57E14551" w14:textId="431B38BD" w:rsidR="005E5E79" w:rsidRPr="008F64A0" w:rsidRDefault="005E5E79" w:rsidP="009031F7">
            <w:r w:rsidRPr="008F64A0">
              <w:t>EUROSUR</w:t>
            </w:r>
          </w:p>
        </w:tc>
        <w:tc>
          <w:tcPr>
            <w:tcW w:w="6996" w:type="dxa"/>
          </w:tcPr>
          <w:p w14:paraId="782D14C8" w14:textId="271F51CB" w:rsidR="005E5E79" w:rsidRPr="008F64A0" w:rsidRDefault="008809F3" w:rsidP="009031F7">
            <w:r w:rsidRPr="008F64A0">
              <w:t>Eiropas Robežu uzraudzības sistēma</w:t>
            </w:r>
          </w:p>
        </w:tc>
      </w:tr>
      <w:tr w:rsidR="000D0D98" w:rsidRPr="008F64A0" w14:paraId="547362B3" w14:textId="77777777" w:rsidTr="02E055BF">
        <w:tc>
          <w:tcPr>
            <w:tcW w:w="3256" w:type="dxa"/>
          </w:tcPr>
          <w:p w14:paraId="72755F5C" w14:textId="0EED89F7" w:rsidR="000D0D98" w:rsidRPr="008F64A0" w:rsidRDefault="000D0D98" w:rsidP="009031F7">
            <w:r w:rsidRPr="008F64A0">
              <w:lastRenderedPageBreak/>
              <w:t>Frontex</w:t>
            </w:r>
          </w:p>
        </w:tc>
        <w:tc>
          <w:tcPr>
            <w:tcW w:w="6996" w:type="dxa"/>
          </w:tcPr>
          <w:p w14:paraId="1BD84FA0" w14:textId="6476E3B1" w:rsidR="000D0D98" w:rsidRPr="008F64A0" w:rsidRDefault="008809F3" w:rsidP="009031F7">
            <w:r w:rsidRPr="008F64A0">
              <w:t>Eiropas Robežu un krasta apsardzes aģentūra</w:t>
            </w:r>
          </w:p>
        </w:tc>
      </w:tr>
      <w:tr w:rsidR="007F6E07" w:rsidRPr="008F64A0" w14:paraId="301DFC0A" w14:textId="77777777" w:rsidTr="02E055BF">
        <w:tc>
          <w:tcPr>
            <w:tcW w:w="3256" w:type="dxa"/>
          </w:tcPr>
          <w:p w14:paraId="32574E4B" w14:textId="77777777" w:rsidR="007F6E07" w:rsidRPr="008F64A0" w:rsidRDefault="007F6E07" w:rsidP="009031F7">
            <w:r w:rsidRPr="008F64A0">
              <w:t>IDF</w:t>
            </w:r>
          </w:p>
        </w:tc>
        <w:tc>
          <w:tcPr>
            <w:tcW w:w="6996" w:type="dxa"/>
          </w:tcPr>
          <w:p w14:paraId="5A63576E" w14:textId="77777777" w:rsidR="007F6E07" w:rsidRPr="008F64A0" w:rsidRDefault="007F6E07" w:rsidP="009031F7">
            <w:r w:rsidRPr="008F64A0">
              <w:t>Iekšējās drošības fonds</w:t>
            </w:r>
          </w:p>
        </w:tc>
      </w:tr>
      <w:tr w:rsidR="00FB3434" w:rsidRPr="008F64A0" w14:paraId="73C1F5E7" w14:textId="77777777" w:rsidTr="02E055BF">
        <w:tc>
          <w:tcPr>
            <w:tcW w:w="3256" w:type="dxa"/>
          </w:tcPr>
          <w:p w14:paraId="5A3CFBB0" w14:textId="218313D0" w:rsidR="00FB3434" w:rsidRPr="008F64A0" w:rsidRDefault="00FB3434" w:rsidP="009031F7">
            <w:r w:rsidRPr="008F64A0">
              <w:t>IDF nacionālā programma</w:t>
            </w:r>
          </w:p>
        </w:tc>
        <w:tc>
          <w:tcPr>
            <w:tcW w:w="6996" w:type="dxa"/>
          </w:tcPr>
          <w:p w14:paraId="70908818" w14:textId="7303A26A" w:rsidR="00FB3434" w:rsidRPr="008F64A0" w:rsidRDefault="00FB3434" w:rsidP="009031F7">
            <w:r w:rsidRPr="008F64A0">
              <w:t>Iekšējās drošības fonda (2014.-2020. gadam) Latvijas nacionālā programma</w:t>
            </w:r>
          </w:p>
        </w:tc>
      </w:tr>
      <w:tr w:rsidR="00F56D34" w:rsidRPr="008F64A0" w14:paraId="2969E184" w14:textId="77777777" w:rsidTr="02E055BF">
        <w:tc>
          <w:tcPr>
            <w:tcW w:w="3256" w:type="dxa"/>
          </w:tcPr>
          <w:p w14:paraId="44532DD1" w14:textId="50CF32FB" w:rsidR="00F56D34" w:rsidRPr="008F64A0" w:rsidRDefault="00D54F43" w:rsidP="009031F7">
            <w:r w:rsidRPr="008F64A0">
              <w:t>IDF policijai, noziedzībai un krīzēm</w:t>
            </w:r>
          </w:p>
        </w:tc>
        <w:tc>
          <w:tcPr>
            <w:tcW w:w="6996" w:type="dxa"/>
          </w:tcPr>
          <w:p w14:paraId="461186B7" w14:textId="6E883DB3" w:rsidR="00F56D34" w:rsidRPr="008F64A0" w:rsidRDefault="00D54F43" w:rsidP="009031F7">
            <w:r w:rsidRPr="008F64A0">
              <w:t>Iekšējās drošības fonda finansiāla atbalsta instruments policijas sadarbībai, noziedzības novēršanai un apkarošanai un krīžu pārvarēšanai</w:t>
            </w:r>
          </w:p>
        </w:tc>
      </w:tr>
      <w:tr w:rsidR="00F56D34" w:rsidRPr="008F64A0" w14:paraId="6957C366" w14:textId="77777777" w:rsidTr="02E055BF">
        <w:tc>
          <w:tcPr>
            <w:tcW w:w="3256" w:type="dxa"/>
          </w:tcPr>
          <w:p w14:paraId="67E26E4E" w14:textId="24896FCF" w:rsidR="00F56D34" w:rsidRPr="008F64A0" w:rsidRDefault="00F56D34" w:rsidP="009031F7">
            <w:r w:rsidRPr="008F64A0">
              <w:t>IDF robež</w:t>
            </w:r>
            <w:r w:rsidR="00D54F43" w:rsidRPr="008F64A0">
              <w:t xml:space="preserve">ām </w:t>
            </w:r>
            <w:r w:rsidRPr="008F64A0">
              <w:t>un vīz</w:t>
            </w:r>
            <w:r w:rsidR="00D54F43" w:rsidRPr="008F64A0">
              <w:t>ām</w:t>
            </w:r>
          </w:p>
        </w:tc>
        <w:tc>
          <w:tcPr>
            <w:tcW w:w="6996" w:type="dxa"/>
          </w:tcPr>
          <w:p w14:paraId="74AE9A06" w14:textId="14F6CC2D" w:rsidR="00F56D34" w:rsidRPr="008F64A0" w:rsidRDefault="00F56D34" w:rsidP="009031F7">
            <w:r w:rsidRPr="008F64A0">
              <w:t>Iekšējās drošības fonda finansiāla atbalsta instruments ārējām robežām un vīzām</w:t>
            </w:r>
          </w:p>
        </w:tc>
      </w:tr>
      <w:tr w:rsidR="00E611A9" w:rsidRPr="008F64A0" w14:paraId="7BE57341" w14:textId="77777777" w:rsidTr="02E055BF">
        <w:tc>
          <w:tcPr>
            <w:tcW w:w="3256" w:type="dxa"/>
          </w:tcPr>
          <w:p w14:paraId="1A36C2F1" w14:textId="22C8E798" w:rsidR="00E611A9" w:rsidRPr="008F64A0" w:rsidRDefault="00E611A9" w:rsidP="009031F7">
            <w:r>
              <w:t>Iekšlietu fondu programmas</w:t>
            </w:r>
          </w:p>
        </w:tc>
        <w:tc>
          <w:tcPr>
            <w:tcW w:w="6996" w:type="dxa"/>
          </w:tcPr>
          <w:p w14:paraId="41E150CC" w14:textId="57CDA239" w:rsidR="00E611A9" w:rsidRPr="008F64A0" w:rsidRDefault="00E611A9" w:rsidP="009031F7">
            <w:r w:rsidRPr="00E611A9">
              <w:t>Patvēruma, migrācijas un integrācijas fonds</w:t>
            </w:r>
            <w:r>
              <w:t xml:space="preserve">, </w:t>
            </w:r>
            <w:r w:rsidRPr="008F64A0">
              <w:t>Iekšējās drošības fonda finansiāla atbalsta instruments policijas sadarbībai, noziedzības novēršanai un apkarošanai un krīžu pārvarēšanai</w:t>
            </w:r>
            <w:r>
              <w:t xml:space="preserve"> un </w:t>
            </w:r>
            <w:r w:rsidRPr="008F64A0">
              <w:t>Iekšējās drošības fonda finansiāla atbalsta instruments ārējām robežām un vīzām</w:t>
            </w:r>
          </w:p>
        </w:tc>
      </w:tr>
      <w:tr w:rsidR="008809F3" w:rsidRPr="008F64A0" w14:paraId="098CE6CC" w14:textId="77777777" w:rsidTr="02E055BF">
        <w:tc>
          <w:tcPr>
            <w:tcW w:w="3256" w:type="dxa"/>
          </w:tcPr>
          <w:p w14:paraId="74F3142B" w14:textId="7C6AF17E" w:rsidR="008809F3" w:rsidRPr="008F64A0" w:rsidRDefault="008809F3" w:rsidP="009031F7">
            <w:r w:rsidRPr="008F64A0">
              <w:t>IeM</w:t>
            </w:r>
          </w:p>
        </w:tc>
        <w:tc>
          <w:tcPr>
            <w:tcW w:w="6996" w:type="dxa"/>
          </w:tcPr>
          <w:p w14:paraId="2C59BBF8" w14:textId="6D51AE27" w:rsidR="008809F3" w:rsidRPr="008F64A0" w:rsidRDefault="008809F3" w:rsidP="009031F7">
            <w:r w:rsidRPr="008F64A0">
              <w:t>Iekšlietu ministrija</w:t>
            </w:r>
          </w:p>
        </w:tc>
      </w:tr>
      <w:tr w:rsidR="00CA3EBC" w:rsidRPr="008F64A0" w14:paraId="0E8CD17E" w14:textId="77777777" w:rsidTr="02E055BF">
        <w:tc>
          <w:tcPr>
            <w:tcW w:w="3256" w:type="dxa"/>
          </w:tcPr>
          <w:p w14:paraId="69CA8CCF" w14:textId="6A50A248" w:rsidR="00CA3EBC" w:rsidRPr="008F64A0" w:rsidRDefault="00CA3EBC" w:rsidP="009031F7">
            <w:r>
              <w:t>IeM IC</w:t>
            </w:r>
          </w:p>
        </w:tc>
        <w:tc>
          <w:tcPr>
            <w:tcW w:w="6996" w:type="dxa"/>
          </w:tcPr>
          <w:p w14:paraId="1A88D62A" w14:textId="0A9962BF" w:rsidR="00CA3EBC" w:rsidRPr="008F64A0" w:rsidRDefault="00CA3EBC" w:rsidP="009031F7">
            <w:r w:rsidRPr="008F64A0">
              <w:t>Iekšlietu ministrija</w:t>
            </w:r>
            <w:r>
              <w:t>s Informācijas centrs</w:t>
            </w:r>
          </w:p>
        </w:tc>
      </w:tr>
      <w:tr w:rsidR="00896F21" w:rsidRPr="008F64A0" w14:paraId="72C3DC30" w14:textId="77777777" w:rsidTr="02E055BF">
        <w:tc>
          <w:tcPr>
            <w:tcW w:w="3256" w:type="dxa"/>
          </w:tcPr>
          <w:p w14:paraId="079F567F" w14:textId="2327E96B" w:rsidR="00896F21" w:rsidRDefault="00896F21" w:rsidP="009031F7">
            <w:r>
              <w:t>IIA</w:t>
            </w:r>
          </w:p>
        </w:tc>
        <w:tc>
          <w:tcPr>
            <w:tcW w:w="6996" w:type="dxa"/>
          </w:tcPr>
          <w:p w14:paraId="06C5F139" w14:textId="53500477" w:rsidR="00896F21" w:rsidRPr="008F64A0" w:rsidRDefault="00896F21" w:rsidP="009031F7">
            <w:r>
              <w:t>Izmaksu un ieguvumu analīze</w:t>
            </w:r>
          </w:p>
        </w:tc>
      </w:tr>
      <w:tr w:rsidR="007F6E07" w:rsidRPr="008F64A0" w14:paraId="2E911605" w14:textId="77777777" w:rsidTr="02E055BF">
        <w:tc>
          <w:tcPr>
            <w:tcW w:w="3256" w:type="dxa"/>
          </w:tcPr>
          <w:p w14:paraId="095AE6C0" w14:textId="77777777" w:rsidR="007F6E07" w:rsidRPr="008F64A0" w:rsidRDefault="007F6E07" w:rsidP="009031F7">
            <w:r w:rsidRPr="008F64A0">
              <w:t>IIS</w:t>
            </w:r>
          </w:p>
        </w:tc>
        <w:tc>
          <w:tcPr>
            <w:tcW w:w="6996" w:type="dxa"/>
          </w:tcPr>
          <w:p w14:paraId="7F53026D" w14:textId="77777777" w:rsidR="007F6E07" w:rsidRPr="008F64A0" w:rsidRDefault="007F6E07" w:rsidP="009031F7">
            <w:r w:rsidRPr="008F64A0">
              <w:t>Ieceļošanas / izceļošanas sistēma</w:t>
            </w:r>
          </w:p>
        </w:tc>
      </w:tr>
      <w:tr w:rsidR="00FF7B22" w:rsidRPr="008F64A0" w14:paraId="40777DD4" w14:textId="77777777" w:rsidTr="02E055BF">
        <w:tc>
          <w:tcPr>
            <w:tcW w:w="3256" w:type="dxa"/>
          </w:tcPr>
          <w:p w14:paraId="2FECB7F5" w14:textId="309B1D9F" w:rsidR="00FF7B22" w:rsidRPr="008F64A0" w:rsidRDefault="00FF7B22" w:rsidP="009031F7">
            <w:r>
              <w:t>IS</w:t>
            </w:r>
          </w:p>
        </w:tc>
        <w:tc>
          <w:tcPr>
            <w:tcW w:w="6996" w:type="dxa"/>
          </w:tcPr>
          <w:p w14:paraId="2759F0CC" w14:textId="0E63C3E4" w:rsidR="00FF7B22" w:rsidRPr="008F64A0" w:rsidRDefault="00FF7B22" w:rsidP="009031F7">
            <w:r>
              <w:t>Informācijas sistēma</w:t>
            </w:r>
          </w:p>
        </w:tc>
      </w:tr>
      <w:tr w:rsidR="008B445F" w:rsidRPr="008F64A0" w14:paraId="4E293130" w14:textId="77777777" w:rsidTr="02E055BF">
        <w:tc>
          <w:tcPr>
            <w:tcW w:w="3256" w:type="dxa"/>
          </w:tcPr>
          <w:p w14:paraId="200C06DD" w14:textId="6123CFB5" w:rsidR="008B445F" w:rsidRPr="008F64A0" w:rsidRDefault="008B445F" w:rsidP="009031F7">
            <w:r>
              <w:t>IKT</w:t>
            </w:r>
          </w:p>
        </w:tc>
        <w:tc>
          <w:tcPr>
            <w:tcW w:w="6996" w:type="dxa"/>
          </w:tcPr>
          <w:p w14:paraId="0870102D" w14:textId="69C802D2" w:rsidR="008B445F" w:rsidRPr="008F64A0" w:rsidRDefault="00233627" w:rsidP="009031F7">
            <w:r w:rsidRPr="00233627">
              <w:t>Informācijas un komunikācijas tehnoloģijas</w:t>
            </w:r>
          </w:p>
        </w:tc>
      </w:tr>
      <w:tr w:rsidR="00DB665A" w:rsidRPr="008F64A0" w14:paraId="6D71F8DC" w14:textId="77777777" w:rsidTr="02E055BF">
        <w:tc>
          <w:tcPr>
            <w:tcW w:w="3256" w:type="dxa"/>
          </w:tcPr>
          <w:p w14:paraId="7DFC9759" w14:textId="4435FD0F" w:rsidR="00DB665A" w:rsidRDefault="00DB665A" w:rsidP="009031F7">
            <w:r>
              <w:t>IZM</w:t>
            </w:r>
          </w:p>
        </w:tc>
        <w:tc>
          <w:tcPr>
            <w:tcW w:w="6996" w:type="dxa"/>
          </w:tcPr>
          <w:p w14:paraId="5E473966" w14:textId="76B4ADD7" w:rsidR="00DB665A" w:rsidRPr="00233627" w:rsidRDefault="00DB665A" w:rsidP="009031F7">
            <w:r>
              <w:t>Izglītības un zinātnes ministrija</w:t>
            </w:r>
          </w:p>
        </w:tc>
      </w:tr>
      <w:tr w:rsidR="00A03014" w:rsidRPr="008F64A0" w14:paraId="47AF7289" w14:textId="77777777" w:rsidTr="02E055BF">
        <w:tc>
          <w:tcPr>
            <w:tcW w:w="3256" w:type="dxa"/>
          </w:tcPr>
          <w:p w14:paraId="29ADB756" w14:textId="486C31F1" w:rsidR="00A03014" w:rsidRPr="008F64A0" w:rsidRDefault="00A03014" w:rsidP="009031F7">
            <w:r w:rsidRPr="008F64A0">
              <w:t>Izvērtējums</w:t>
            </w:r>
          </w:p>
        </w:tc>
        <w:tc>
          <w:tcPr>
            <w:tcW w:w="6996" w:type="dxa"/>
          </w:tcPr>
          <w:p w14:paraId="085F3636" w14:textId="7FA5A110" w:rsidR="00A03014" w:rsidRPr="008F64A0" w:rsidRDefault="00A03014" w:rsidP="009031F7">
            <w:r w:rsidRPr="008F64A0">
              <w:t>ES Iekšējās drošības fonda un Patvēruma, migrācijas un integrācijas fonda 2014.-2020. gada plānošanas perioda nacionālo programmu pēcpārbaudes ietekmes (ex-post) izvērtējums</w:t>
            </w:r>
          </w:p>
        </w:tc>
      </w:tr>
      <w:tr w:rsidR="00C00594" w:rsidRPr="008F64A0" w14:paraId="76351F61" w14:textId="77777777" w:rsidTr="02E055BF">
        <w:tc>
          <w:tcPr>
            <w:tcW w:w="3256" w:type="dxa"/>
          </w:tcPr>
          <w:p w14:paraId="27215849" w14:textId="5537B16C" w:rsidR="00C00594" w:rsidRPr="008F64A0" w:rsidRDefault="00C00594" w:rsidP="009031F7">
            <w:r>
              <w:t>NKIM</w:t>
            </w:r>
          </w:p>
        </w:tc>
        <w:tc>
          <w:tcPr>
            <w:tcW w:w="6996" w:type="dxa"/>
          </w:tcPr>
          <w:p w14:paraId="4544A9DB" w14:textId="01BEEE97" w:rsidR="00C00594" w:rsidRPr="008F64A0" w:rsidRDefault="00F33368" w:rsidP="009031F7">
            <w:r w:rsidRPr="00F33368">
              <w:t>Nacionāl</w:t>
            </w:r>
            <w:r>
              <w:t>ais</w:t>
            </w:r>
            <w:r w:rsidRPr="00F33368">
              <w:t xml:space="preserve"> kriminālizlūkošanas mode</w:t>
            </w:r>
            <w:r>
              <w:t>lis</w:t>
            </w:r>
          </w:p>
        </w:tc>
      </w:tr>
      <w:tr w:rsidR="00CC6D2A" w:rsidRPr="008F64A0" w14:paraId="296428F8" w14:textId="77777777" w:rsidTr="02E055BF">
        <w:tc>
          <w:tcPr>
            <w:tcW w:w="3256" w:type="dxa"/>
          </w:tcPr>
          <w:p w14:paraId="078D131A" w14:textId="7F541C4E" w:rsidR="00CC6D2A" w:rsidRDefault="00CC6D2A" w:rsidP="009031F7">
            <w:r>
              <w:t>NPV</w:t>
            </w:r>
          </w:p>
        </w:tc>
        <w:tc>
          <w:tcPr>
            <w:tcW w:w="6996" w:type="dxa"/>
          </w:tcPr>
          <w:p w14:paraId="4A228564" w14:textId="349A3651" w:rsidR="00CC6D2A" w:rsidRPr="00F33368" w:rsidRDefault="00911790" w:rsidP="00911790">
            <w:r>
              <w:t>Neto pašreizējā vērtība, kas parāda investīciju līmeni, pie kura investīcijas konkrētajā projektā ir efektīvas</w:t>
            </w:r>
          </w:p>
        </w:tc>
      </w:tr>
      <w:tr w:rsidR="007F6E07" w:rsidRPr="008F64A0" w14:paraId="239C8738" w14:textId="77777777" w:rsidTr="02E055BF">
        <w:tc>
          <w:tcPr>
            <w:tcW w:w="3256" w:type="dxa"/>
          </w:tcPr>
          <w:p w14:paraId="0F069290" w14:textId="77777777" w:rsidR="007F6E07" w:rsidRPr="008F64A0" w:rsidRDefault="007F6E07" w:rsidP="009031F7">
            <w:r w:rsidRPr="008F64A0">
              <w:lastRenderedPageBreak/>
              <w:t>NUI</w:t>
            </w:r>
          </w:p>
        </w:tc>
        <w:tc>
          <w:tcPr>
            <w:tcW w:w="6996" w:type="dxa"/>
          </w:tcPr>
          <w:p w14:paraId="0A316280" w14:textId="77777777" w:rsidR="007F6E07" w:rsidRPr="008F64A0" w:rsidRDefault="007F6E07" w:rsidP="009031F7">
            <w:r w:rsidRPr="008F64A0">
              <w:t>Valsts vienotās saskarne</w:t>
            </w:r>
          </w:p>
        </w:tc>
      </w:tr>
      <w:tr w:rsidR="00461E23" w:rsidRPr="008F64A0" w14:paraId="3B564A34" w14:textId="77777777" w:rsidTr="02E055BF">
        <w:tc>
          <w:tcPr>
            <w:tcW w:w="3256" w:type="dxa"/>
          </w:tcPr>
          <w:p w14:paraId="5AC6917E" w14:textId="6F7B443A" w:rsidR="00461E23" w:rsidRPr="008F64A0" w:rsidRDefault="00461E23" w:rsidP="009031F7">
            <w:r>
              <w:t>NVA</w:t>
            </w:r>
          </w:p>
        </w:tc>
        <w:tc>
          <w:tcPr>
            <w:tcW w:w="6996" w:type="dxa"/>
          </w:tcPr>
          <w:p w14:paraId="0EC875A7" w14:textId="1D056B1B" w:rsidR="00461E23" w:rsidRPr="008F64A0" w:rsidRDefault="00461E23" w:rsidP="009031F7">
            <w:r>
              <w:t>Nodrošinājuma valsts aģentūra</w:t>
            </w:r>
          </w:p>
        </w:tc>
      </w:tr>
      <w:tr w:rsidR="00182B6A" w:rsidRPr="008F64A0" w14:paraId="3559B793" w14:textId="77777777" w:rsidTr="02E055BF">
        <w:tc>
          <w:tcPr>
            <w:tcW w:w="3256" w:type="dxa"/>
          </w:tcPr>
          <w:p w14:paraId="65513819" w14:textId="147E6F15" w:rsidR="00182B6A" w:rsidRPr="008F64A0" w:rsidRDefault="00182B6A" w:rsidP="009031F7">
            <w:r>
              <w:t>NVIS</w:t>
            </w:r>
          </w:p>
        </w:tc>
        <w:tc>
          <w:tcPr>
            <w:tcW w:w="6996" w:type="dxa"/>
          </w:tcPr>
          <w:p w14:paraId="77E207FF" w14:textId="5C3AE977" w:rsidR="00182B6A" w:rsidRPr="008F64A0" w:rsidRDefault="00182B6A" w:rsidP="009031F7">
            <w:r>
              <w:t>Nacionālā vīzu informācijas sistēma</w:t>
            </w:r>
          </w:p>
        </w:tc>
      </w:tr>
      <w:tr w:rsidR="003A77F7" w:rsidRPr="008F64A0" w14:paraId="550A064D" w14:textId="77777777" w:rsidTr="02E055BF">
        <w:tc>
          <w:tcPr>
            <w:tcW w:w="3256" w:type="dxa"/>
          </w:tcPr>
          <w:p w14:paraId="64BA588D" w14:textId="38518B95" w:rsidR="003A77F7" w:rsidRPr="008F64A0" w:rsidRDefault="003A77F7" w:rsidP="009031F7">
            <w:r w:rsidRPr="008F64A0">
              <w:t>OMEGA</w:t>
            </w:r>
          </w:p>
        </w:tc>
        <w:tc>
          <w:tcPr>
            <w:tcW w:w="6996" w:type="dxa"/>
          </w:tcPr>
          <w:p w14:paraId="5BE40112" w14:textId="12C74AB2" w:rsidR="003A77F7" w:rsidRPr="008F64A0" w:rsidRDefault="003A77F7" w:rsidP="009031F7">
            <w:r w:rsidRPr="008F64A0">
              <w:t>Pretterorisma vienība “Omega”</w:t>
            </w:r>
          </w:p>
        </w:tc>
      </w:tr>
      <w:tr w:rsidR="008B7B6B" w:rsidRPr="008F64A0" w14:paraId="4A7CA458" w14:textId="77777777" w:rsidTr="02E055BF">
        <w:tc>
          <w:tcPr>
            <w:tcW w:w="3256" w:type="dxa"/>
          </w:tcPr>
          <w:p w14:paraId="188CD97D" w14:textId="478218E5" w:rsidR="008B7B6B" w:rsidRPr="008F64A0" w:rsidRDefault="008B7B6B" w:rsidP="009031F7">
            <w:r w:rsidRPr="008F64A0">
              <w:t>PMC</w:t>
            </w:r>
          </w:p>
        </w:tc>
        <w:tc>
          <w:tcPr>
            <w:tcW w:w="6996" w:type="dxa"/>
          </w:tcPr>
          <w:p w14:paraId="6E8048FA" w14:textId="7453FF74" w:rsidR="008B7B6B" w:rsidRPr="008F64A0" w:rsidRDefault="008B7B6B" w:rsidP="009031F7">
            <w:r w:rsidRPr="008F64A0">
              <w:t>Patvēruma meklētāju centrs</w:t>
            </w:r>
          </w:p>
        </w:tc>
      </w:tr>
      <w:tr w:rsidR="00AA048F" w:rsidRPr="008F64A0" w14:paraId="08380D5D" w14:textId="77777777" w:rsidTr="02E055BF">
        <w:tc>
          <w:tcPr>
            <w:tcW w:w="3256" w:type="dxa"/>
          </w:tcPr>
          <w:p w14:paraId="1D82B559" w14:textId="16BDFD51" w:rsidR="00AA048F" w:rsidRPr="008F64A0" w:rsidRDefault="00AA048F" w:rsidP="009031F7">
            <w:r w:rsidRPr="008F64A0">
              <w:t>PMIF</w:t>
            </w:r>
          </w:p>
        </w:tc>
        <w:tc>
          <w:tcPr>
            <w:tcW w:w="6996" w:type="dxa"/>
          </w:tcPr>
          <w:p w14:paraId="3A73D17A" w14:textId="5C3ADE9B" w:rsidR="00AA048F" w:rsidRPr="008F64A0" w:rsidRDefault="00AA048F" w:rsidP="009031F7">
            <w:r w:rsidRPr="008F64A0">
              <w:t>Patvēruma, migrācijas un integrācijas fonds</w:t>
            </w:r>
          </w:p>
        </w:tc>
      </w:tr>
      <w:tr w:rsidR="004932D2" w:rsidRPr="008F64A0" w14:paraId="110648BA" w14:textId="77777777" w:rsidTr="02E055BF">
        <w:tc>
          <w:tcPr>
            <w:tcW w:w="3256" w:type="dxa"/>
          </w:tcPr>
          <w:p w14:paraId="24D38F56" w14:textId="3920C191" w:rsidR="004932D2" w:rsidRPr="008F64A0" w:rsidRDefault="004932D2" w:rsidP="009031F7">
            <w:r w:rsidRPr="008F64A0">
              <w:t>PMIF nacionālā programma</w:t>
            </w:r>
          </w:p>
        </w:tc>
        <w:tc>
          <w:tcPr>
            <w:tcW w:w="6996" w:type="dxa"/>
          </w:tcPr>
          <w:p w14:paraId="632EAF41" w14:textId="2C6947D5" w:rsidR="004932D2" w:rsidRPr="008F64A0" w:rsidRDefault="004932D2" w:rsidP="009031F7">
            <w:r w:rsidRPr="008F64A0">
              <w:t>Patvēruma, migrācijas un integrācijas fonda (2014.-2020. gadam) Latvijas nacionālā programma</w:t>
            </w:r>
          </w:p>
        </w:tc>
      </w:tr>
      <w:tr w:rsidR="00467575" w:rsidRPr="008F64A0" w14:paraId="4A7C0699" w14:textId="77777777" w:rsidTr="02E055BF">
        <w:tc>
          <w:tcPr>
            <w:tcW w:w="3256" w:type="dxa"/>
          </w:tcPr>
          <w:p w14:paraId="010D23EE" w14:textId="04AE243E" w:rsidR="00467575" w:rsidRPr="008F64A0" w:rsidRDefault="00467575" w:rsidP="009031F7">
            <w:r w:rsidRPr="008F64A0">
              <w:t>PMLP</w:t>
            </w:r>
          </w:p>
        </w:tc>
        <w:tc>
          <w:tcPr>
            <w:tcW w:w="6996" w:type="dxa"/>
          </w:tcPr>
          <w:p w14:paraId="70280606" w14:textId="5A98E190" w:rsidR="00467575" w:rsidRPr="008F64A0" w:rsidRDefault="00467575" w:rsidP="009031F7">
            <w:r w:rsidRPr="008F64A0">
              <w:t>Pilsonības un migrācijas lietu pārvalde</w:t>
            </w:r>
          </w:p>
        </w:tc>
      </w:tr>
      <w:tr w:rsidR="00F035BB" w:rsidRPr="008F64A0" w14:paraId="70D654BB" w14:textId="77777777" w:rsidTr="02E055BF">
        <w:tc>
          <w:tcPr>
            <w:tcW w:w="3256" w:type="dxa"/>
          </w:tcPr>
          <w:p w14:paraId="6B607D4F" w14:textId="781A8F58" w:rsidR="00F035BB" w:rsidRPr="008F64A0" w:rsidRDefault="00F035BB" w:rsidP="009031F7">
            <w:r>
              <w:t>PPP</w:t>
            </w:r>
          </w:p>
        </w:tc>
        <w:tc>
          <w:tcPr>
            <w:tcW w:w="6996" w:type="dxa"/>
          </w:tcPr>
          <w:p w14:paraId="6FB43EB3" w14:textId="3795FA3E" w:rsidR="00F035BB" w:rsidRPr="008F64A0" w:rsidRDefault="00F035BB" w:rsidP="009031F7">
            <w:r>
              <w:t>Pirktspējas paritāte</w:t>
            </w:r>
          </w:p>
        </w:tc>
      </w:tr>
      <w:tr w:rsidR="007F6E07" w:rsidRPr="008F64A0" w14:paraId="1EDBF5E6" w14:textId="77777777" w:rsidTr="02E055BF">
        <w:tc>
          <w:tcPr>
            <w:tcW w:w="3256" w:type="dxa"/>
          </w:tcPr>
          <w:p w14:paraId="46FC2418" w14:textId="77777777" w:rsidR="007F6E07" w:rsidRPr="008F64A0" w:rsidRDefault="007F6E07" w:rsidP="009031F7">
            <w:r w:rsidRPr="008F64A0">
              <w:t>REIS</w:t>
            </w:r>
          </w:p>
        </w:tc>
        <w:tc>
          <w:tcPr>
            <w:tcW w:w="6996" w:type="dxa"/>
          </w:tcPr>
          <w:p w14:paraId="520181C3" w14:textId="77777777" w:rsidR="007F6E07" w:rsidRPr="008F64A0" w:rsidRDefault="007F6E07" w:rsidP="009031F7">
            <w:r w:rsidRPr="008F64A0">
              <w:t>Valsts robežsardzes elektroniskās informācijas sistēma</w:t>
            </w:r>
          </w:p>
        </w:tc>
      </w:tr>
      <w:tr w:rsidR="00BD2212" w:rsidRPr="008F64A0" w14:paraId="7B2A85AD" w14:textId="77777777" w:rsidTr="02E055BF">
        <w:tc>
          <w:tcPr>
            <w:tcW w:w="3256" w:type="dxa"/>
          </w:tcPr>
          <w:p w14:paraId="02ED334C" w14:textId="412DFD47" w:rsidR="00BD2212" w:rsidRPr="00BD2212" w:rsidRDefault="00BD2212" w:rsidP="00BD2212">
            <w:r w:rsidRPr="00BD2212">
              <w:t>RKS</w:t>
            </w:r>
          </w:p>
        </w:tc>
        <w:tc>
          <w:tcPr>
            <w:tcW w:w="6996" w:type="dxa"/>
          </w:tcPr>
          <w:p w14:paraId="60D58A61" w14:textId="1C5A74DF" w:rsidR="00BD2212" w:rsidRPr="00BD2212" w:rsidRDefault="00BD2212" w:rsidP="00BD2212">
            <w:r w:rsidRPr="00BD2212">
              <w:t>Robežuzraudzības un kontroles sistēmas</w:t>
            </w:r>
          </w:p>
        </w:tc>
      </w:tr>
      <w:tr w:rsidR="00461E23" w:rsidRPr="008F64A0" w14:paraId="37513E29" w14:textId="77777777" w:rsidTr="02E055BF">
        <w:tc>
          <w:tcPr>
            <w:tcW w:w="3256" w:type="dxa"/>
          </w:tcPr>
          <w:p w14:paraId="6B7418D9" w14:textId="1F1C4BE6" w:rsidR="00461E23" w:rsidRPr="00BD2212" w:rsidRDefault="00461E23" w:rsidP="00BD2212">
            <w:r>
              <w:t>SIF</w:t>
            </w:r>
          </w:p>
        </w:tc>
        <w:tc>
          <w:tcPr>
            <w:tcW w:w="6996" w:type="dxa"/>
          </w:tcPr>
          <w:p w14:paraId="5FEA371D" w14:textId="662AD7B8" w:rsidR="00461E23" w:rsidRPr="00BD2212" w:rsidRDefault="00461E23" w:rsidP="00BD2212">
            <w:r>
              <w:t>Sabiedrības integrācijas fonds</w:t>
            </w:r>
          </w:p>
        </w:tc>
      </w:tr>
      <w:tr w:rsidR="00BD2212" w:rsidRPr="008F64A0" w14:paraId="487F0DCD" w14:textId="77777777" w:rsidTr="02E055BF">
        <w:tc>
          <w:tcPr>
            <w:tcW w:w="3256" w:type="dxa"/>
          </w:tcPr>
          <w:p w14:paraId="41F4BAFE" w14:textId="5CFBAD58" w:rsidR="00BD2212" w:rsidRPr="008F64A0" w:rsidRDefault="00BD2212" w:rsidP="00BD2212">
            <w:r w:rsidRPr="008F64A0">
              <w:t>SM</w:t>
            </w:r>
          </w:p>
        </w:tc>
        <w:tc>
          <w:tcPr>
            <w:tcW w:w="6996" w:type="dxa"/>
          </w:tcPr>
          <w:p w14:paraId="64B680FB" w14:textId="148E2F1D" w:rsidR="00BD2212" w:rsidRPr="008F64A0" w:rsidRDefault="00BD2212" w:rsidP="00BD2212">
            <w:r w:rsidRPr="008F64A0">
              <w:t>Specifiskais mērķis</w:t>
            </w:r>
          </w:p>
        </w:tc>
      </w:tr>
      <w:tr w:rsidR="00F8505C" w:rsidRPr="008F64A0" w14:paraId="40526790" w14:textId="77777777" w:rsidTr="02E055BF">
        <w:tc>
          <w:tcPr>
            <w:tcW w:w="3256" w:type="dxa"/>
          </w:tcPr>
          <w:p w14:paraId="239338C9" w14:textId="1299FA75" w:rsidR="00F8505C" w:rsidRPr="008F64A0" w:rsidRDefault="00F8505C" w:rsidP="00BD2212">
            <w:r>
              <w:t>TVP</w:t>
            </w:r>
          </w:p>
        </w:tc>
        <w:tc>
          <w:tcPr>
            <w:tcW w:w="6996" w:type="dxa"/>
          </w:tcPr>
          <w:p w14:paraId="61F648C4" w14:textId="26B97870" w:rsidR="00F8505C" w:rsidRPr="008F64A0" w:rsidRDefault="00F8505C" w:rsidP="00BD2212">
            <w:r>
              <w:t>Trešo valstu valst</w:t>
            </w:r>
            <w:r w:rsidR="00FC33A9">
              <w:t>s</w:t>
            </w:r>
            <w:r>
              <w:t>piederīgie</w:t>
            </w:r>
          </w:p>
        </w:tc>
      </w:tr>
      <w:tr w:rsidR="00BD2212" w:rsidRPr="008F64A0" w14:paraId="2D5C90C1" w14:textId="77777777" w:rsidTr="02E055BF">
        <w:tc>
          <w:tcPr>
            <w:tcW w:w="3256" w:type="dxa"/>
          </w:tcPr>
          <w:p w14:paraId="21B6FCEB" w14:textId="0FDE2BB9" w:rsidR="00BD2212" w:rsidRPr="008F64A0" w:rsidRDefault="00BD2212" w:rsidP="00BD2212">
            <w:r>
              <w:t>UK</w:t>
            </w:r>
          </w:p>
        </w:tc>
        <w:tc>
          <w:tcPr>
            <w:tcW w:w="6996" w:type="dxa"/>
          </w:tcPr>
          <w:p w14:paraId="04117906" w14:textId="4B62B28E" w:rsidR="00BD2212" w:rsidRPr="008F64A0" w:rsidRDefault="00BD2212" w:rsidP="00BD2212">
            <w:r>
              <w:t>Uzraudzības komiteja</w:t>
            </w:r>
          </w:p>
        </w:tc>
      </w:tr>
      <w:tr w:rsidR="00BD2212" w:rsidRPr="008F64A0" w14:paraId="3498D35F" w14:textId="77777777" w:rsidTr="02E055BF">
        <w:tc>
          <w:tcPr>
            <w:tcW w:w="3256" w:type="dxa"/>
          </w:tcPr>
          <w:p w14:paraId="166FEE72" w14:textId="71E2D102" w:rsidR="00BD2212" w:rsidRDefault="00BD2212" w:rsidP="00BD2212">
            <w:r>
              <w:t>VID</w:t>
            </w:r>
          </w:p>
        </w:tc>
        <w:tc>
          <w:tcPr>
            <w:tcW w:w="6996" w:type="dxa"/>
          </w:tcPr>
          <w:p w14:paraId="5F1B47A8" w14:textId="2F3F8B68" w:rsidR="00BD2212" w:rsidRDefault="00BD2212" w:rsidP="00BD2212">
            <w:r>
              <w:t>Valsts ieņēmumu dienests</w:t>
            </w:r>
          </w:p>
        </w:tc>
      </w:tr>
      <w:tr w:rsidR="0031696D" w:rsidRPr="008F64A0" w14:paraId="1A7E9D34" w14:textId="77777777" w:rsidTr="02E055BF">
        <w:tc>
          <w:tcPr>
            <w:tcW w:w="3256" w:type="dxa"/>
          </w:tcPr>
          <w:p w14:paraId="667749EB" w14:textId="144B4992" w:rsidR="0031696D" w:rsidRDefault="0031696D" w:rsidP="00BD2212">
            <w:r>
              <w:t>VIS</w:t>
            </w:r>
          </w:p>
        </w:tc>
        <w:tc>
          <w:tcPr>
            <w:tcW w:w="6996" w:type="dxa"/>
          </w:tcPr>
          <w:p w14:paraId="095B9C0F" w14:textId="56F76D7C" w:rsidR="0031696D" w:rsidRDefault="0031696D" w:rsidP="00BD2212">
            <w:r>
              <w:t>Vīzu informācijas sistēma</w:t>
            </w:r>
          </w:p>
        </w:tc>
      </w:tr>
      <w:tr w:rsidR="00BD2212" w:rsidRPr="008F64A0" w14:paraId="34E0A3B7" w14:textId="77777777" w:rsidTr="02E055BF">
        <w:tc>
          <w:tcPr>
            <w:tcW w:w="3256" w:type="dxa"/>
          </w:tcPr>
          <w:p w14:paraId="466295B9" w14:textId="694C0D32" w:rsidR="00BD2212" w:rsidRPr="008F64A0" w:rsidRDefault="00BD2212" w:rsidP="00BD2212">
            <w:r>
              <w:t>VP</w:t>
            </w:r>
          </w:p>
        </w:tc>
        <w:tc>
          <w:tcPr>
            <w:tcW w:w="6996" w:type="dxa"/>
          </w:tcPr>
          <w:p w14:paraId="4F16B312" w14:textId="6A7570D6" w:rsidR="00BD2212" w:rsidRPr="008F64A0" w:rsidRDefault="00BD2212" w:rsidP="00BD2212">
            <w:r>
              <w:t>Valsts policija</w:t>
            </w:r>
          </w:p>
        </w:tc>
      </w:tr>
      <w:tr w:rsidR="00BD2212" w:rsidRPr="008F64A0" w14:paraId="1734C0F5" w14:textId="77777777" w:rsidTr="02E055BF">
        <w:tc>
          <w:tcPr>
            <w:tcW w:w="3256" w:type="dxa"/>
          </w:tcPr>
          <w:p w14:paraId="329E59BB" w14:textId="5DDAAD15" w:rsidR="00BD2212" w:rsidRPr="008F64A0" w:rsidRDefault="00BD2212" w:rsidP="00BD2212">
            <w:r w:rsidRPr="008F64A0">
              <w:t>VRS</w:t>
            </w:r>
          </w:p>
        </w:tc>
        <w:tc>
          <w:tcPr>
            <w:tcW w:w="6996" w:type="dxa"/>
          </w:tcPr>
          <w:p w14:paraId="7FE53525" w14:textId="0F424ED9" w:rsidR="00BD2212" w:rsidRPr="008F64A0" w:rsidRDefault="00BD2212" w:rsidP="00BD2212">
            <w:r w:rsidRPr="008F64A0">
              <w:t>Valsts robežsardze</w:t>
            </w:r>
          </w:p>
        </w:tc>
      </w:tr>
      <w:tr w:rsidR="00BD2212" w:rsidRPr="008F64A0" w14:paraId="5129D3AB" w14:textId="77777777" w:rsidTr="02E055BF">
        <w:tc>
          <w:tcPr>
            <w:tcW w:w="3256" w:type="dxa"/>
          </w:tcPr>
          <w:p w14:paraId="5C92310D" w14:textId="2947F348" w:rsidR="00BD2212" w:rsidRPr="008F64A0" w:rsidRDefault="00BD2212" w:rsidP="00BD2212">
            <w:r w:rsidRPr="008F64A0">
              <w:t>VUGD</w:t>
            </w:r>
          </w:p>
        </w:tc>
        <w:tc>
          <w:tcPr>
            <w:tcW w:w="6996" w:type="dxa"/>
          </w:tcPr>
          <w:p w14:paraId="6F70B056" w14:textId="763B59BA" w:rsidR="00BD2212" w:rsidRPr="008F64A0" w:rsidRDefault="00BD2212" w:rsidP="00BD2212">
            <w:r w:rsidRPr="008F64A0">
              <w:t>Valsts ugunsdzēsības un glābšanas dienests</w:t>
            </w:r>
          </w:p>
        </w:tc>
      </w:tr>
    </w:tbl>
    <w:p w14:paraId="4459601B" w14:textId="77777777" w:rsidR="00795CFD" w:rsidRDefault="00795CFD">
      <w:pPr>
        <w:spacing w:before="0" w:line="259" w:lineRule="auto"/>
        <w:jc w:val="left"/>
        <w:rPr>
          <w:b/>
          <w:sz w:val="40"/>
          <w:szCs w:val="40"/>
        </w:rPr>
      </w:pPr>
      <w:bookmarkStart w:id="2" w:name="_Toc175821135"/>
      <w:bookmarkStart w:id="3" w:name="_Toc175823530"/>
      <w:r>
        <w:rPr>
          <w:b/>
          <w:sz w:val="40"/>
          <w:szCs w:val="40"/>
        </w:rPr>
        <w:br w:type="page"/>
      </w:r>
    </w:p>
    <w:p w14:paraId="103C78E0" w14:textId="5EC19AB8" w:rsidR="009031F7" w:rsidRPr="008F64A0" w:rsidRDefault="009031F7" w:rsidP="00B02D3C">
      <w:pPr>
        <w:spacing w:before="240"/>
        <w:rPr>
          <w:b/>
          <w:sz w:val="40"/>
          <w:szCs w:val="40"/>
        </w:rPr>
      </w:pPr>
      <w:r w:rsidRPr="008F64A0">
        <w:rPr>
          <w:b/>
          <w:sz w:val="40"/>
          <w:szCs w:val="40"/>
        </w:rPr>
        <w:lastRenderedPageBreak/>
        <w:t>SKAIDROJUMI</w:t>
      </w:r>
      <w:bookmarkEnd w:id="2"/>
      <w:bookmarkEnd w:id="3"/>
    </w:p>
    <w:tbl>
      <w:tblPr>
        <w:tblStyle w:val="Reatabula"/>
        <w:tblW w:w="0" w:type="auto"/>
        <w:tblLook w:val="04A0" w:firstRow="1" w:lastRow="0" w:firstColumn="1" w:lastColumn="0" w:noHBand="0" w:noVBand="1"/>
      </w:tblPr>
      <w:tblGrid>
        <w:gridCol w:w="3256"/>
        <w:gridCol w:w="6996"/>
      </w:tblGrid>
      <w:tr w:rsidR="000D0D98" w:rsidRPr="008F64A0" w14:paraId="206D0F5F" w14:textId="77777777" w:rsidTr="008820E1">
        <w:tc>
          <w:tcPr>
            <w:tcW w:w="3256" w:type="dxa"/>
          </w:tcPr>
          <w:p w14:paraId="050FDCF4" w14:textId="31BE38CA" w:rsidR="000D0D98" w:rsidRPr="008F64A0" w:rsidRDefault="000D0D98" w:rsidP="00B802A8">
            <w:pPr>
              <w:rPr>
                <w:i/>
                <w:iCs/>
              </w:rPr>
            </w:pPr>
            <w:r w:rsidRPr="008F64A0">
              <w:rPr>
                <w:i/>
                <w:iCs/>
              </w:rPr>
              <w:t>Acquis</w:t>
            </w:r>
          </w:p>
        </w:tc>
        <w:tc>
          <w:tcPr>
            <w:tcW w:w="6996" w:type="dxa"/>
          </w:tcPr>
          <w:p w14:paraId="4C9C3A15" w14:textId="7ACCF029" w:rsidR="000D0D98" w:rsidRPr="008F64A0" w:rsidRDefault="00BD24A0" w:rsidP="00B802A8">
            <w:r w:rsidRPr="008F64A0">
              <w:t>ES kopīgu tiesību un pienākumu krājums, kas veido ES tiesību aktu kopumu un ir iekļauts ES dalībvalstu tiesību sistēmās.</w:t>
            </w:r>
          </w:p>
        </w:tc>
      </w:tr>
      <w:tr w:rsidR="00B802A8" w:rsidRPr="008F64A0" w14:paraId="1B73C50F" w14:textId="77777777" w:rsidTr="008820E1">
        <w:tc>
          <w:tcPr>
            <w:tcW w:w="3256" w:type="dxa"/>
          </w:tcPr>
          <w:p w14:paraId="1661E55D" w14:textId="634567A8" w:rsidR="00B802A8" w:rsidRPr="008F64A0" w:rsidRDefault="00B802A8" w:rsidP="00B802A8">
            <w:r w:rsidRPr="008F64A0">
              <w:t>Atbildīgā iestāde</w:t>
            </w:r>
          </w:p>
        </w:tc>
        <w:tc>
          <w:tcPr>
            <w:tcW w:w="6996" w:type="dxa"/>
          </w:tcPr>
          <w:p w14:paraId="44A8D157" w14:textId="78A68DD1" w:rsidR="00B802A8" w:rsidRPr="008F64A0" w:rsidRDefault="00B802A8" w:rsidP="00B802A8">
            <w:r w:rsidRPr="008F64A0">
              <w:t xml:space="preserve">Iekšējās drošības fonda un Patvēruma, migrācijas un integrācijas fonda 2014.—2020.gada plānošanas perioda vadības likuma 7.pantā noteiktā iestāde, kuras funkcijas pilda Iekšlietu ministrija </w:t>
            </w:r>
          </w:p>
        </w:tc>
      </w:tr>
      <w:tr w:rsidR="00B802A8" w:rsidRPr="008F64A0" w14:paraId="0AEFBF03" w14:textId="77777777" w:rsidTr="008820E1">
        <w:tc>
          <w:tcPr>
            <w:tcW w:w="3256" w:type="dxa"/>
          </w:tcPr>
          <w:p w14:paraId="435B8ABE" w14:textId="77546D21" w:rsidR="00B802A8" w:rsidRPr="008F64A0" w:rsidRDefault="00B802A8" w:rsidP="00B802A8">
            <w:r w:rsidRPr="008F64A0">
              <w:t>Deleģētā iestāde</w:t>
            </w:r>
          </w:p>
        </w:tc>
        <w:tc>
          <w:tcPr>
            <w:tcW w:w="6996" w:type="dxa"/>
          </w:tcPr>
          <w:p w14:paraId="29E68101" w14:textId="7CEB7442" w:rsidR="00B802A8" w:rsidRPr="008F64A0" w:rsidRDefault="00B802A8" w:rsidP="00B802A8">
            <w:r w:rsidRPr="008F64A0">
              <w:t xml:space="preserve">Iekšējās drošības fonda un Patvēruma, migrācijas un integrācijas fonda 2014.—2020.gada plānošanas perioda vadības likuma 8.pantā noteiktā iestāde, kuras funkcijas pilda Kultūras ministrija </w:t>
            </w:r>
          </w:p>
        </w:tc>
      </w:tr>
      <w:tr w:rsidR="00D86F44" w:rsidRPr="008F64A0" w14:paraId="1578BDD0" w14:textId="77777777" w:rsidTr="008820E1">
        <w:tc>
          <w:tcPr>
            <w:tcW w:w="3256" w:type="dxa"/>
          </w:tcPr>
          <w:p w14:paraId="2D99A312" w14:textId="4A82EDD8" w:rsidR="00D86F44" w:rsidRPr="00BF3800" w:rsidRDefault="00D86F44" w:rsidP="00B802A8">
            <w:r w:rsidRPr="00BF3800">
              <w:rPr>
                <w:bCs/>
              </w:rPr>
              <w:t>ES Direktīva Nr. 2011/95/ES</w:t>
            </w:r>
          </w:p>
        </w:tc>
        <w:tc>
          <w:tcPr>
            <w:tcW w:w="6996" w:type="dxa"/>
          </w:tcPr>
          <w:p w14:paraId="7A11BC7B" w14:textId="03CCA96D" w:rsidR="00D86F44" w:rsidRPr="00BF3800" w:rsidRDefault="00644EE4" w:rsidP="00B802A8">
            <w:r w:rsidRPr="00BF3800">
              <w:t>Eiropas Parlamenta un Padomes Direktīva 2011/95/ES (2011. gada 13. decembris) par standartiem, lai trešo valstu valstspiederīgos vai bezvalstniekus kvalificētu kā starptautiskās aizsardzības saņēmējus, par bēgļu vai personu, kas tiesīgas saņemt alternatīvo aizsardzību, vienotu statusu, un par piešķirtās aizsardzības saturu.</w:t>
            </w:r>
          </w:p>
        </w:tc>
      </w:tr>
      <w:tr w:rsidR="00B802A8" w:rsidRPr="008F64A0" w14:paraId="477FCCB6" w14:textId="77777777" w:rsidTr="008820E1">
        <w:tc>
          <w:tcPr>
            <w:tcW w:w="3256" w:type="dxa"/>
          </w:tcPr>
          <w:p w14:paraId="4BB0784B" w14:textId="191EB961" w:rsidR="00B802A8" w:rsidRPr="008F64A0" w:rsidRDefault="00B802A8" w:rsidP="00B802A8">
            <w:r w:rsidRPr="008F64A0">
              <w:t>ES Padomes lēmums Nr. 2015/1523</w:t>
            </w:r>
          </w:p>
        </w:tc>
        <w:tc>
          <w:tcPr>
            <w:tcW w:w="6996" w:type="dxa"/>
          </w:tcPr>
          <w:p w14:paraId="4C03C3EA" w14:textId="4ABA7AB5" w:rsidR="00B802A8" w:rsidRPr="008F64A0" w:rsidRDefault="00B802A8" w:rsidP="00B802A8">
            <w:r w:rsidRPr="008F64A0">
              <w:t>PADOMES LĒMUMS (ES) 2015/1523 (2015. gada 14. septembris), ar ko nosaka pagaidu pasākumus starptautiskās aizsardzības jomā Itālijas un Grieķijas labā</w:t>
            </w:r>
          </w:p>
        </w:tc>
      </w:tr>
      <w:tr w:rsidR="00B802A8" w:rsidRPr="008F64A0" w14:paraId="3D67AC55" w14:textId="77777777" w:rsidTr="008820E1">
        <w:tc>
          <w:tcPr>
            <w:tcW w:w="3256" w:type="dxa"/>
          </w:tcPr>
          <w:p w14:paraId="5B31FA3D" w14:textId="6F023BA1" w:rsidR="00B802A8" w:rsidRPr="008F64A0" w:rsidRDefault="00B802A8" w:rsidP="00B802A8">
            <w:r w:rsidRPr="008F64A0">
              <w:t>ES Padomes lēmums Nr. 2015/1601</w:t>
            </w:r>
          </w:p>
        </w:tc>
        <w:tc>
          <w:tcPr>
            <w:tcW w:w="6996" w:type="dxa"/>
          </w:tcPr>
          <w:p w14:paraId="2759DC5D" w14:textId="43B69370" w:rsidR="00B802A8" w:rsidRPr="008F64A0" w:rsidRDefault="00B802A8" w:rsidP="00B802A8">
            <w:r w:rsidRPr="008F64A0">
              <w:t>PADOMES LĒMUMS (ES) 2015/1601 (2015. gada 22. septembris), ar ko nosaka pagaidu pasākumus starptautiskās aizsardzības jomā Itālijas un Grieķijas labā</w:t>
            </w:r>
          </w:p>
        </w:tc>
      </w:tr>
      <w:tr w:rsidR="00721CDD" w:rsidRPr="008F64A0" w14:paraId="7662D599" w14:textId="77777777" w:rsidTr="008820E1">
        <w:tc>
          <w:tcPr>
            <w:tcW w:w="3256" w:type="dxa"/>
          </w:tcPr>
          <w:p w14:paraId="4F5AE01B" w14:textId="33C488B0" w:rsidR="00721CDD" w:rsidRPr="008F64A0" w:rsidRDefault="00721CDD" w:rsidP="00721CDD">
            <w:r w:rsidRPr="008F64A0">
              <w:t>ES Regula Nr. 2017/2226</w:t>
            </w:r>
          </w:p>
        </w:tc>
        <w:tc>
          <w:tcPr>
            <w:tcW w:w="6996" w:type="dxa"/>
          </w:tcPr>
          <w:p w14:paraId="6C543ADB" w14:textId="15BC9916" w:rsidR="00721CDD" w:rsidRPr="008F64A0" w:rsidRDefault="00721CDD" w:rsidP="00721CDD">
            <w:r w:rsidRPr="008F64A0">
              <w:t>Eiropas Parlamenta un Padomes Regulas (ES) 2017/2226 (2017. gada 30. novembris), ar ko izveido ieceļošanas/izceļošanas sistēmu (IIS), lai reģistrētu to trešo valstu valstspiederīgo ieceļošanas un izceļošanas datus un ieceļošanas atteikumu datus, kuri šķērso dalībvalstu ārējās robežas, un ar ko paredz nosacījumus piekļuvei IIS tiesībaizsardzības nolūkos, un ar ko groza Konvenciju, ar ko īsteno Šengenas nolīgumu, un Regulas (EK) Nr. 767/2008 un (ES) Nr. 1077/2011.</w:t>
            </w:r>
          </w:p>
        </w:tc>
      </w:tr>
      <w:tr w:rsidR="00721CDD" w:rsidRPr="008F64A0" w14:paraId="04C49E29" w14:textId="77777777" w:rsidTr="008820E1">
        <w:tc>
          <w:tcPr>
            <w:tcW w:w="3256" w:type="dxa"/>
          </w:tcPr>
          <w:p w14:paraId="32FD83BD" w14:textId="7F49AFF7" w:rsidR="00721CDD" w:rsidRPr="008F64A0" w:rsidRDefault="00721CDD" w:rsidP="00721CDD">
            <w:r w:rsidRPr="008F64A0">
              <w:t>ES Regula Nr. 2018/1240</w:t>
            </w:r>
          </w:p>
        </w:tc>
        <w:tc>
          <w:tcPr>
            <w:tcW w:w="6996" w:type="dxa"/>
          </w:tcPr>
          <w:p w14:paraId="42B3BF74" w14:textId="48F081CE" w:rsidR="00721CDD" w:rsidRPr="008F64A0" w:rsidRDefault="00721CDD" w:rsidP="00721CDD">
            <w:r w:rsidRPr="008F64A0">
              <w:t>Eiropas Parlamenta un Padomes Regula (ES) 2018/1240 (2018. gada 12. septembris), ar ko izveido Eiropas ceļošanas informācijas un atļauju sistēmu (ETIAS) un groza Regulas (ES) Nr. 1077/2011, (ES) Nr. 515/2014, (ES) 2016/399, (ES) 2016/1624 un (ES) 2017/2226</w:t>
            </w:r>
          </w:p>
        </w:tc>
      </w:tr>
      <w:tr w:rsidR="00FC491D" w:rsidRPr="008F64A0" w14:paraId="34A6FF80" w14:textId="77777777" w:rsidTr="008820E1">
        <w:tc>
          <w:tcPr>
            <w:tcW w:w="3256" w:type="dxa"/>
          </w:tcPr>
          <w:p w14:paraId="709C4094" w14:textId="1F28198F" w:rsidR="00FC491D" w:rsidRPr="008F64A0" w:rsidRDefault="00FC491D" w:rsidP="00721CDD">
            <w:r w:rsidRPr="008F64A0">
              <w:t>ES Regula Nr. 513/2014</w:t>
            </w:r>
          </w:p>
        </w:tc>
        <w:tc>
          <w:tcPr>
            <w:tcW w:w="6996" w:type="dxa"/>
          </w:tcPr>
          <w:p w14:paraId="356667C0" w14:textId="50227361" w:rsidR="00FC491D" w:rsidRPr="008F64A0" w:rsidRDefault="00FC491D" w:rsidP="00721CDD">
            <w:r w:rsidRPr="008F64A0">
              <w:t xml:space="preserve">Eiropas Parlamenta un Padomes 2014. gada 16. aprīļa regula (ES) Nr. 513/2014, ar ko kā daļu no Iekšējās drošības fonda izveido finansiālā atbalsta instrumentu policijas sadarbībai, noziedzības novēršanai un </w:t>
            </w:r>
            <w:r w:rsidRPr="008F64A0">
              <w:lastRenderedPageBreak/>
              <w:t>apkarošanai un krīžu pārvarēšanai un atceļ Padomes Lēmumu 2007/125/TI</w:t>
            </w:r>
          </w:p>
        </w:tc>
      </w:tr>
      <w:tr w:rsidR="00721CDD" w:rsidRPr="008F64A0" w14:paraId="59589767" w14:textId="77777777" w:rsidTr="008820E1">
        <w:tc>
          <w:tcPr>
            <w:tcW w:w="3256" w:type="dxa"/>
          </w:tcPr>
          <w:p w14:paraId="32D1FC46" w14:textId="26AD32E2" w:rsidR="00721CDD" w:rsidRPr="008F64A0" w:rsidRDefault="00721CDD" w:rsidP="00721CDD">
            <w:r w:rsidRPr="008F64A0">
              <w:lastRenderedPageBreak/>
              <w:t>ES Regula Nr. 514/2014</w:t>
            </w:r>
          </w:p>
        </w:tc>
        <w:tc>
          <w:tcPr>
            <w:tcW w:w="6996" w:type="dxa"/>
          </w:tcPr>
          <w:p w14:paraId="3CC7D58F" w14:textId="542608B3" w:rsidR="00721CDD" w:rsidRPr="008F64A0" w:rsidRDefault="00721CDD" w:rsidP="00721CDD">
            <w:r w:rsidRPr="008F64A0">
              <w:t>Eiropas Parlamenta un Padomes 2014. gada 16. aprīļa regula (ES) Nr.  514/2014, ar ko paredz vispārīgus noteikumus Patvēruma, migrācijas un integrācijas fondam un finansiālā atbalsta instrumentam policijas sadarbībai, noziedzības novēršanai un apkarošanai un krīžu pārvarēšanai</w:t>
            </w:r>
          </w:p>
        </w:tc>
      </w:tr>
      <w:tr w:rsidR="00721CDD" w:rsidRPr="008F64A0" w14:paraId="1703EDCC" w14:textId="77777777" w:rsidTr="008820E1">
        <w:tc>
          <w:tcPr>
            <w:tcW w:w="3256" w:type="dxa"/>
          </w:tcPr>
          <w:p w14:paraId="721BA880" w14:textId="24533C0E" w:rsidR="00721CDD" w:rsidRPr="008F64A0" w:rsidRDefault="00721CDD" w:rsidP="00721CDD">
            <w:r w:rsidRPr="008F64A0">
              <w:t>ES Regula Nr. 515/2014</w:t>
            </w:r>
          </w:p>
        </w:tc>
        <w:tc>
          <w:tcPr>
            <w:tcW w:w="6996" w:type="dxa"/>
          </w:tcPr>
          <w:p w14:paraId="2A1C3402" w14:textId="6FA56BBA" w:rsidR="00721CDD" w:rsidRPr="008F64A0" w:rsidRDefault="00721CDD" w:rsidP="00721CDD">
            <w:r w:rsidRPr="008F64A0">
              <w:t>Eiropas Parlamenta un Padomes 2014. gada 16. aprīļa Regula (ES) Nr. 515/2014, ar ko kā daļu no Iekšējās drošības fonda izveido finansiāla atbalsta instrumentu ārējām robežām un vīzām un atceļ Lēmumu Nr. 574/2007/EK</w:t>
            </w:r>
          </w:p>
        </w:tc>
      </w:tr>
      <w:tr w:rsidR="009F4978" w:rsidRPr="008F64A0" w14:paraId="4EC79657" w14:textId="77777777" w:rsidTr="008820E1">
        <w:tc>
          <w:tcPr>
            <w:tcW w:w="3256" w:type="dxa"/>
          </w:tcPr>
          <w:p w14:paraId="55D8DF46" w14:textId="5D304157" w:rsidR="009F4978" w:rsidRPr="008F64A0" w:rsidRDefault="009F4978" w:rsidP="009F4978">
            <w:r w:rsidRPr="008F64A0">
              <w:t>N.SIS II</w:t>
            </w:r>
          </w:p>
        </w:tc>
        <w:tc>
          <w:tcPr>
            <w:tcW w:w="6996" w:type="dxa"/>
          </w:tcPr>
          <w:p w14:paraId="7BFA5CD0" w14:textId="1F47973A" w:rsidR="009F4978" w:rsidRPr="008F64A0" w:rsidRDefault="009F4978" w:rsidP="009F4978">
            <w:r w:rsidRPr="008F64A0">
              <w:t>Otrās paaudzes Šengenas informācijas sistēmas valsts sistēma</w:t>
            </w:r>
          </w:p>
        </w:tc>
      </w:tr>
      <w:tr w:rsidR="009F4978" w:rsidRPr="008F64A0" w14:paraId="37B76C92" w14:textId="77777777" w:rsidTr="008820E1">
        <w:tc>
          <w:tcPr>
            <w:tcW w:w="3256" w:type="dxa"/>
          </w:tcPr>
          <w:p w14:paraId="4523AF1E" w14:textId="2E0B8F33" w:rsidR="009F4978" w:rsidRPr="008F64A0" w:rsidRDefault="009F4978" w:rsidP="009F4978">
            <w:r w:rsidRPr="008F64A0">
              <w:t xml:space="preserve">SIRENE </w:t>
            </w:r>
          </w:p>
        </w:tc>
        <w:tc>
          <w:tcPr>
            <w:tcW w:w="6996" w:type="dxa"/>
          </w:tcPr>
          <w:p w14:paraId="0501F8EE" w14:textId="6C6F8369" w:rsidR="009F4978" w:rsidRPr="008F64A0" w:rsidRDefault="009F4978" w:rsidP="009F4978">
            <w:r w:rsidRPr="008F64A0">
              <w:t>ES sistēma, kas palīdz dalībvalstīm apmainīties ar informāciju par drošības jautājumiem, piemēram, meklēšanām, aizturēšanām, pazudušiem cilvēkiem un noziedzniekiem, kā arī veicina robežu un iekšējo drošību.</w:t>
            </w:r>
          </w:p>
        </w:tc>
      </w:tr>
      <w:tr w:rsidR="009F4978" w:rsidRPr="008F64A0" w14:paraId="5DB32F13" w14:textId="77777777" w:rsidTr="008820E1">
        <w:tc>
          <w:tcPr>
            <w:tcW w:w="3256" w:type="dxa"/>
          </w:tcPr>
          <w:p w14:paraId="495FB49A" w14:textId="4C651A2C" w:rsidR="009F4978" w:rsidRPr="008F64A0" w:rsidRDefault="009F4978" w:rsidP="009F4978">
            <w:r>
              <w:t>Revīzijas iestāde</w:t>
            </w:r>
          </w:p>
        </w:tc>
        <w:tc>
          <w:tcPr>
            <w:tcW w:w="6996" w:type="dxa"/>
          </w:tcPr>
          <w:p w14:paraId="77A05A40" w14:textId="2766C11D" w:rsidR="009F4978" w:rsidRPr="008F64A0" w:rsidRDefault="008408A9" w:rsidP="009F4978">
            <w:r w:rsidRPr="008F64A0">
              <w:t>Iekšējās drošības fonda un Patvēruma, migrācijas un integrācijas fonda 2014.—2020.gada plānošanas perioda vadības likuma</w:t>
            </w:r>
            <w:r>
              <w:t xml:space="preserve"> 9</w:t>
            </w:r>
            <w:r w:rsidRPr="008F64A0">
              <w:t xml:space="preserve">.pantā noteiktā iestāde, kuras funkcijas pilda </w:t>
            </w:r>
            <w:r>
              <w:t>Finanšu</w:t>
            </w:r>
            <w:r w:rsidRPr="008F64A0">
              <w:t xml:space="preserve"> ministrija</w:t>
            </w:r>
          </w:p>
        </w:tc>
      </w:tr>
    </w:tbl>
    <w:p w14:paraId="63714C90" w14:textId="3413C958" w:rsidR="009031F7" w:rsidRPr="008F64A0" w:rsidRDefault="009031F7" w:rsidP="009031F7"/>
    <w:p w14:paraId="4535C045" w14:textId="77777777" w:rsidR="00A03014" w:rsidRPr="008F64A0" w:rsidRDefault="00A03014">
      <w:pPr>
        <w:spacing w:before="0" w:line="259" w:lineRule="auto"/>
        <w:jc w:val="left"/>
        <w:rPr>
          <w:b/>
          <w:sz w:val="40"/>
          <w:szCs w:val="40"/>
        </w:rPr>
      </w:pPr>
      <w:bookmarkStart w:id="4" w:name="_Toc175821136"/>
      <w:bookmarkStart w:id="5" w:name="_Toc175823531"/>
      <w:r w:rsidRPr="008F64A0">
        <w:rPr>
          <w:b/>
          <w:sz w:val="40"/>
          <w:szCs w:val="40"/>
        </w:rPr>
        <w:br w:type="page"/>
      </w:r>
    </w:p>
    <w:p w14:paraId="214991CF" w14:textId="76200391" w:rsidR="009031F7" w:rsidRPr="008F64A0" w:rsidRDefault="009031F7" w:rsidP="00A469F2">
      <w:pPr>
        <w:rPr>
          <w:b/>
          <w:sz w:val="40"/>
          <w:szCs w:val="40"/>
        </w:rPr>
      </w:pPr>
      <w:r w:rsidRPr="008F64A0">
        <w:rPr>
          <w:b/>
          <w:sz w:val="40"/>
          <w:szCs w:val="40"/>
        </w:rPr>
        <w:lastRenderedPageBreak/>
        <w:t>TABULU SARAKSTS</w:t>
      </w:r>
      <w:bookmarkEnd w:id="4"/>
      <w:bookmarkEnd w:id="5"/>
    </w:p>
    <w:bookmarkStart w:id="6" w:name="_Toc175821137"/>
    <w:bookmarkStart w:id="7" w:name="_Toc175823532"/>
    <w:p w14:paraId="2A453F3B" w14:textId="1A6045D5" w:rsidR="001B1C5D" w:rsidRDefault="002055E7" w:rsidP="001B1C5D">
      <w:r>
        <w:fldChar w:fldCharType="begin"/>
      </w:r>
      <w:r>
        <w:instrText xml:space="preserve"> REF _Ref191388492 \h </w:instrText>
      </w:r>
      <w:r>
        <w:fldChar w:fldCharType="separate"/>
      </w:r>
      <w:r w:rsidR="00E7584F" w:rsidRPr="008F64A0">
        <w:t xml:space="preserve">Tabula </w:t>
      </w:r>
      <w:r w:rsidR="00E7584F">
        <w:t>1</w:t>
      </w:r>
      <w:r w:rsidR="00E7584F" w:rsidRPr="008F64A0">
        <w:t xml:space="preserve"> Nacionālajā programmā paredzētās aktivitātes atbilstoši PMIF specifiskajiem mērķiem</w:t>
      </w:r>
      <w:r>
        <w:fldChar w:fldCharType="end"/>
      </w:r>
    </w:p>
    <w:p w14:paraId="433E4971" w14:textId="486C8EF9" w:rsidR="002055E7" w:rsidRDefault="002055E7" w:rsidP="001B1C5D">
      <w:r>
        <w:fldChar w:fldCharType="begin"/>
      </w:r>
      <w:r>
        <w:instrText xml:space="preserve"> REF _Ref191388498 \h </w:instrText>
      </w:r>
      <w:r>
        <w:fldChar w:fldCharType="separate"/>
      </w:r>
      <w:r w:rsidR="00E7584F" w:rsidRPr="008F64A0">
        <w:t xml:space="preserve">Tabula </w:t>
      </w:r>
      <w:r w:rsidR="00E7584F">
        <w:t>2.</w:t>
      </w:r>
      <w:r w:rsidR="00E7584F" w:rsidRPr="008F64A0">
        <w:t xml:space="preserve"> PMIF nacionālajā programmā def</w:t>
      </w:r>
      <w:r w:rsidR="00E7584F">
        <w:t>i</w:t>
      </w:r>
      <w:r w:rsidR="00E7584F" w:rsidRPr="008F64A0">
        <w:t>nētie rezultatīvie rādītāji un to sasniegtās vērtības</w:t>
      </w:r>
      <w:r>
        <w:fldChar w:fldCharType="end"/>
      </w:r>
    </w:p>
    <w:p w14:paraId="65C68B79" w14:textId="35C322F7" w:rsidR="002055E7" w:rsidRDefault="002055E7" w:rsidP="001B1C5D">
      <w:r>
        <w:fldChar w:fldCharType="begin"/>
      </w:r>
      <w:r>
        <w:instrText xml:space="preserve"> REF _Ref191388521 \h </w:instrText>
      </w:r>
      <w:r>
        <w:fldChar w:fldCharType="separate"/>
      </w:r>
      <w:r w:rsidR="00E7584F" w:rsidRPr="008F64A0">
        <w:t xml:space="preserve">Tabula </w:t>
      </w:r>
      <w:r w:rsidR="00E7584F">
        <w:t>3</w:t>
      </w:r>
      <w:r w:rsidR="00E7584F" w:rsidRPr="008F64A0">
        <w:t xml:space="preserve"> Nacionālajā programmā paredzētās aktivitātes atbilstoši IDF robežas un vīzas specifiskajiem mērķiem</w:t>
      </w:r>
      <w:r>
        <w:fldChar w:fldCharType="end"/>
      </w:r>
    </w:p>
    <w:p w14:paraId="426FC76D" w14:textId="41107371" w:rsidR="002055E7" w:rsidRDefault="002055E7" w:rsidP="001B1C5D">
      <w:r>
        <w:fldChar w:fldCharType="begin"/>
      </w:r>
      <w:r>
        <w:instrText xml:space="preserve"> REF _Ref191388525 \h </w:instrText>
      </w:r>
      <w:r>
        <w:fldChar w:fldCharType="separate"/>
      </w:r>
      <w:r w:rsidR="00E7584F" w:rsidRPr="008F64A0">
        <w:t xml:space="preserve">Tabula </w:t>
      </w:r>
      <w:r w:rsidR="00E7584F">
        <w:t>4</w:t>
      </w:r>
      <w:r w:rsidR="00E7584F" w:rsidRPr="008F64A0">
        <w:t xml:space="preserve"> </w:t>
      </w:r>
      <w:r w:rsidR="00E7584F">
        <w:t>IDF</w:t>
      </w:r>
      <w:r w:rsidR="00E7584F" w:rsidRPr="008F64A0">
        <w:t xml:space="preserve"> nacionālajā programmā def</w:t>
      </w:r>
      <w:r w:rsidR="00E7584F">
        <w:t>i</w:t>
      </w:r>
      <w:r w:rsidR="00E7584F" w:rsidRPr="008F64A0">
        <w:t xml:space="preserve">nētie rezultatīvie rādītāji </w:t>
      </w:r>
      <w:r w:rsidR="00E7584F">
        <w:t xml:space="preserve">vīzām un robežām </w:t>
      </w:r>
      <w:r w:rsidR="00E7584F" w:rsidRPr="008F64A0">
        <w:t>un to sasniegtās vērtības</w:t>
      </w:r>
      <w:r>
        <w:fldChar w:fldCharType="end"/>
      </w:r>
    </w:p>
    <w:p w14:paraId="72BEC817" w14:textId="0B920B11" w:rsidR="002055E7" w:rsidRDefault="002055E7" w:rsidP="001B1C5D">
      <w:r>
        <w:fldChar w:fldCharType="begin"/>
      </w:r>
      <w:r>
        <w:instrText xml:space="preserve"> REF _Ref190334393 \h </w:instrText>
      </w:r>
      <w:r>
        <w:fldChar w:fldCharType="separate"/>
      </w:r>
      <w:r w:rsidR="00E7584F" w:rsidRPr="008F64A0">
        <w:t xml:space="preserve">Tabula </w:t>
      </w:r>
      <w:r w:rsidR="00E7584F">
        <w:t>5</w:t>
      </w:r>
      <w:r w:rsidR="00E7584F" w:rsidRPr="008F64A0">
        <w:t xml:space="preserve"> Nacionālajā programmā paredzētās aktivitātes atbilstoši PMIF specifiskajiem mērķiem</w:t>
      </w:r>
      <w:r>
        <w:fldChar w:fldCharType="end"/>
      </w:r>
    </w:p>
    <w:p w14:paraId="3B6300ED" w14:textId="68B099ED" w:rsidR="002055E7" w:rsidRDefault="002055E7" w:rsidP="001B1C5D">
      <w:r>
        <w:fldChar w:fldCharType="begin"/>
      </w:r>
      <w:r>
        <w:instrText xml:space="preserve"> REF _Ref191388528 \h </w:instrText>
      </w:r>
      <w:r>
        <w:fldChar w:fldCharType="separate"/>
      </w:r>
      <w:r w:rsidR="00E7584F" w:rsidRPr="008F64A0">
        <w:t xml:space="preserve">Tabula </w:t>
      </w:r>
      <w:r w:rsidR="00E7584F">
        <w:t>6.</w:t>
      </w:r>
      <w:r w:rsidR="00E7584F" w:rsidRPr="008F64A0">
        <w:t xml:space="preserve"> </w:t>
      </w:r>
      <w:r w:rsidR="00E7584F">
        <w:t>IDF</w:t>
      </w:r>
      <w:r w:rsidR="00E7584F" w:rsidRPr="008F64A0">
        <w:t xml:space="preserve"> nacionālajā programmā def</w:t>
      </w:r>
      <w:r w:rsidR="00E7584F">
        <w:t>i</w:t>
      </w:r>
      <w:r w:rsidR="00E7584F" w:rsidRPr="008F64A0">
        <w:t xml:space="preserve">nētie rezultatīvie rādītāji </w:t>
      </w:r>
      <w:r w:rsidR="00E7584F">
        <w:t xml:space="preserve">policijai, noziedzībai un krīzēm </w:t>
      </w:r>
      <w:r w:rsidR="00E7584F" w:rsidRPr="008F64A0">
        <w:t>un to sasniegtās vērtības</w:t>
      </w:r>
      <w:r>
        <w:fldChar w:fldCharType="end"/>
      </w:r>
    </w:p>
    <w:p w14:paraId="1246A2E1" w14:textId="3A1DF4CD" w:rsidR="009031F7" w:rsidRPr="008F64A0" w:rsidRDefault="00A469F2" w:rsidP="00A469F2">
      <w:pPr>
        <w:rPr>
          <w:b/>
          <w:sz w:val="40"/>
          <w:szCs w:val="40"/>
        </w:rPr>
      </w:pPr>
      <w:r w:rsidRPr="008F64A0">
        <w:rPr>
          <w:b/>
          <w:sz w:val="40"/>
          <w:szCs w:val="40"/>
        </w:rPr>
        <w:t>ATTĒLU SARAKSTS</w:t>
      </w:r>
      <w:bookmarkEnd w:id="6"/>
      <w:bookmarkEnd w:id="7"/>
    </w:p>
    <w:p w14:paraId="400CBC0E" w14:textId="24F02086" w:rsidR="000523B6" w:rsidRDefault="000523B6">
      <w:pPr>
        <w:spacing w:before="0" w:line="259" w:lineRule="auto"/>
        <w:jc w:val="left"/>
      </w:pPr>
      <w:r>
        <w:fldChar w:fldCharType="begin"/>
      </w:r>
      <w:r>
        <w:instrText xml:space="preserve"> REF _Ref192000044 \h </w:instrText>
      </w:r>
      <w:r>
        <w:fldChar w:fldCharType="separate"/>
      </w:r>
      <w:r w:rsidR="00E7584F">
        <w:t>Attēls 1 PMIF intervences loģika</w:t>
      </w:r>
      <w:r>
        <w:fldChar w:fldCharType="end"/>
      </w:r>
    </w:p>
    <w:p w14:paraId="06FADE61" w14:textId="2D62BD81" w:rsidR="002055E7" w:rsidRDefault="002055E7">
      <w:pPr>
        <w:spacing w:before="0" w:line="259" w:lineRule="auto"/>
        <w:jc w:val="left"/>
      </w:pPr>
      <w:r>
        <w:fldChar w:fldCharType="begin"/>
      </w:r>
      <w:r>
        <w:instrText xml:space="preserve"> REF _Ref191049696 \h </w:instrText>
      </w:r>
      <w:r>
        <w:fldChar w:fldCharType="separate"/>
      </w:r>
      <w:r w:rsidR="00E7584F">
        <w:t>Attēls 2. Finansējuma saņēmēju vērtējums par projektu mērķu sasniegšanu</w:t>
      </w:r>
      <w:r>
        <w:fldChar w:fldCharType="end"/>
      </w:r>
    </w:p>
    <w:p w14:paraId="53CA6185" w14:textId="1CB6655D" w:rsidR="002055E7" w:rsidRDefault="002055E7">
      <w:pPr>
        <w:spacing w:before="0" w:line="259" w:lineRule="auto"/>
        <w:jc w:val="left"/>
      </w:pPr>
      <w:r>
        <w:fldChar w:fldCharType="begin"/>
      </w:r>
      <w:r>
        <w:instrText xml:space="preserve"> REF _Ref191388598 \h </w:instrText>
      </w:r>
      <w:r>
        <w:fldChar w:fldCharType="separate"/>
      </w:r>
      <w:r w:rsidR="00E7584F">
        <w:t>Attēls 3. Finansējuma saņēmēju vērtējums par faktoriem, kas veicināja projektu īstenošanu</w:t>
      </w:r>
      <w:r>
        <w:fldChar w:fldCharType="end"/>
      </w:r>
    </w:p>
    <w:p w14:paraId="674574A8" w14:textId="120C79C5" w:rsidR="002055E7" w:rsidRDefault="002055E7">
      <w:pPr>
        <w:spacing w:before="0" w:line="259" w:lineRule="auto"/>
        <w:jc w:val="left"/>
      </w:pPr>
      <w:r>
        <w:fldChar w:fldCharType="begin"/>
      </w:r>
      <w:r>
        <w:instrText xml:space="preserve"> REF _Ref191388599 \h </w:instrText>
      </w:r>
      <w:r>
        <w:fldChar w:fldCharType="separate"/>
      </w:r>
      <w:r w:rsidR="00E7584F">
        <w:t>Attēls 4. Finansējuma saņēmēju vērtējums par faktoriem, kas ietekmēja projektu mērķu sasniegšanu</w:t>
      </w:r>
      <w:r>
        <w:fldChar w:fldCharType="end"/>
      </w:r>
    </w:p>
    <w:p w14:paraId="0852F90E" w14:textId="66B3C3F6" w:rsidR="002055E7" w:rsidRDefault="002055E7">
      <w:pPr>
        <w:spacing w:before="0" w:line="259" w:lineRule="auto"/>
        <w:jc w:val="left"/>
      </w:pPr>
      <w:r>
        <w:fldChar w:fldCharType="begin"/>
      </w:r>
      <w:r>
        <w:instrText xml:space="preserve"> REF _Ref191388601 \h </w:instrText>
      </w:r>
      <w:r>
        <w:fldChar w:fldCharType="separate"/>
      </w:r>
      <w:r w:rsidR="00E7584F">
        <w:t xml:space="preserve">Attēls 5. </w:t>
      </w:r>
      <w:r w:rsidR="00E7584F" w:rsidRPr="00450F6A">
        <w:t xml:space="preserve">PMIF plānotais un apgūtais finansējums sadalījumā pa SM, miljoni </w:t>
      </w:r>
      <w:r w:rsidR="00E7584F" w:rsidRPr="00C0414E">
        <w:rPr>
          <w:i/>
          <w:iCs/>
        </w:rPr>
        <w:t>euro</w:t>
      </w:r>
      <w:r>
        <w:fldChar w:fldCharType="end"/>
      </w:r>
    </w:p>
    <w:p w14:paraId="323854D5" w14:textId="15A6B073" w:rsidR="002055E7" w:rsidRDefault="002055E7">
      <w:pPr>
        <w:spacing w:before="0" w:line="259" w:lineRule="auto"/>
        <w:jc w:val="left"/>
      </w:pPr>
      <w:r>
        <w:fldChar w:fldCharType="begin"/>
      </w:r>
      <w:r>
        <w:instrText xml:space="preserve"> REF _Ref191388602 \h </w:instrText>
      </w:r>
      <w:r>
        <w:fldChar w:fldCharType="separate"/>
      </w:r>
      <w:r w:rsidR="00E7584F">
        <w:t xml:space="preserve">Attēls 6. Finansējuma saņēmēju vērtējums par </w:t>
      </w:r>
      <w:r w:rsidR="00E7584F" w:rsidRPr="00233987">
        <w:t>pieejamā finansējuma atbilstību sasniedzamajiem rezultātiem</w:t>
      </w:r>
      <w:r>
        <w:fldChar w:fldCharType="end"/>
      </w:r>
    </w:p>
    <w:p w14:paraId="4EC0C76E" w14:textId="050685D2" w:rsidR="002055E7" w:rsidRDefault="002055E7">
      <w:pPr>
        <w:spacing w:before="0" w:line="259" w:lineRule="auto"/>
        <w:jc w:val="left"/>
      </w:pPr>
      <w:r>
        <w:fldChar w:fldCharType="begin"/>
      </w:r>
      <w:r>
        <w:instrText xml:space="preserve"> REF _Ref191388604 \h </w:instrText>
      </w:r>
      <w:r>
        <w:fldChar w:fldCharType="separate"/>
      </w:r>
      <w:r w:rsidR="00E7584F">
        <w:t xml:space="preserve">Attēls 7. Finansējuma saņēmēju vērtējums par aspektiem, kas </w:t>
      </w:r>
      <w:r w:rsidR="00E7584F" w:rsidRPr="00642965">
        <w:t>tika ņemti vērā, plānojot projekta/-u pasākumus un aktivitātes</w:t>
      </w:r>
      <w:r>
        <w:fldChar w:fldCharType="end"/>
      </w:r>
    </w:p>
    <w:p w14:paraId="7273563A" w14:textId="7C061192" w:rsidR="002055E7" w:rsidRDefault="002055E7">
      <w:pPr>
        <w:spacing w:before="0" w:line="259" w:lineRule="auto"/>
        <w:jc w:val="left"/>
      </w:pPr>
      <w:r>
        <w:fldChar w:fldCharType="begin"/>
      </w:r>
      <w:r>
        <w:instrText xml:space="preserve"> REF _Ref191388606 \h </w:instrText>
      </w:r>
      <w:r>
        <w:fldChar w:fldCharType="separate"/>
      </w:r>
      <w:r w:rsidR="00E7584F">
        <w:t xml:space="preserve">Attēls 8. Finansējuma saņēmēju vērtējums par </w:t>
      </w:r>
      <w:r w:rsidR="00E7584F" w:rsidRPr="00EA0486">
        <w:t xml:space="preserve">administratīvajām procedūrām, </w:t>
      </w:r>
      <w:r w:rsidR="00E7584F">
        <w:t>kas</w:t>
      </w:r>
      <w:r w:rsidR="00E7584F" w:rsidRPr="00EA0486">
        <w:t xml:space="preserve"> visvairāk ietekmēja projekta/-u īstenošanas gaitu</w:t>
      </w:r>
      <w:r>
        <w:fldChar w:fldCharType="end"/>
      </w:r>
    </w:p>
    <w:p w14:paraId="541AC6E7" w14:textId="339EBCBF" w:rsidR="002055E7" w:rsidRDefault="002055E7">
      <w:pPr>
        <w:spacing w:before="0" w:line="259" w:lineRule="auto"/>
        <w:jc w:val="left"/>
      </w:pPr>
      <w:r>
        <w:fldChar w:fldCharType="begin"/>
      </w:r>
      <w:r>
        <w:instrText xml:space="preserve"> REF _Ref191388607 \h </w:instrText>
      </w:r>
      <w:r>
        <w:fldChar w:fldCharType="separate"/>
      </w:r>
      <w:r w:rsidR="00E7584F">
        <w:t>Attēls 9. Finansējuma saņēmēju vērtējums par administratīvo sloga izmaiņām  dažādu plānošanas periodu ietvaros, salīdzinot ar 2014-2020.gada plānošanas periodu</w:t>
      </w:r>
      <w:r>
        <w:fldChar w:fldCharType="end"/>
      </w:r>
    </w:p>
    <w:p w14:paraId="122B0847" w14:textId="13E6AC48" w:rsidR="002055E7" w:rsidRDefault="002055E7">
      <w:pPr>
        <w:spacing w:before="0" w:line="259" w:lineRule="auto"/>
        <w:jc w:val="left"/>
      </w:pPr>
      <w:r>
        <w:fldChar w:fldCharType="begin"/>
      </w:r>
      <w:r>
        <w:instrText xml:space="preserve"> REF _Ref191388609 \h </w:instrText>
      </w:r>
      <w:r>
        <w:fldChar w:fldCharType="separate"/>
      </w:r>
      <w:r w:rsidR="00E7584F">
        <w:t>Attēls 10. Finansējuma saņēmēju vērtējums par jaunu aktivitāšu pievienošanu projektā/-os</w:t>
      </w:r>
      <w:r>
        <w:fldChar w:fldCharType="end"/>
      </w:r>
    </w:p>
    <w:p w14:paraId="68867EBF" w14:textId="33FD04D1" w:rsidR="002055E7" w:rsidRDefault="002055E7">
      <w:pPr>
        <w:spacing w:before="0" w:line="259" w:lineRule="auto"/>
        <w:jc w:val="left"/>
      </w:pPr>
      <w:r>
        <w:fldChar w:fldCharType="begin"/>
      </w:r>
      <w:r>
        <w:instrText xml:space="preserve"> REF _Ref191388610 \h </w:instrText>
      </w:r>
      <w:r>
        <w:fldChar w:fldCharType="separate"/>
      </w:r>
      <w:r w:rsidR="00E7584F">
        <w:t xml:space="preserve">Attēls 11. Finansējuma saņēmēju vērtējums par </w:t>
      </w:r>
      <w:r w:rsidR="00E7584F" w:rsidRPr="00367881">
        <w:t>izaicinājumi jaunu aktivitāšu iekļaušanai projektā/-os</w:t>
      </w:r>
      <w:r>
        <w:fldChar w:fldCharType="end"/>
      </w:r>
    </w:p>
    <w:p w14:paraId="04365225" w14:textId="51A052CC" w:rsidR="002055E7" w:rsidRDefault="002055E7">
      <w:pPr>
        <w:spacing w:before="0" w:line="259" w:lineRule="auto"/>
        <w:jc w:val="left"/>
      </w:pPr>
      <w:r>
        <w:fldChar w:fldCharType="begin"/>
      </w:r>
      <w:r>
        <w:instrText xml:space="preserve"> REF _Ref191388611 \h </w:instrText>
      </w:r>
      <w:r>
        <w:fldChar w:fldCharType="separate"/>
      </w:r>
      <w:r w:rsidR="00E7584F">
        <w:t xml:space="preserve">Attēls 12. Finansējuma saņēmēju vērtējums par, vai </w:t>
      </w:r>
      <w:r w:rsidR="00E7584F" w:rsidRPr="00B11F7C">
        <w:t>projekta/-u aktivitātes tiktu ieviestas arī bez  Programmas/-u finansējuma</w:t>
      </w:r>
      <w:r>
        <w:fldChar w:fldCharType="end"/>
      </w:r>
    </w:p>
    <w:p w14:paraId="3DEFC8A3" w14:textId="39CC0933" w:rsidR="002055E7" w:rsidRDefault="002055E7">
      <w:pPr>
        <w:spacing w:before="0" w:line="259" w:lineRule="auto"/>
        <w:jc w:val="left"/>
      </w:pPr>
      <w:r>
        <w:fldChar w:fldCharType="begin"/>
      </w:r>
      <w:r>
        <w:instrText xml:space="preserve"> REF _Ref191388613 \h </w:instrText>
      </w:r>
      <w:r>
        <w:fldChar w:fldCharType="separate"/>
      </w:r>
      <w:r w:rsidR="00E7584F">
        <w:t xml:space="preserve">Attēls 13. Finansējuma saņēmēju vērtējums par īstenoto projektu </w:t>
      </w:r>
      <w:r w:rsidR="00E7584F" w:rsidRPr="0043193E">
        <w:t>sasniegto rezultātu noturību turpmāko 5 gadu laikā</w:t>
      </w:r>
      <w:r>
        <w:fldChar w:fldCharType="end"/>
      </w:r>
    </w:p>
    <w:p w14:paraId="60185D5E" w14:textId="652096F9" w:rsidR="002055E7" w:rsidRDefault="002055E7">
      <w:pPr>
        <w:spacing w:before="0" w:line="259" w:lineRule="auto"/>
        <w:jc w:val="left"/>
      </w:pPr>
      <w:r>
        <w:fldChar w:fldCharType="begin"/>
      </w:r>
      <w:r>
        <w:instrText xml:space="preserve"> REF _Ref191388616 \h </w:instrText>
      </w:r>
      <w:r>
        <w:fldChar w:fldCharType="separate"/>
      </w:r>
      <w:r w:rsidR="00E7584F">
        <w:t xml:space="preserve">Attēls 14. Finansējuma saņēmēju viedoklis par riskiem, kas apdraud </w:t>
      </w:r>
      <w:r w:rsidR="00E7584F" w:rsidRPr="007F2F3D">
        <w:t>projekta/-u rezultātu ilgtspēju un ilgnoturību</w:t>
      </w:r>
      <w:r>
        <w:fldChar w:fldCharType="end"/>
      </w:r>
    </w:p>
    <w:p w14:paraId="003885A4" w14:textId="1828D9B5" w:rsidR="000523B6" w:rsidRDefault="000523B6">
      <w:pPr>
        <w:spacing w:before="0" w:line="259" w:lineRule="auto"/>
        <w:jc w:val="left"/>
      </w:pPr>
      <w:r>
        <w:fldChar w:fldCharType="begin"/>
      </w:r>
      <w:r>
        <w:instrText xml:space="preserve"> REF _Ref192000050 \h </w:instrText>
      </w:r>
      <w:r>
        <w:fldChar w:fldCharType="separate"/>
      </w:r>
      <w:r w:rsidR="00E7584F">
        <w:t>Attēls 15 IDF vīzām un robežām intervences loģika</w:t>
      </w:r>
      <w:r>
        <w:fldChar w:fldCharType="end"/>
      </w:r>
    </w:p>
    <w:p w14:paraId="4A13C77B" w14:textId="3DA6AB71" w:rsidR="002055E7" w:rsidRDefault="002055E7">
      <w:pPr>
        <w:spacing w:before="0" w:line="259" w:lineRule="auto"/>
        <w:jc w:val="left"/>
      </w:pPr>
      <w:r>
        <w:fldChar w:fldCharType="begin"/>
      </w:r>
      <w:r>
        <w:instrText xml:space="preserve"> REF _Ref191388617 \h </w:instrText>
      </w:r>
      <w:r>
        <w:fldChar w:fldCharType="separate"/>
      </w:r>
      <w:r w:rsidR="00E7584F">
        <w:t xml:space="preserve">Attēls 16. </w:t>
      </w:r>
      <w:r w:rsidR="00E7584F" w:rsidRPr="00B82C84">
        <w:t>Finansējuma saņēmēju vērtējums par projektu mērķu sasniegšanu</w:t>
      </w:r>
      <w:r>
        <w:fldChar w:fldCharType="end"/>
      </w:r>
    </w:p>
    <w:p w14:paraId="58AE55AF" w14:textId="56E79308" w:rsidR="002055E7" w:rsidRDefault="002055E7">
      <w:pPr>
        <w:spacing w:before="0" w:line="259" w:lineRule="auto"/>
        <w:jc w:val="left"/>
      </w:pPr>
      <w:r>
        <w:fldChar w:fldCharType="begin"/>
      </w:r>
      <w:r>
        <w:instrText xml:space="preserve"> REF _Ref191388619 \h </w:instrText>
      </w:r>
      <w:r>
        <w:fldChar w:fldCharType="separate"/>
      </w:r>
      <w:r w:rsidR="00E7584F">
        <w:t xml:space="preserve">Attēls 17. </w:t>
      </w:r>
      <w:r w:rsidR="00E7584F" w:rsidRPr="00D6388D">
        <w:t>Finansējuma saņēmēju vērtējums par faktoriem, kas veicināja projektu īstenošanu</w:t>
      </w:r>
      <w:r>
        <w:fldChar w:fldCharType="end"/>
      </w:r>
    </w:p>
    <w:p w14:paraId="07AB0233" w14:textId="5A858675" w:rsidR="002055E7" w:rsidRDefault="002055E7">
      <w:pPr>
        <w:spacing w:before="0" w:line="259" w:lineRule="auto"/>
        <w:jc w:val="left"/>
      </w:pPr>
      <w:r>
        <w:fldChar w:fldCharType="begin"/>
      </w:r>
      <w:r>
        <w:instrText xml:space="preserve"> REF _Ref191388620 \h </w:instrText>
      </w:r>
      <w:r>
        <w:fldChar w:fldCharType="separate"/>
      </w:r>
      <w:r w:rsidR="00E7584F">
        <w:t xml:space="preserve">Attēls 18. </w:t>
      </w:r>
      <w:r w:rsidR="00E7584F" w:rsidRPr="00EF7B5B">
        <w:t>Finansējuma saņēmēju vērtējums par faktoriem, kas ietekmēja projektu mērķu sasniegšanu</w:t>
      </w:r>
      <w:r>
        <w:fldChar w:fldCharType="end"/>
      </w:r>
    </w:p>
    <w:p w14:paraId="38AD1424" w14:textId="45D6E45B" w:rsidR="002055E7" w:rsidRDefault="002055E7">
      <w:pPr>
        <w:spacing w:before="0" w:line="259" w:lineRule="auto"/>
        <w:jc w:val="left"/>
      </w:pPr>
      <w:r>
        <w:fldChar w:fldCharType="begin"/>
      </w:r>
      <w:r>
        <w:instrText xml:space="preserve"> REF _Ref191388622 \h </w:instrText>
      </w:r>
      <w:r>
        <w:fldChar w:fldCharType="separate"/>
      </w:r>
      <w:r w:rsidR="00E7584F">
        <w:t>Attēls 19. IDF robežām un vīzām</w:t>
      </w:r>
      <w:r w:rsidR="00E7584F" w:rsidRPr="00450F6A">
        <w:t xml:space="preserve"> plānotais un apgūtais finansējums sadalījumā pa SM, miljoni </w:t>
      </w:r>
      <w:r w:rsidR="00E7584F" w:rsidRPr="00C0414E">
        <w:rPr>
          <w:i/>
          <w:iCs/>
        </w:rPr>
        <w:t>euro</w:t>
      </w:r>
      <w:r>
        <w:fldChar w:fldCharType="end"/>
      </w:r>
    </w:p>
    <w:p w14:paraId="59D5813B" w14:textId="01839E22" w:rsidR="002055E7" w:rsidRDefault="002055E7">
      <w:pPr>
        <w:spacing w:before="0" w:line="259" w:lineRule="auto"/>
        <w:jc w:val="left"/>
      </w:pPr>
      <w:r>
        <w:lastRenderedPageBreak/>
        <w:fldChar w:fldCharType="begin"/>
      </w:r>
      <w:r>
        <w:instrText xml:space="preserve"> REF _Ref191388623 \h </w:instrText>
      </w:r>
      <w:r>
        <w:fldChar w:fldCharType="separate"/>
      </w:r>
      <w:r w:rsidR="00E7584F">
        <w:t xml:space="preserve">Attēls 20. Finansējuma saņēmēju vērtējums par </w:t>
      </w:r>
      <w:r w:rsidR="00E7584F" w:rsidRPr="00233987">
        <w:t>pieejamā finansējuma atbilstību sasniedzamajiem rezultātiem</w:t>
      </w:r>
      <w:r>
        <w:fldChar w:fldCharType="end"/>
      </w:r>
    </w:p>
    <w:p w14:paraId="14E6C508" w14:textId="0BEAF93A" w:rsidR="002055E7" w:rsidRDefault="002055E7">
      <w:pPr>
        <w:spacing w:before="0" w:line="259" w:lineRule="auto"/>
        <w:jc w:val="left"/>
      </w:pPr>
      <w:r>
        <w:fldChar w:fldCharType="begin"/>
      </w:r>
      <w:r>
        <w:instrText xml:space="preserve"> REF _Ref191388627 \h </w:instrText>
      </w:r>
      <w:r>
        <w:fldChar w:fldCharType="separate"/>
      </w:r>
      <w:r w:rsidR="00E7584F">
        <w:t xml:space="preserve">Attēls 21. </w:t>
      </w:r>
      <w:r w:rsidR="00E7584F" w:rsidRPr="00392C64">
        <w:t>Finansējuma saņēmēju vērtējums par aspektiem, kas tika ņemti vērā, plānojot projekta/-u pasākumus un aktivitātes</w:t>
      </w:r>
      <w:r>
        <w:fldChar w:fldCharType="end"/>
      </w:r>
    </w:p>
    <w:p w14:paraId="44F324FF" w14:textId="3B75BF73" w:rsidR="002055E7" w:rsidRDefault="002055E7">
      <w:pPr>
        <w:spacing w:before="0" w:line="259" w:lineRule="auto"/>
        <w:jc w:val="left"/>
      </w:pPr>
      <w:r>
        <w:fldChar w:fldCharType="begin"/>
      </w:r>
      <w:r>
        <w:instrText xml:space="preserve"> REF _Ref191388628 \h </w:instrText>
      </w:r>
      <w:r>
        <w:fldChar w:fldCharType="separate"/>
      </w:r>
      <w:r w:rsidR="00E7584F">
        <w:t xml:space="preserve">Attēls 22. </w:t>
      </w:r>
      <w:r w:rsidR="00E7584F" w:rsidRPr="00814E1A">
        <w:t>Finansējuma saņēmēju vērtējums par administratīvajām procedūrām, kas visvairāk ietekmēja projekta/-u īstenošanas gaitu</w:t>
      </w:r>
      <w:r>
        <w:fldChar w:fldCharType="end"/>
      </w:r>
    </w:p>
    <w:p w14:paraId="0F8D44C2" w14:textId="217A2841" w:rsidR="002055E7" w:rsidRDefault="002055E7">
      <w:pPr>
        <w:spacing w:before="0" w:line="259" w:lineRule="auto"/>
        <w:jc w:val="left"/>
      </w:pPr>
      <w:r>
        <w:fldChar w:fldCharType="begin"/>
      </w:r>
      <w:r>
        <w:instrText xml:space="preserve"> REF _Ref191388630 \h </w:instrText>
      </w:r>
      <w:r>
        <w:fldChar w:fldCharType="separate"/>
      </w:r>
      <w:r w:rsidR="00E7584F">
        <w:t xml:space="preserve">Attēls 23. </w:t>
      </w:r>
      <w:r w:rsidR="00E7584F" w:rsidRPr="005869AB">
        <w:t>Finansējuma saņēmēju vērtējums par administratīvo sloga izmaiņām  dažādu plānošanas periodu ietvaros, salīdzinot ar 2014-2020.gada plānošanas periodu</w:t>
      </w:r>
      <w:r>
        <w:fldChar w:fldCharType="end"/>
      </w:r>
    </w:p>
    <w:p w14:paraId="691F1E4B" w14:textId="35012B20" w:rsidR="002055E7" w:rsidRDefault="002055E7">
      <w:pPr>
        <w:spacing w:before="0" w:line="259" w:lineRule="auto"/>
        <w:jc w:val="left"/>
      </w:pPr>
      <w:r>
        <w:fldChar w:fldCharType="begin"/>
      </w:r>
      <w:r>
        <w:instrText xml:space="preserve"> REF _Ref191388631 \h </w:instrText>
      </w:r>
      <w:r>
        <w:fldChar w:fldCharType="separate"/>
      </w:r>
      <w:r w:rsidR="00E7584F">
        <w:t xml:space="preserve">Attēls 24. </w:t>
      </w:r>
      <w:r w:rsidR="00E7584F" w:rsidRPr="002276C5">
        <w:t>Finansējuma saņēmēju vērtējums par jaunu aktivitāšu pievienošanu projektā/-os</w:t>
      </w:r>
      <w:r>
        <w:fldChar w:fldCharType="end"/>
      </w:r>
    </w:p>
    <w:p w14:paraId="6F58526A" w14:textId="6D9B8AFD" w:rsidR="002055E7" w:rsidRDefault="002055E7">
      <w:pPr>
        <w:spacing w:before="0" w:line="259" w:lineRule="auto"/>
        <w:jc w:val="left"/>
      </w:pPr>
      <w:r>
        <w:fldChar w:fldCharType="begin"/>
      </w:r>
      <w:r>
        <w:instrText xml:space="preserve"> REF _Ref191388632 \h </w:instrText>
      </w:r>
      <w:r>
        <w:fldChar w:fldCharType="separate"/>
      </w:r>
      <w:r w:rsidR="00E7584F">
        <w:t xml:space="preserve">Attēls 25. </w:t>
      </w:r>
      <w:r w:rsidR="00E7584F" w:rsidRPr="005E1D48">
        <w:t>Finansējuma saņēmēju vērtējums par izaicinājumi jaunu aktivitāšu iekļaušanai projektā/-os</w:t>
      </w:r>
      <w:r>
        <w:fldChar w:fldCharType="end"/>
      </w:r>
    </w:p>
    <w:p w14:paraId="0AB8EF07" w14:textId="0FB06105" w:rsidR="002055E7" w:rsidRDefault="002055E7">
      <w:pPr>
        <w:spacing w:before="0" w:line="259" w:lineRule="auto"/>
        <w:jc w:val="left"/>
      </w:pPr>
      <w:r>
        <w:fldChar w:fldCharType="begin"/>
      </w:r>
      <w:r>
        <w:instrText xml:space="preserve"> REF _Ref191388634 \h </w:instrText>
      </w:r>
      <w:r>
        <w:fldChar w:fldCharType="separate"/>
      </w:r>
      <w:r w:rsidR="00E7584F">
        <w:t xml:space="preserve">Attēls 26. </w:t>
      </w:r>
      <w:r w:rsidR="00E7584F" w:rsidRPr="00D9762E">
        <w:t>Finansējuma saņēmēju vērtējums par, vai projekta/-u aktivitātes tiktu ieviestas arī bez  Programmas/-u finansējuma</w:t>
      </w:r>
      <w:r>
        <w:fldChar w:fldCharType="end"/>
      </w:r>
    </w:p>
    <w:p w14:paraId="50D33909" w14:textId="797BA373" w:rsidR="002055E7" w:rsidRDefault="002055E7">
      <w:pPr>
        <w:spacing w:before="0" w:line="259" w:lineRule="auto"/>
        <w:jc w:val="left"/>
      </w:pPr>
      <w:r>
        <w:fldChar w:fldCharType="begin"/>
      </w:r>
      <w:r>
        <w:instrText xml:space="preserve"> REF _Ref191388635 \h </w:instrText>
      </w:r>
      <w:r>
        <w:fldChar w:fldCharType="separate"/>
      </w:r>
      <w:r w:rsidR="00E7584F">
        <w:t xml:space="preserve">Attēls 27. </w:t>
      </w:r>
      <w:r w:rsidR="00E7584F" w:rsidRPr="008476FE">
        <w:t>Finansējuma saņēmēju vērtējums par īstenoto projektu sasniegto rezultātu noturību turpmāko 5 gadu laikā</w:t>
      </w:r>
      <w:r>
        <w:fldChar w:fldCharType="end"/>
      </w:r>
    </w:p>
    <w:p w14:paraId="384D4CB2" w14:textId="141A3FB1" w:rsidR="002055E7" w:rsidRDefault="002055E7">
      <w:pPr>
        <w:spacing w:before="0" w:line="259" w:lineRule="auto"/>
        <w:jc w:val="left"/>
      </w:pPr>
      <w:r>
        <w:fldChar w:fldCharType="begin"/>
      </w:r>
      <w:r>
        <w:instrText xml:space="preserve"> REF _Ref191388636 \h </w:instrText>
      </w:r>
      <w:r>
        <w:fldChar w:fldCharType="separate"/>
      </w:r>
      <w:r w:rsidR="00E7584F">
        <w:t xml:space="preserve">Attēls 28. </w:t>
      </w:r>
      <w:r w:rsidR="00E7584F" w:rsidRPr="00D9477E">
        <w:t>Finansējuma saņēmēju viedoklis par riskiem, kas apdraud projekta/-u rezultātu ilgtspēju un ilgnoturību</w:t>
      </w:r>
      <w:r>
        <w:fldChar w:fldCharType="end"/>
      </w:r>
    </w:p>
    <w:p w14:paraId="6DAA3D1D" w14:textId="3C20AC7D" w:rsidR="000523B6" w:rsidRDefault="000523B6">
      <w:pPr>
        <w:spacing w:before="0" w:line="259" w:lineRule="auto"/>
        <w:jc w:val="left"/>
      </w:pPr>
      <w:r>
        <w:fldChar w:fldCharType="begin"/>
      </w:r>
      <w:r>
        <w:instrText xml:space="preserve"> REF _Ref192000076 \h </w:instrText>
      </w:r>
      <w:r>
        <w:fldChar w:fldCharType="separate"/>
      </w:r>
      <w:r w:rsidR="00E7584F">
        <w:t>Attēls 29 IDF policijai, noziedzībai un krīzēm intervences loģika</w:t>
      </w:r>
      <w:r>
        <w:fldChar w:fldCharType="end"/>
      </w:r>
    </w:p>
    <w:p w14:paraId="21638A37" w14:textId="2E586DE3" w:rsidR="009031F7" w:rsidRPr="008F64A0" w:rsidRDefault="002055E7">
      <w:pPr>
        <w:spacing w:before="0" w:line="259" w:lineRule="auto"/>
        <w:jc w:val="left"/>
      </w:pPr>
      <w:r>
        <w:fldChar w:fldCharType="begin"/>
      </w:r>
      <w:r>
        <w:instrText xml:space="preserve"> REF _Ref191388638 \h </w:instrText>
      </w:r>
      <w:r>
        <w:fldChar w:fldCharType="separate"/>
      </w:r>
      <w:r w:rsidR="00E7584F">
        <w:t>Attēls 30. IDF policijai, noziedzībai un krīzēm</w:t>
      </w:r>
      <w:r w:rsidR="00E7584F" w:rsidRPr="00450F6A">
        <w:t xml:space="preserve"> plānotais un apgūtais finansējums sadalījumā pa SM, miljoni </w:t>
      </w:r>
      <w:r w:rsidR="00E7584F" w:rsidRPr="00C0414E">
        <w:rPr>
          <w:i/>
          <w:iCs/>
        </w:rPr>
        <w:t>euro</w:t>
      </w:r>
      <w:r>
        <w:fldChar w:fldCharType="end"/>
      </w:r>
      <w:r w:rsidR="009031F7" w:rsidRPr="008F64A0">
        <w:br w:type="page"/>
      </w:r>
    </w:p>
    <w:sdt>
      <w:sdtPr>
        <w:rPr>
          <w:rFonts w:asciiTheme="minorHAnsi" w:eastAsiaTheme="minorEastAsia" w:hAnsiTheme="minorHAnsi" w:cstheme="minorBidi"/>
          <w:color w:val="auto"/>
          <w:kern w:val="2"/>
          <w:sz w:val="22"/>
          <w:szCs w:val="22"/>
          <w14:ligatures w14:val="standardContextual"/>
        </w:rPr>
        <w:id w:val="-1163844272"/>
        <w:docPartObj>
          <w:docPartGallery w:val="Table of Contents"/>
          <w:docPartUnique/>
        </w:docPartObj>
      </w:sdtPr>
      <w:sdtEndPr>
        <w:rPr>
          <w:b/>
        </w:rPr>
      </w:sdtEndPr>
      <w:sdtContent>
        <w:p w14:paraId="2CF4D1E1" w14:textId="77777777" w:rsidR="004123B6" w:rsidRDefault="009031F7" w:rsidP="00A469F2">
          <w:pPr>
            <w:pStyle w:val="Saturardtjavirsraksts"/>
            <w:rPr>
              <w:noProof/>
            </w:rPr>
          </w:pPr>
          <w:r w:rsidRPr="00E41720">
            <w:t>SATURS</w:t>
          </w:r>
          <w:r w:rsidRPr="00E41720">
            <w:fldChar w:fldCharType="begin"/>
          </w:r>
          <w:r w:rsidRPr="00E41720">
            <w:instrText xml:space="preserve"> TOC \o "1-3" \h \z \u </w:instrText>
          </w:r>
          <w:r w:rsidRPr="00E41720">
            <w:fldChar w:fldCharType="separate"/>
          </w:r>
        </w:p>
        <w:p w14:paraId="47246E9E" w14:textId="055A019F" w:rsidR="004123B6" w:rsidRPr="004123B6" w:rsidRDefault="004123B6">
          <w:pPr>
            <w:pStyle w:val="Saturs1"/>
            <w:rPr>
              <w:rFonts w:eastAsiaTheme="minorEastAsia"/>
              <w:noProof/>
              <w:sz w:val="24"/>
              <w:szCs w:val="24"/>
              <w:lang w:val="en-US"/>
            </w:rPr>
          </w:pPr>
          <w:hyperlink w:anchor="_Toc193371298" w:history="1">
            <w:r w:rsidRPr="004123B6">
              <w:rPr>
                <w:rStyle w:val="Hipersaite"/>
                <w:noProof/>
              </w:rPr>
              <w:t>KOPSAVILKUMS</w:t>
            </w:r>
            <w:r w:rsidRPr="004123B6">
              <w:rPr>
                <w:noProof/>
                <w:webHidden/>
              </w:rPr>
              <w:tab/>
            </w:r>
            <w:r w:rsidRPr="004123B6">
              <w:rPr>
                <w:noProof/>
                <w:webHidden/>
              </w:rPr>
              <w:fldChar w:fldCharType="begin"/>
            </w:r>
            <w:r w:rsidRPr="004123B6">
              <w:rPr>
                <w:noProof/>
                <w:webHidden/>
              </w:rPr>
              <w:instrText xml:space="preserve"> PAGEREF _Toc193371298 \h </w:instrText>
            </w:r>
            <w:r w:rsidRPr="004123B6">
              <w:rPr>
                <w:noProof/>
                <w:webHidden/>
              </w:rPr>
            </w:r>
            <w:r w:rsidRPr="004123B6">
              <w:rPr>
                <w:noProof/>
                <w:webHidden/>
              </w:rPr>
              <w:fldChar w:fldCharType="separate"/>
            </w:r>
            <w:r w:rsidR="007E6045">
              <w:rPr>
                <w:noProof/>
                <w:webHidden/>
              </w:rPr>
              <w:t>11</w:t>
            </w:r>
            <w:r w:rsidRPr="004123B6">
              <w:rPr>
                <w:noProof/>
                <w:webHidden/>
              </w:rPr>
              <w:fldChar w:fldCharType="end"/>
            </w:r>
          </w:hyperlink>
        </w:p>
        <w:p w14:paraId="5BB480FC" w14:textId="46FB1EC8" w:rsidR="004123B6" w:rsidRPr="004123B6" w:rsidRDefault="004123B6">
          <w:pPr>
            <w:pStyle w:val="Saturs1"/>
            <w:rPr>
              <w:rFonts w:eastAsiaTheme="minorEastAsia"/>
              <w:noProof/>
              <w:sz w:val="24"/>
              <w:szCs w:val="24"/>
              <w:lang w:val="en-US"/>
            </w:rPr>
          </w:pPr>
          <w:hyperlink w:anchor="_Toc193371299" w:history="1">
            <w:r w:rsidRPr="004123B6">
              <w:rPr>
                <w:rStyle w:val="Hipersaite"/>
                <w:noProof/>
              </w:rPr>
              <w:t>SUMMARY</w:t>
            </w:r>
            <w:r w:rsidRPr="004123B6">
              <w:rPr>
                <w:noProof/>
                <w:webHidden/>
              </w:rPr>
              <w:tab/>
            </w:r>
            <w:r w:rsidRPr="004123B6">
              <w:rPr>
                <w:noProof/>
                <w:webHidden/>
              </w:rPr>
              <w:fldChar w:fldCharType="begin"/>
            </w:r>
            <w:r w:rsidRPr="004123B6">
              <w:rPr>
                <w:noProof/>
                <w:webHidden/>
              </w:rPr>
              <w:instrText xml:space="preserve"> PAGEREF _Toc193371299 \h </w:instrText>
            </w:r>
            <w:r w:rsidRPr="004123B6">
              <w:rPr>
                <w:noProof/>
                <w:webHidden/>
              </w:rPr>
            </w:r>
            <w:r w:rsidRPr="004123B6">
              <w:rPr>
                <w:noProof/>
                <w:webHidden/>
              </w:rPr>
              <w:fldChar w:fldCharType="separate"/>
            </w:r>
            <w:r w:rsidR="007E6045">
              <w:rPr>
                <w:noProof/>
                <w:webHidden/>
              </w:rPr>
              <w:t>19</w:t>
            </w:r>
            <w:r w:rsidRPr="004123B6">
              <w:rPr>
                <w:noProof/>
                <w:webHidden/>
              </w:rPr>
              <w:fldChar w:fldCharType="end"/>
            </w:r>
          </w:hyperlink>
        </w:p>
        <w:p w14:paraId="36C5185E" w14:textId="596997F1" w:rsidR="004123B6" w:rsidRPr="004123B6" w:rsidRDefault="004123B6">
          <w:pPr>
            <w:pStyle w:val="Saturs1"/>
            <w:rPr>
              <w:rFonts w:eastAsiaTheme="minorEastAsia"/>
              <w:noProof/>
              <w:sz w:val="24"/>
              <w:szCs w:val="24"/>
              <w:lang w:val="en-US"/>
            </w:rPr>
          </w:pPr>
          <w:hyperlink w:anchor="_Toc193371300" w:history="1">
            <w:r w:rsidRPr="004123B6">
              <w:rPr>
                <w:rStyle w:val="Hipersaite"/>
                <w:noProof/>
              </w:rPr>
              <w:t>IEVADS</w:t>
            </w:r>
            <w:r w:rsidRPr="004123B6">
              <w:rPr>
                <w:noProof/>
                <w:webHidden/>
              </w:rPr>
              <w:tab/>
            </w:r>
            <w:r w:rsidRPr="004123B6">
              <w:rPr>
                <w:noProof/>
                <w:webHidden/>
              </w:rPr>
              <w:fldChar w:fldCharType="begin"/>
            </w:r>
            <w:r w:rsidRPr="004123B6">
              <w:rPr>
                <w:noProof/>
                <w:webHidden/>
              </w:rPr>
              <w:instrText xml:space="preserve"> PAGEREF _Toc193371300 \h </w:instrText>
            </w:r>
            <w:r w:rsidRPr="004123B6">
              <w:rPr>
                <w:noProof/>
                <w:webHidden/>
              </w:rPr>
            </w:r>
            <w:r w:rsidRPr="004123B6">
              <w:rPr>
                <w:noProof/>
                <w:webHidden/>
              </w:rPr>
              <w:fldChar w:fldCharType="separate"/>
            </w:r>
            <w:r w:rsidR="007E6045">
              <w:rPr>
                <w:noProof/>
                <w:webHidden/>
              </w:rPr>
              <w:t>27</w:t>
            </w:r>
            <w:r w:rsidRPr="004123B6">
              <w:rPr>
                <w:noProof/>
                <w:webHidden/>
              </w:rPr>
              <w:fldChar w:fldCharType="end"/>
            </w:r>
          </w:hyperlink>
        </w:p>
        <w:p w14:paraId="4244994D" w14:textId="14D7B6A3" w:rsidR="004123B6" w:rsidRPr="004123B6" w:rsidRDefault="004123B6">
          <w:pPr>
            <w:pStyle w:val="Saturs1"/>
            <w:rPr>
              <w:rFonts w:eastAsiaTheme="minorEastAsia"/>
              <w:noProof/>
              <w:sz w:val="24"/>
              <w:szCs w:val="24"/>
              <w:lang w:val="en-US"/>
            </w:rPr>
          </w:pPr>
          <w:hyperlink w:anchor="_Toc193371301" w:history="1">
            <w:r w:rsidRPr="004123B6">
              <w:rPr>
                <w:rStyle w:val="Hipersaite"/>
                <w:noProof/>
              </w:rPr>
              <w:t>1. Patvēruma, migrācijas un integrācijas fonds</w:t>
            </w:r>
            <w:r w:rsidRPr="004123B6">
              <w:rPr>
                <w:noProof/>
                <w:webHidden/>
              </w:rPr>
              <w:tab/>
            </w:r>
            <w:r w:rsidRPr="004123B6">
              <w:rPr>
                <w:noProof/>
                <w:webHidden/>
              </w:rPr>
              <w:fldChar w:fldCharType="begin"/>
            </w:r>
            <w:r w:rsidRPr="004123B6">
              <w:rPr>
                <w:noProof/>
                <w:webHidden/>
              </w:rPr>
              <w:instrText xml:space="preserve"> PAGEREF _Toc193371301 \h </w:instrText>
            </w:r>
            <w:r w:rsidRPr="004123B6">
              <w:rPr>
                <w:noProof/>
                <w:webHidden/>
              </w:rPr>
            </w:r>
            <w:r w:rsidRPr="004123B6">
              <w:rPr>
                <w:noProof/>
                <w:webHidden/>
              </w:rPr>
              <w:fldChar w:fldCharType="separate"/>
            </w:r>
            <w:r w:rsidR="007E6045">
              <w:rPr>
                <w:noProof/>
                <w:webHidden/>
              </w:rPr>
              <w:t>29</w:t>
            </w:r>
            <w:r w:rsidRPr="004123B6">
              <w:rPr>
                <w:noProof/>
                <w:webHidden/>
              </w:rPr>
              <w:fldChar w:fldCharType="end"/>
            </w:r>
          </w:hyperlink>
        </w:p>
        <w:p w14:paraId="5CB9FFEE" w14:textId="64B24BDD" w:rsidR="004123B6" w:rsidRPr="004123B6" w:rsidRDefault="004123B6">
          <w:pPr>
            <w:pStyle w:val="Saturs2"/>
            <w:tabs>
              <w:tab w:val="left" w:pos="1361"/>
              <w:tab w:val="right" w:leader="dot" w:pos="10252"/>
            </w:tabs>
            <w:rPr>
              <w:rFonts w:eastAsiaTheme="minorEastAsia"/>
              <w:noProof/>
              <w:sz w:val="24"/>
              <w:szCs w:val="24"/>
              <w:lang w:val="en-US"/>
            </w:rPr>
          </w:pPr>
          <w:hyperlink w:anchor="_Toc193371302" w:history="1">
            <w:r w:rsidRPr="004123B6">
              <w:rPr>
                <w:rStyle w:val="Hipersaite"/>
                <w:noProof/>
              </w:rPr>
              <w:t>1.1.</w:t>
            </w:r>
            <w:r w:rsidRPr="004123B6">
              <w:rPr>
                <w:rFonts w:eastAsiaTheme="minorEastAsia"/>
                <w:noProof/>
                <w:sz w:val="24"/>
                <w:szCs w:val="24"/>
                <w:lang w:val="en-US"/>
              </w:rPr>
              <w:tab/>
            </w:r>
            <w:r w:rsidRPr="004123B6">
              <w:rPr>
                <w:rStyle w:val="Hipersaite"/>
                <w:noProof/>
              </w:rPr>
              <w:t>Pārskats par PMIF ieviešanu un intervences loģika</w:t>
            </w:r>
            <w:r w:rsidRPr="004123B6">
              <w:rPr>
                <w:noProof/>
                <w:webHidden/>
              </w:rPr>
              <w:tab/>
            </w:r>
            <w:r w:rsidRPr="004123B6">
              <w:rPr>
                <w:noProof/>
                <w:webHidden/>
              </w:rPr>
              <w:fldChar w:fldCharType="begin"/>
            </w:r>
            <w:r w:rsidRPr="004123B6">
              <w:rPr>
                <w:noProof/>
                <w:webHidden/>
              </w:rPr>
              <w:instrText xml:space="preserve"> PAGEREF _Toc193371302 \h </w:instrText>
            </w:r>
            <w:r w:rsidRPr="004123B6">
              <w:rPr>
                <w:noProof/>
                <w:webHidden/>
              </w:rPr>
            </w:r>
            <w:r w:rsidRPr="004123B6">
              <w:rPr>
                <w:noProof/>
                <w:webHidden/>
              </w:rPr>
              <w:fldChar w:fldCharType="separate"/>
            </w:r>
            <w:r w:rsidR="007E6045">
              <w:rPr>
                <w:noProof/>
                <w:webHidden/>
              </w:rPr>
              <w:t>29</w:t>
            </w:r>
            <w:r w:rsidRPr="004123B6">
              <w:rPr>
                <w:noProof/>
                <w:webHidden/>
              </w:rPr>
              <w:fldChar w:fldCharType="end"/>
            </w:r>
          </w:hyperlink>
        </w:p>
        <w:p w14:paraId="669C28F2" w14:textId="79659971" w:rsidR="004123B6" w:rsidRPr="004123B6" w:rsidRDefault="004123B6">
          <w:pPr>
            <w:pStyle w:val="Saturs2"/>
            <w:tabs>
              <w:tab w:val="left" w:pos="1361"/>
              <w:tab w:val="right" w:leader="dot" w:pos="10252"/>
            </w:tabs>
            <w:rPr>
              <w:rFonts w:eastAsiaTheme="minorEastAsia"/>
              <w:noProof/>
              <w:sz w:val="24"/>
              <w:szCs w:val="24"/>
              <w:lang w:val="en-US"/>
            </w:rPr>
          </w:pPr>
          <w:hyperlink w:anchor="_Toc193371303" w:history="1">
            <w:r w:rsidRPr="004123B6">
              <w:rPr>
                <w:rStyle w:val="Hipersaite"/>
                <w:noProof/>
              </w:rPr>
              <w:t>1.2.</w:t>
            </w:r>
            <w:r w:rsidRPr="004123B6">
              <w:rPr>
                <w:rFonts w:eastAsiaTheme="minorEastAsia"/>
                <w:noProof/>
                <w:sz w:val="24"/>
                <w:szCs w:val="24"/>
                <w:lang w:val="en-US"/>
              </w:rPr>
              <w:tab/>
            </w:r>
            <w:r w:rsidRPr="004123B6">
              <w:rPr>
                <w:rStyle w:val="Hipersaite"/>
                <w:noProof/>
              </w:rPr>
              <w:t>PMIF izvērtējuma konstatējumi</w:t>
            </w:r>
            <w:r w:rsidRPr="004123B6">
              <w:rPr>
                <w:noProof/>
                <w:webHidden/>
              </w:rPr>
              <w:tab/>
            </w:r>
            <w:r w:rsidRPr="004123B6">
              <w:rPr>
                <w:noProof/>
                <w:webHidden/>
              </w:rPr>
              <w:fldChar w:fldCharType="begin"/>
            </w:r>
            <w:r w:rsidRPr="004123B6">
              <w:rPr>
                <w:noProof/>
                <w:webHidden/>
              </w:rPr>
              <w:instrText xml:space="preserve"> PAGEREF _Toc193371303 \h </w:instrText>
            </w:r>
            <w:r w:rsidRPr="004123B6">
              <w:rPr>
                <w:noProof/>
                <w:webHidden/>
              </w:rPr>
            </w:r>
            <w:r w:rsidRPr="004123B6">
              <w:rPr>
                <w:noProof/>
                <w:webHidden/>
              </w:rPr>
              <w:fldChar w:fldCharType="separate"/>
            </w:r>
            <w:r w:rsidR="007E6045">
              <w:rPr>
                <w:noProof/>
                <w:webHidden/>
              </w:rPr>
              <w:t>33</w:t>
            </w:r>
            <w:r w:rsidRPr="004123B6">
              <w:rPr>
                <w:noProof/>
                <w:webHidden/>
              </w:rPr>
              <w:fldChar w:fldCharType="end"/>
            </w:r>
          </w:hyperlink>
        </w:p>
        <w:p w14:paraId="0FDBC3CD" w14:textId="5EE891D8" w:rsidR="004123B6" w:rsidRPr="004123B6" w:rsidRDefault="004123B6">
          <w:pPr>
            <w:pStyle w:val="Saturs1"/>
            <w:rPr>
              <w:rFonts w:eastAsiaTheme="minorEastAsia"/>
              <w:noProof/>
              <w:sz w:val="24"/>
              <w:szCs w:val="24"/>
              <w:lang w:val="en-US"/>
            </w:rPr>
          </w:pPr>
          <w:hyperlink w:anchor="_Toc193371304" w:history="1">
            <w:r w:rsidRPr="004123B6">
              <w:rPr>
                <w:rStyle w:val="Hipersaite"/>
                <w:noProof/>
              </w:rPr>
              <w:t>2.</w:t>
            </w:r>
            <w:r w:rsidRPr="004123B6">
              <w:rPr>
                <w:rFonts w:eastAsiaTheme="minorEastAsia"/>
                <w:noProof/>
                <w:sz w:val="24"/>
                <w:szCs w:val="24"/>
                <w:lang w:val="en-US"/>
              </w:rPr>
              <w:tab/>
            </w:r>
            <w:r w:rsidRPr="004123B6">
              <w:rPr>
                <w:rStyle w:val="Hipersaite"/>
                <w:noProof/>
              </w:rPr>
              <w:t>Iekšējās drošības fonda finansiāla atbalsta instruments ārējām robežām un vīzām</w:t>
            </w:r>
            <w:r w:rsidRPr="004123B6">
              <w:rPr>
                <w:noProof/>
                <w:webHidden/>
              </w:rPr>
              <w:tab/>
            </w:r>
            <w:r w:rsidRPr="004123B6">
              <w:rPr>
                <w:noProof/>
                <w:webHidden/>
              </w:rPr>
              <w:fldChar w:fldCharType="begin"/>
            </w:r>
            <w:r w:rsidRPr="004123B6">
              <w:rPr>
                <w:noProof/>
                <w:webHidden/>
              </w:rPr>
              <w:instrText xml:space="preserve"> PAGEREF _Toc193371304 \h </w:instrText>
            </w:r>
            <w:r w:rsidRPr="004123B6">
              <w:rPr>
                <w:noProof/>
                <w:webHidden/>
              </w:rPr>
            </w:r>
            <w:r w:rsidRPr="004123B6">
              <w:rPr>
                <w:noProof/>
                <w:webHidden/>
              </w:rPr>
              <w:fldChar w:fldCharType="separate"/>
            </w:r>
            <w:r w:rsidR="007E6045">
              <w:rPr>
                <w:noProof/>
                <w:webHidden/>
              </w:rPr>
              <w:t>62</w:t>
            </w:r>
            <w:r w:rsidRPr="004123B6">
              <w:rPr>
                <w:noProof/>
                <w:webHidden/>
              </w:rPr>
              <w:fldChar w:fldCharType="end"/>
            </w:r>
          </w:hyperlink>
        </w:p>
        <w:p w14:paraId="7CF35AEC" w14:textId="18A4EC0E" w:rsidR="004123B6" w:rsidRPr="004123B6" w:rsidRDefault="004123B6">
          <w:pPr>
            <w:pStyle w:val="Saturs2"/>
            <w:tabs>
              <w:tab w:val="left" w:pos="1361"/>
              <w:tab w:val="right" w:leader="dot" w:pos="10252"/>
            </w:tabs>
            <w:rPr>
              <w:rFonts w:eastAsiaTheme="minorEastAsia"/>
              <w:noProof/>
              <w:sz w:val="24"/>
              <w:szCs w:val="24"/>
              <w:lang w:val="en-US"/>
            </w:rPr>
          </w:pPr>
          <w:hyperlink w:anchor="_Toc193371305" w:history="1">
            <w:r w:rsidRPr="004123B6">
              <w:rPr>
                <w:rStyle w:val="Hipersaite"/>
                <w:noProof/>
              </w:rPr>
              <w:t>2.1.</w:t>
            </w:r>
            <w:r w:rsidRPr="004123B6">
              <w:rPr>
                <w:rFonts w:eastAsiaTheme="minorEastAsia"/>
                <w:noProof/>
                <w:sz w:val="24"/>
                <w:szCs w:val="24"/>
                <w:lang w:val="en-US"/>
              </w:rPr>
              <w:tab/>
            </w:r>
            <w:r w:rsidRPr="004123B6">
              <w:rPr>
                <w:rStyle w:val="Hipersaite"/>
                <w:noProof/>
              </w:rPr>
              <w:t>Pārskats par IDF finansiāla atbalsta instrumenta ārējām robežām un vīzām ieviešanu un intervences loģika</w:t>
            </w:r>
            <w:r w:rsidRPr="004123B6">
              <w:rPr>
                <w:noProof/>
                <w:webHidden/>
              </w:rPr>
              <w:tab/>
            </w:r>
            <w:r w:rsidRPr="004123B6">
              <w:rPr>
                <w:noProof/>
                <w:webHidden/>
              </w:rPr>
              <w:fldChar w:fldCharType="begin"/>
            </w:r>
            <w:r w:rsidRPr="004123B6">
              <w:rPr>
                <w:noProof/>
                <w:webHidden/>
              </w:rPr>
              <w:instrText xml:space="preserve"> PAGEREF _Toc193371305 \h </w:instrText>
            </w:r>
            <w:r w:rsidRPr="004123B6">
              <w:rPr>
                <w:noProof/>
                <w:webHidden/>
              </w:rPr>
            </w:r>
            <w:r w:rsidRPr="004123B6">
              <w:rPr>
                <w:noProof/>
                <w:webHidden/>
              </w:rPr>
              <w:fldChar w:fldCharType="separate"/>
            </w:r>
            <w:r w:rsidR="007E6045">
              <w:rPr>
                <w:noProof/>
                <w:webHidden/>
              </w:rPr>
              <w:t>62</w:t>
            </w:r>
            <w:r w:rsidRPr="004123B6">
              <w:rPr>
                <w:noProof/>
                <w:webHidden/>
              </w:rPr>
              <w:fldChar w:fldCharType="end"/>
            </w:r>
          </w:hyperlink>
        </w:p>
        <w:p w14:paraId="1EF40C91" w14:textId="5113B307" w:rsidR="004123B6" w:rsidRPr="004123B6" w:rsidRDefault="004123B6">
          <w:pPr>
            <w:pStyle w:val="Saturs2"/>
            <w:tabs>
              <w:tab w:val="left" w:pos="1361"/>
              <w:tab w:val="right" w:leader="dot" w:pos="10252"/>
            </w:tabs>
            <w:rPr>
              <w:rFonts w:eastAsiaTheme="minorEastAsia"/>
              <w:noProof/>
              <w:sz w:val="24"/>
              <w:szCs w:val="24"/>
              <w:lang w:val="en-US"/>
            </w:rPr>
          </w:pPr>
          <w:hyperlink w:anchor="_Toc193371306" w:history="1">
            <w:r w:rsidRPr="004123B6">
              <w:rPr>
                <w:rStyle w:val="Hipersaite"/>
                <w:noProof/>
              </w:rPr>
              <w:t>2.2.</w:t>
            </w:r>
            <w:r w:rsidRPr="004123B6">
              <w:rPr>
                <w:rFonts w:eastAsiaTheme="minorEastAsia"/>
                <w:noProof/>
                <w:sz w:val="24"/>
                <w:szCs w:val="24"/>
                <w:lang w:val="en-US"/>
              </w:rPr>
              <w:tab/>
            </w:r>
            <w:r w:rsidRPr="004123B6">
              <w:rPr>
                <w:rStyle w:val="Hipersaite"/>
                <w:noProof/>
              </w:rPr>
              <w:t>IDF finansiāla atbalsta instrumenta ārējām robežām un vīzām izvērtējuma konstatējumi</w:t>
            </w:r>
            <w:r w:rsidRPr="004123B6">
              <w:rPr>
                <w:noProof/>
                <w:webHidden/>
              </w:rPr>
              <w:tab/>
            </w:r>
            <w:r w:rsidRPr="004123B6">
              <w:rPr>
                <w:noProof/>
                <w:webHidden/>
              </w:rPr>
              <w:fldChar w:fldCharType="begin"/>
            </w:r>
            <w:r w:rsidRPr="004123B6">
              <w:rPr>
                <w:noProof/>
                <w:webHidden/>
              </w:rPr>
              <w:instrText xml:space="preserve"> PAGEREF _Toc193371306 \h </w:instrText>
            </w:r>
            <w:r w:rsidRPr="004123B6">
              <w:rPr>
                <w:noProof/>
                <w:webHidden/>
              </w:rPr>
            </w:r>
            <w:r w:rsidRPr="004123B6">
              <w:rPr>
                <w:noProof/>
                <w:webHidden/>
              </w:rPr>
              <w:fldChar w:fldCharType="separate"/>
            </w:r>
            <w:r w:rsidR="007E6045">
              <w:rPr>
                <w:noProof/>
                <w:webHidden/>
              </w:rPr>
              <w:t>65</w:t>
            </w:r>
            <w:r w:rsidRPr="004123B6">
              <w:rPr>
                <w:noProof/>
                <w:webHidden/>
              </w:rPr>
              <w:fldChar w:fldCharType="end"/>
            </w:r>
          </w:hyperlink>
        </w:p>
        <w:p w14:paraId="1392E1D5" w14:textId="40F02E81" w:rsidR="004123B6" w:rsidRPr="004123B6" w:rsidRDefault="004123B6">
          <w:pPr>
            <w:pStyle w:val="Saturs1"/>
            <w:rPr>
              <w:rFonts w:eastAsiaTheme="minorEastAsia"/>
              <w:noProof/>
              <w:sz w:val="24"/>
              <w:szCs w:val="24"/>
              <w:lang w:val="en-US"/>
            </w:rPr>
          </w:pPr>
          <w:hyperlink w:anchor="_Toc193371307" w:history="1">
            <w:r w:rsidRPr="004123B6">
              <w:rPr>
                <w:rStyle w:val="Hipersaite"/>
                <w:noProof/>
              </w:rPr>
              <w:t>3.</w:t>
            </w:r>
            <w:r w:rsidRPr="004123B6">
              <w:rPr>
                <w:rFonts w:eastAsiaTheme="minorEastAsia"/>
                <w:noProof/>
                <w:sz w:val="24"/>
                <w:szCs w:val="24"/>
                <w:lang w:val="en-US"/>
              </w:rPr>
              <w:tab/>
            </w:r>
            <w:r w:rsidRPr="004123B6">
              <w:rPr>
                <w:rStyle w:val="Hipersaite"/>
                <w:noProof/>
              </w:rPr>
              <w:t>Iekšējās drošības fonda finansiāla atbalsta instruments policijas sadarbībai, noziedzības novēršanai un apkarošanai un krīžu pārvarēšanai</w:t>
            </w:r>
            <w:r w:rsidRPr="004123B6">
              <w:rPr>
                <w:noProof/>
                <w:webHidden/>
              </w:rPr>
              <w:tab/>
            </w:r>
            <w:r w:rsidRPr="004123B6">
              <w:rPr>
                <w:noProof/>
                <w:webHidden/>
              </w:rPr>
              <w:fldChar w:fldCharType="begin"/>
            </w:r>
            <w:r w:rsidRPr="004123B6">
              <w:rPr>
                <w:noProof/>
                <w:webHidden/>
              </w:rPr>
              <w:instrText xml:space="preserve"> PAGEREF _Toc193371307 \h </w:instrText>
            </w:r>
            <w:r w:rsidRPr="004123B6">
              <w:rPr>
                <w:noProof/>
                <w:webHidden/>
              </w:rPr>
            </w:r>
            <w:r w:rsidRPr="004123B6">
              <w:rPr>
                <w:noProof/>
                <w:webHidden/>
              </w:rPr>
              <w:fldChar w:fldCharType="separate"/>
            </w:r>
            <w:r w:rsidR="007E6045">
              <w:rPr>
                <w:noProof/>
                <w:webHidden/>
              </w:rPr>
              <w:t>89</w:t>
            </w:r>
            <w:r w:rsidRPr="004123B6">
              <w:rPr>
                <w:noProof/>
                <w:webHidden/>
              </w:rPr>
              <w:fldChar w:fldCharType="end"/>
            </w:r>
          </w:hyperlink>
        </w:p>
        <w:p w14:paraId="04EE62FA" w14:textId="5E72D0D6" w:rsidR="004123B6" w:rsidRPr="004123B6" w:rsidRDefault="004123B6">
          <w:pPr>
            <w:pStyle w:val="Saturs2"/>
            <w:tabs>
              <w:tab w:val="left" w:pos="1361"/>
              <w:tab w:val="right" w:leader="dot" w:pos="10252"/>
            </w:tabs>
            <w:rPr>
              <w:rFonts w:eastAsiaTheme="minorEastAsia"/>
              <w:noProof/>
              <w:sz w:val="24"/>
              <w:szCs w:val="24"/>
              <w:lang w:val="en-US"/>
            </w:rPr>
          </w:pPr>
          <w:hyperlink w:anchor="_Toc193371308" w:history="1">
            <w:r w:rsidRPr="004123B6">
              <w:rPr>
                <w:rStyle w:val="Hipersaite"/>
                <w:noProof/>
              </w:rPr>
              <w:t>3.1.</w:t>
            </w:r>
            <w:r w:rsidRPr="004123B6">
              <w:rPr>
                <w:rFonts w:eastAsiaTheme="minorEastAsia"/>
                <w:noProof/>
                <w:sz w:val="24"/>
                <w:szCs w:val="24"/>
                <w:lang w:val="en-US"/>
              </w:rPr>
              <w:tab/>
            </w:r>
            <w:r w:rsidRPr="004123B6">
              <w:rPr>
                <w:rStyle w:val="Hipersaite"/>
                <w:noProof/>
              </w:rPr>
              <w:t>Pārskats par IDF finansiāla atbalsta instrumenta policijas sadarbībai, noziedzības novēršanai un apkarošanai un krīžu pārvarēšanai ieviešanu un intervences loģika</w:t>
            </w:r>
            <w:r w:rsidRPr="004123B6">
              <w:rPr>
                <w:noProof/>
                <w:webHidden/>
              </w:rPr>
              <w:tab/>
            </w:r>
            <w:r w:rsidRPr="004123B6">
              <w:rPr>
                <w:noProof/>
                <w:webHidden/>
              </w:rPr>
              <w:fldChar w:fldCharType="begin"/>
            </w:r>
            <w:r w:rsidRPr="004123B6">
              <w:rPr>
                <w:noProof/>
                <w:webHidden/>
              </w:rPr>
              <w:instrText xml:space="preserve"> PAGEREF _Toc193371308 \h </w:instrText>
            </w:r>
            <w:r w:rsidRPr="004123B6">
              <w:rPr>
                <w:noProof/>
                <w:webHidden/>
              </w:rPr>
            </w:r>
            <w:r w:rsidRPr="004123B6">
              <w:rPr>
                <w:noProof/>
                <w:webHidden/>
              </w:rPr>
              <w:fldChar w:fldCharType="separate"/>
            </w:r>
            <w:r w:rsidR="007E6045">
              <w:rPr>
                <w:noProof/>
                <w:webHidden/>
              </w:rPr>
              <w:t>89</w:t>
            </w:r>
            <w:r w:rsidRPr="004123B6">
              <w:rPr>
                <w:noProof/>
                <w:webHidden/>
              </w:rPr>
              <w:fldChar w:fldCharType="end"/>
            </w:r>
          </w:hyperlink>
        </w:p>
        <w:p w14:paraId="4857C5F2" w14:textId="4208C96C" w:rsidR="004123B6" w:rsidRPr="004123B6" w:rsidRDefault="004123B6">
          <w:pPr>
            <w:pStyle w:val="Saturs2"/>
            <w:tabs>
              <w:tab w:val="left" w:pos="1361"/>
              <w:tab w:val="right" w:leader="dot" w:pos="10252"/>
            </w:tabs>
            <w:rPr>
              <w:rFonts w:eastAsiaTheme="minorEastAsia"/>
              <w:noProof/>
              <w:sz w:val="24"/>
              <w:szCs w:val="24"/>
              <w:lang w:val="en-US"/>
            </w:rPr>
          </w:pPr>
          <w:hyperlink w:anchor="_Toc193371309" w:history="1">
            <w:r w:rsidRPr="004123B6">
              <w:rPr>
                <w:rStyle w:val="Hipersaite"/>
                <w:noProof/>
              </w:rPr>
              <w:t>3.2.</w:t>
            </w:r>
            <w:r w:rsidRPr="004123B6">
              <w:rPr>
                <w:rFonts w:eastAsiaTheme="minorEastAsia"/>
                <w:noProof/>
                <w:sz w:val="24"/>
                <w:szCs w:val="24"/>
                <w:lang w:val="en-US"/>
              </w:rPr>
              <w:tab/>
            </w:r>
            <w:r w:rsidRPr="004123B6">
              <w:rPr>
                <w:rStyle w:val="Hipersaite"/>
                <w:noProof/>
              </w:rPr>
              <w:t>IDF finansiāla atbalsta instrumenta policijas sadarbībai, noziedzības novēršanai un apkarošanai un krīžu pārvarēšanai izvērtējuma konstatējumi</w:t>
            </w:r>
            <w:r w:rsidRPr="004123B6">
              <w:rPr>
                <w:noProof/>
                <w:webHidden/>
              </w:rPr>
              <w:tab/>
            </w:r>
            <w:r w:rsidRPr="004123B6">
              <w:rPr>
                <w:noProof/>
                <w:webHidden/>
              </w:rPr>
              <w:fldChar w:fldCharType="begin"/>
            </w:r>
            <w:r w:rsidRPr="004123B6">
              <w:rPr>
                <w:noProof/>
                <w:webHidden/>
              </w:rPr>
              <w:instrText xml:space="preserve"> PAGEREF _Toc193371309 \h </w:instrText>
            </w:r>
            <w:r w:rsidRPr="004123B6">
              <w:rPr>
                <w:noProof/>
                <w:webHidden/>
              </w:rPr>
            </w:r>
            <w:r w:rsidRPr="004123B6">
              <w:rPr>
                <w:noProof/>
                <w:webHidden/>
              </w:rPr>
              <w:fldChar w:fldCharType="separate"/>
            </w:r>
            <w:r w:rsidR="007E6045">
              <w:rPr>
                <w:noProof/>
                <w:webHidden/>
              </w:rPr>
              <w:t>92</w:t>
            </w:r>
            <w:r w:rsidRPr="004123B6">
              <w:rPr>
                <w:noProof/>
                <w:webHidden/>
              </w:rPr>
              <w:fldChar w:fldCharType="end"/>
            </w:r>
          </w:hyperlink>
        </w:p>
        <w:p w14:paraId="6A51A66F" w14:textId="0D965F19" w:rsidR="004123B6" w:rsidRPr="004123B6" w:rsidRDefault="004123B6">
          <w:pPr>
            <w:pStyle w:val="Saturs1"/>
            <w:rPr>
              <w:rFonts w:eastAsiaTheme="minorEastAsia"/>
              <w:noProof/>
              <w:sz w:val="24"/>
              <w:szCs w:val="24"/>
              <w:lang w:val="en-US"/>
            </w:rPr>
          </w:pPr>
          <w:hyperlink w:anchor="_Toc193371310" w:history="1">
            <w:r w:rsidRPr="004123B6">
              <w:rPr>
                <w:rStyle w:val="Hipersaite"/>
                <w:noProof/>
              </w:rPr>
              <w:t>4.</w:t>
            </w:r>
            <w:r w:rsidRPr="004123B6">
              <w:rPr>
                <w:rFonts w:eastAsiaTheme="minorEastAsia"/>
                <w:noProof/>
                <w:sz w:val="24"/>
                <w:szCs w:val="24"/>
                <w:lang w:val="en-US"/>
              </w:rPr>
              <w:tab/>
            </w:r>
            <w:r w:rsidRPr="004123B6">
              <w:rPr>
                <w:rStyle w:val="Hipersaite"/>
                <w:noProof/>
              </w:rPr>
              <w:t>IZVĒRTĒJUMA SECINĀJUMI UN ATZIŅAS</w:t>
            </w:r>
            <w:r w:rsidRPr="004123B6">
              <w:rPr>
                <w:noProof/>
                <w:webHidden/>
              </w:rPr>
              <w:tab/>
            </w:r>
            <w:r w:rsidRPr="004123B6">
              <w:rPr>
                <w:noProof/>
                <w:webHidden/>
              </w:rPr>
              <w:fldChar w:fldCharType="begin"/>
            </w:r>
            <w:r w:rsidRPr="004123B6">
              <w:rPr>
                <w:noProof/>
                <w:webHidden/>
              </w:rPr>
              <w:instrText xml:space="preserve"> PAGEREF _Toc193371310 \h </w:instrText>
            </w:r>
            <w:r w:rsidRPr="004123B6">
              <w:rPr>
                <w:noProof/>
                <w:webHidden/>
              </w:rPr>
            </w:r>
            <w:r w:rsidRPr="004123B6">
              <w:rPr>
                <w:noProof/>
                <w:webHidden/>
              </w:rPr>
              <w:fldChar w:fldCharType="separate"/>
            </w:r>
            <w:r w:rsidR="007E6045">
              <w:rPr>
                <w:noProof/>
                <w:webHidden/>
              </w:rPr>
              <w:t>113</w:t>
            </w:r>
            <w:r w:rsidRPr="004123B6">
              <w:rPr>
                <w:noProof/>
                <w:webHidden/>
              </w:rPr>
              <w:fldChar w:fldCharType="end"/>
            </w:r>
          </w:hyperlink>
        </w:p>
        <w:p w14:paraId="596AE224" w14:textId="732F6A1E" w:rsidR="004123B6" w:rsidRPr="004123B6" w:rsidRDefault="004123B6">
          <w:pPr>
            <w:pStyle w:val="Saturs2"/>
            <w:tabs>
              <w:tab w:val="left" w:pos="1361"/>
              <w:tab w:val="right" w:leader="dot" w:pos="10252"/>
            </w:tabs>
            <w:rPr>
              <w:rFonts w:eastAsiaTheme="minorEastAsia"/>
              <w:noProof/>
              <w:sz w:val="24"/>
              <w:szCs w:val="24"/>
              <w:lang w:val="en-US"/>
            </w:rPr>
          </w:pPr>
          <w:hyperlink w:anchor="_Toc193371311" w:history="1">
            <w:r w:rsidRPr="004123B6">
              <w:rPr>
                <w:rStyle w:val="Hipersaite"/>
                <w:noProof/>
              </w:rPr>
              <w:t>4.1.</w:t>
            </w:r>
            <w:r w:rsidRPr="004123B6">
              <w:rPr>
                <w:rFonts w:eastAsiaTheme="minorEastAsia"/>
                <w:noProof/>
                <w:sz w:val="24"/>
                <w:szCs w:val="24"/>
                <w:lang w:val="en-US"/>
              </w:rPr>
              <w:tab/>
            </w:r>
            <w:r w:rsidRPr="004123B6">
              <w:rPr>
                <w:rStyle w:val="Hipersaite"/>
                <w:noProof/>
              </w:rPr>
              <w:t>Patvēruma, migrācijas un integrācijas fonda secinājumi un atziņas</w:t>
            </w:r>
            <w:r w:rsidRPr="004123B6">
              <w:rPr>
                <w:noProof/>
                <w:webHidden/>
              </w:rPr>
              <w:tab/>
            </w:r>
            <w:r w:rsidRPr="004123B6">
              <w:rPr>
                <w:noProof/>
                <w:webHidden/>
              </w:rPr>
              <w:fldChar w:fldCharType="begin"/>
            </w:r>
            <w:r w:rsidRPr="004123B6">
              <w:rPr>
                <w:noProof/>
                <w:webHidden/>
              </w:rPr>
              <w:instrText xml:space="preserve"> PAGEREF _Toc193371311 \h </w:instrText>
            </w:r>
            <w:r w:rsidRPr="004123B6">
              <w:rPr>
                <w:noProof/>
                <w:webHidden/>
              </w:rPr>
            </w:r>
            <w:r w:rsidRPr="004123B6">
              <w:rPr>
                <w:noProof/>
                <w:webHidden/>
              </w:rPr>
              <w:fldChar w:fldCharType="separate"/>
            </w:r>
            <w:r w:rsidR="007E6045">
              <w:rPr>
                <w:noProof/>
                <w:webHidden/>
              </w:rPr>
              <w:t>113</w:t>
            </w:r>
            <w:r w:rsidRPr="004123B6">
              <w:rPr>
                <w:noProof/>
                <w:webHidden/>
              </w:rPr>
              <w:fldChar w:fldCharType="end"/>
            </w:r>
          </w:hyperlink>
        </w:p>
        <w:p w14:paraId="7472558B" w14:textId="0CB742C1" w:rsidR="004123B6" w:rsidRPr="004123B6" w:rsidRDefault="004123B6">
          <w:pPr>
            <w:pStyle w:val="Saturs2"/>
            <w:tabs>
              <w:tab w:val="left" w:pos="1361"/>
              <w:tab w:val="right" w:leader="dot" w:pos="10252"/>
            </w:tabs>
            <w:rPr>
              <w:rFonts w:eastAsiaTheme="minorEastAsia"/>
              <w:noProof/>
              <w:sz w:val="24"/>
              <w:szCs w:val="24"/>
              <w:lang w:val="en-US"/>
            </w:rPr>
          </w:pPr>
          <w:hyperlink w:anchor="_Toc193371312" w:history="1">
            <w:r w:rsidRPr="004123B6">
              <w:rPr>
                <w:rStyle w:val="Hipersaite"/>
                <w:noProof/>
              </w:rPr>
              <w:t>4.2.</w:t>
            </w:r>
            <w:r w:rsidRPr="004123B6">
              <w:rPr>
                <w:rFonts w:eastAsiaTheme="minorEastAsia"/>
                <w:noProof/>
                <w:sz w:val="24"/>
                <w:szCs w:val="24"/>
                <w:lang w:val="en-US"/>
              </w:rPr>
              <w:tab/>
            </w:r>
            <w:r w:rsidRPr="004123B6">
              <w:rPr>
                <w:rStyle w:val="Hipersaite"/>
                <w:noProof/>
              </w:rPr>
              <w:t>Iekšējās drošības fonda finansiāla atbalsta instruments ārējām robežām un vīzām secinājumi un atziņas</w:t>
            </w:r>
            <w:r w:rsidRPr="004123B6">
              <w:rPr>
                <w:noProof/>
                <w:webHidden/>
              </w:rPr>
              <w:tab/>
            </w:r>
            <w:r w:rsidRPr="004123B6">
              <w:rPr>
                <w:noProof/>
                <w:webHidden/>
              </w:rPr>
              <w:fldChar w:fldCharType="begin"/>
            </w:r>
            <w:r w:rsidRPr="004123B6">
              <w:rPr>
                <w:noProof/>
                <w:webHidden/>
              </w:rPr>
              <w:instrText xml:space="preserve"> PAGEREF _Toc193371312 \h </w:instrText>
            </w:r>
            <w:r w:rsidRPr="004123B6">
              <w:rPr>
                <w:noProof/>
                <w:webHidden/>
              </w:rPr>
            </w:r>
            <w:r w:rsidRPr="004123B6">
              <w:rPr>
                <w:noProof/>
                <w:webHidden/>
              </w:rPr>
              <w:fldChar w:fldCharType="separate"/>
            </w:r>
            <w:r w:rsidR="007E6045">
              <w:rPr>
                <w:noProof/>
                <w:webHidden/>
              </w:rPr>
              <w:t>117</w:t>
            </w:r>
            <w:r w:rsidRPr="004123B6">
              <w:rPr>
                <w:noProof/>
                <w:webHidden/>
              </w:rPr>
              <w:fldChar w:fldCharType="end"/>
            </w:r>
          </w:hyperlink>
        </w:p>
        <w:p w14:paraId="6148A6DC" w14:textId="2B9311E0" w:rsidR="004123B6" w:rsidRDefault="004123B6">
          <w:pPr>
            <w:pStyle w:val="Saturs2"/>
            <w:tabs>
              <w:tab w:val="left" w:pos="1361"/>
              <w:tab w:val="right" w:leader="dot" w:pos="10252"/>
            </w:tabs>
            <w:rPr>
              <w:rFonts w:eastAsiaTheme="minorEastAsia"/>
              <w:noProof/>
              <w:sz w:val="24"/>
              <w:szCs w:val="24"/>
              <w:lang w:val="en-US"/>
            </w:rPr>
          </w:pPr>
          <w:hyperlink w:anchor="_Toc193371313" w:history="1">
            <w:r w:rsidRPr="004123B6">
              <w:rPr>
                <w:rStyle w:val="Hipersaite"/>
                <w:noProof/>
              </w:rPr>
              <w:t>4.3.</w:t>
            </w:r>
            <w:r w:rsidRPr="004123B6">
              <w:rPr>
                <w:rFonts w:eastAsiaTheme="minorEastAsia"/>
                <w:noProof/>
                <w:sz w:val="24"/>
                <w:szCs w:val="24"/>
                <w:lang w:val="en-US"/>
              </w:rPr>
              <w:tab/>
            </w:r>
            <w:r w:rsidRPr="004123B6">
              <w:rPr>
                <w:rStyle w:val="Hipersaite"/>
                <w:noProof/>
              </w:rPr>
              <w:t>Iekšējās drošības fonda finansiāla atbalsta instruments policijas sadarbībai, noziedzības novēršanai un apkarošanai un krīžu pārvarēšanai secinājumi un atziņas</w:t>
            </w:r>
            <w:r w:rsidRPr="004123B6">
              <w:rPr>
                <w:noProof/>
                <w:webHidden/>
              </w:rPr>
              <w:tab/>
            </w:r>
            <w:r w:rsidRPr="004123B6">
              <w:rPr>
                <w:noProof/>
                <w:webHidden/>
              </w:rPr>
              <w:fldChar w:fldCharType="begin"/>
            </w:r>
            <w:r w:rsidRPr="004123B6">
              <w:rPr>
                <w:noProof/>
                <w:webHidden/>
              </w:rPr>
              <w:instrText xml:space="preserve"> PAGEREF _Toc193371313 \h </w:instrText>
            </w:r>
            <w:r w:rsidRPr="004123B6">
              <w:rPr>
                <w:noProof/>
                <w:webHidden/>
              </w:rPr>
            </w:r>
            <w:r w:rsidRPr="004123B6">
              <w:rPr>
                <w:noProof/>
                <w:webHidden/>
              </w:rPr>
              <w:fldChar w:fldCharType="separate"/>
            </w:r>
            <w:r w:rsidR="007E6045">
              <w:rPr>
                <w:noProof/>
                <w:webHidden/>
              </w:rPr>
              <w:t>121</w:t>
            </w:r>
            <w:r w:rsidRPr="004123B6">
              <w:rPr>
                <w:noProof/>
                <w:webHidden/>
              </w:rPr>
              <w:fldChar w:fldCharType="end"/>
            </w:r>
          </w:hyperlink>
        </w:p>
        <w:p w14:paraId="361F4E42" w14:textId="0DC5974C" w:rsidR="009031F7" w:rsidRPr="008F64A0" w:rsidRDefault="009031F7">
          <w:r w:rsidRPr="00E41720">
            <w:fldChar w:fldCharType="end"/>
          </w:r>
        </w:p>
      </w:sdtContent>
    </w:sdt>
    <w:p w14:paraId="3CA24676" w14:textId="77777777" w:rsidR="009031F7" w:rsidRPr="008F64A0" w:rsidRDefault="009031F7" w:rsidP="009031F7"/>
    <w:p w14:paraId="50CAA7F5" w14:textId="29F1DE84" w:rsidR="00333444" w:rsidRPr="008F64A0" w:rsidRDefault="00333444" w:rsidP="009031F7">
      <w:pPr>
        <w:pStyle w:val="Virsraksts1"/>
      </w:pPr>
      <w:r w:rsidRPr="008F64A0">
        <w:br w:type="page"/>
      </w:r>
    </w:p>
    <w:p w14:paraId="2971D9DD" w14:textId="61467943" w:rsidR="00333444" w:rsidRDefault="00977C1C" w:rsidP="00977C1C">
      <w:pPr>
        <w:pStyle w:val="Virsraksts1"/>
      </w:pPr>
      <w:bookmarkStart w:id="8" w:name="_Toc193371298"/>
      <w:r w:rsidRPr="008F64A0">
        <w:lastRenderedPageBreak/>
        <w:t>KOPSAVILKUMS</w:t>
      </w:r>
      <w:bookmarkEnd w:id="8"/>
    </w:p>
    <w:p w14:paraId="033EF6E3" w14:textId="77777777" w:rsidR="003978B4" w:rsidRDefault="003978B4" w:rsidP="003978B4">
      <w:pPr>
        <w:spacing w:before="0" w:line="259" w:lineRule="auto"/>
        <w:rPr>
          <w:b/>
          <w:bCs/>
          <w:color w:val="600074" w:themeColor="accent6" w:themeShade="BF"/>
        </w:rPr>
      </w:pPr>
      <w:r w:rsidRPr="008F64A0">
        <w:rPr>
          <w:b/>
          <w:bCs/>
          <w:color w:val="600074" w:themeColor="accent6" w:themeShade="BF"/>
        </w:rPr>
        <w:t>EFEKTIVITĀTE</w:t>
      </w:r>
    </w:p>
    <w:p w14:paraId="6183810A" w14:textId="1CF1CA16" w:rsidR="00D42220" w:rsidRPr="00D42220" w:rsidRDefault="00D42220" w:rsidP="00D42220">
      <w:r w:rsidRPr="00D42220">
        <w:rPr>
          <w:b/>
          <w:bCs/>
        </w:rPr>
        <w:t>Patvēruma, migrācijas un integrācijas fonda</w:t>
      </w:r>
      <w:r w:rsidRPr="00D42220">
        <w:t xml:space="preserve"> nacionālās programmas rezultātu analīze Latvijā uzrāda neviendabīgu sniegumu – no divpadsmit definētajiem rezultatīvajiem rādītājiem septiņi ir sasniegti vai pārsniegti, bet pieci nav sasnieguši plānotās vērtības. Augstu izpildes līmeni uzrāda mērķa grupu atbalsta pasākumi integrācijas jomā (289</w:t>
      </w:r>
      <w:r w:rsidR="006D2768">
        <w:t xml:space="preserve"> </w:t>
      </w:r>
      <w:r w:rsidRPr="00D42220">
        <w:t>%) un reintegrācijas palīdzības sniegšana atgriezušos personu atbalstam (152</w:t>
      </w:r>
      <w:r w:rsidR="006D66B9">
        <w:t> </w:t>
      </w:r>
      <w:r w:rsidRPr="00D42220">
        <w:t>%). Programmas īstenošanu ietekmēja gan Covid-19 pandēmijas izraisītie ierobežojumi, gan ģeopolitiskās izmaiņas, tomēr tā ir veicinājusi būtiskas sistēmiskas pārmaiņas, īpaši stiprinot patvēruma procedūras, uzlabojot uzņemšanas kapacitāti un attīstot informācijas sistēmas iestāžu efektīvai sadarbībai.</w:t>
      </w:r>
    </w:p>
    <w:p w14:paraId="6AC0302F" w14:textId="632255EF" w:rsidR="00A764A7" w:rsidRDefault="00D42220" w:rsidP="00D42220">
      <w:r w:rsidRPr="00D42220">
        <w:t xml:space="preserve">Patvēruma, migrācijas un integrācijas fonda programma ir sniegusi nozīmīgu ieguldījumu vairākās jomās: uzlabota patvēruma meklētāju uzņemšanas infrastruktūra un pakalpojumu kvalitāte, izveidota "vienas pieturas aģentūras" sistēma piecās Latvijas pilsētās, nodrošināti valodas </w:t>
      </w:r>
      <w:r>
        <w:t>integrācijas</w:t>
      </w:r>
      <w:r w:rsidRPr="00D42220">
        <w:t xml:space="preserve"> pasākumi trešo valstu pilsoņiem, kā arī īstenota brīvprātīgās atgriešanās programma</w:t>
      </w:r>
      <w:r w:rsidR="00E61B33">
        <w:t xml:space="preserve"> un piespiedu izraidīšanas pasākumi</w:t>
      </w:r>
      <w:r w:rsidRPr="00D42220">
        <w:t xml:space="preserve">. </w:t>
      </w:r>
      <w:r w:rsidR="00A764A7">
        <w:t xml:space="preserve"> Ekspertu vērtējumā īpaši izceļama ir starpinstitucionālās sadarbības uzlabošanās, darbinieku profesionālās kompetences attīstība un informācijas sistēmu pilnveide, kas būtiski samazinājusi administratīvo slogu un uzlabojusi datu apmaiņu starp iesaistītajām institūcijām.</w:t>
      </w:r>
    </w:p>
    <w:p w14:paraId="3782002E" w14:textId="3B47D31A" w:rsidR="00F61B55" w:rsidRDefault="0001300B" w:rsidP="0001300B">
      <w:r w:rsidRPr="0001300B">
        <w:rPr>
          <w:b/>
          <w:bCs/>
        </w:rPr>
        <w:t>Iekšējās drošības</w:t>
      </w:r>
      <w:r w:rsidR="009676CB" w:rsidRPr="00300214">
        <w:rPr>
          <w:b/>
          <w:bCs/>
        </w:rPr>
        <w:t xml:space="preserve"> fonda</w:t>
      </w:r>
      <w:r w:rsidRPr="0001300B">
        <w:rPr>
          <w:b/>
          <w:bCs/>
        </w:rPr>
        <w:t xml:space="preserve"> </w:t>
      </w:r>
      <w:r w:rsidR="009676CB" w:rsidRPr="00300214">
        <w:rPr>
          <w:b/>
          <w:bCs/>
        </w:rPr>
        <w:t>finansiāla atbalsta instrumenta ārējām robežām un vīzām</w:t>
      </w:r>
      <w:r w:rsidR="009676CB" w:rsidRPr="00300214">
        <w:t xml:space="preserve"> </w:t>
      </w:r>
      <w:r w:rsidRPr="0001300B">
        <w:t xml:space="preserve">efektivitātes izvērtējumā </w:t>
      </w:r>
      <w:r w:rsidR="00766CC2">
        <w:t>atklāj diferencētu rezultatīvo rādītāju izpildi. N</w:t>
      </w:r>
      <w:r w:rsidRPr="0001300B">
        <w:t>o deviņiem definētajiem rezultatīvajiem rādītājiem pieci ir sasnieg</w:t>
      </w:r>
      <w:r w:rsidR="0072380E">
        <w:t>uši izvirzīt</w:t>
      </w:r>
      <w:r w:rsidR="00DC0DF7">
        <w:t>ās vērtības</w:t>
      </w:r>
      <w:r w:rsidRPr="0001300B">
        <w:t>, turklāt četri no tiem pārsniedza sākotnēji plānotās vērtības. Īpaši augstu izpildes līmeni uzrādīja valsts robežu uzraudzības infrastruktūras attīstība EUROSUR ietvaros (171</w:t>
      </w:r>
      <w:r w:rsidR="006D66B9">
        <w:t> </w:t>
      </w:r>
      <w:r w:rsidRPr="0001300B">
        <w:t xml:space="preserve">%) un </w:t>
      </w:r>
      <w:r w:rsidR="00FF5332" w:rsidRPr="00300214">
        <w:t xml:space="preserve">īstenoto </w:t>
      </w:r>
      <w:r w:rsidRPr="0001300B">
        <w:t>mācību kursu skaits (149</w:t>
      </w:r>
      <w:r w:rsidR="006D66B9">
        <w:t> </w:t>
      </w:r>
      <w:r w:rsidRPr="0001300B">
        <w:t>%). Tomēr četri rādītāji nesasniedza plānotās vērtības, piemēram, automatizētās robežkontroles sistēmas izmantošana</w:t>
      </w:r>
      <w:r w:rsidR="006A686E">
        <w:t>i</w:t>
      </w:r>
      <w:r w:rsidRPr="0001300B">
        <w:t xml:space="preserve"> (18</w:t>
      </w:r>
      <w:r w:rsidR="006D66B9">
        <w:t> </w:t>
      </w:r>
      <w:r w:rsidRPr="0001300B">
        <w:t>%) un robežkontroles infrastruktūras līdzekļu izveide</w:t>
      </w:r>
      <w:r w:rsidR="006A686E">
        <w:t>i</w:t>
      </w:r>
      <w:r w:rsidRPr="0001300B">
        <w:t xml:space="preserve"> (0</w:t>
      </w:r>
      <w:r w:rsidR="006D66B9">
        <w:t> </w:t>
      </w:r>
      <w:r w:rsidRPr="0001300B">
        <w:t xml:space="preserve">%). </w:t>
      </w:r>
    </w:p>
    <w:p w14:paraId="61CE845B" w14:textId="6BCCAF06" w:rsidR="0001300B" w:rsidRDefault="007B5390" w:rsidP="0001300B">
      <w:r>
        <w:t>Programmas sekmīgu īstenošanu veicināja vairāki f</w:t>
      </w:r>
      <w:r w:rsidR="0001300B" w:rsidRPr="0001300B">
        <w:t xml:space="preserve">aktori, </w:t>
      </w:r>
      <w:r>
        <w:t>tostarp,</w:t>
      </w:r>
      <w:r w:rsidR="002806B2">
        <w:t xml:space="preserve"> </w:t>
      </w:r>
      <w:r w:rsidR="0001300B" w:rsidRPr="0001300B">
        <w:t xml:space="preserve">starptautiskā </w:t>
      </w:r>
      <w:r w:rsidR="002806B2">
        <w:t xml:space="preserve">un </w:t>
      </w:r>
      <w:r w:rsidR="002806B2" w:rsidRPr="0001300B">
        <w:t xml:space="preserve">starpinstitucionālā </w:t>
      </w:r>
      <w:r w:rsidR="0001300B" w:rsidRPr="0001300B">
        <w:t xml:space="preserve">sadarbība, </w:t>
      </w:r>
      <w:r w:rsidR="002806B2">
        <w:t xml:space="preserve">kā arī </w:t>
      </w:r>
      <w:r w:rsidR="0001300B" w:rsidRPr="0001300B">
        <w:t xml:space="preserve">konstruktīva </w:t>
      </w:r>
      <w:r w:rsidR="009C57E2">
        <w:t>mijiedarbība</w:t>
      </w:r>
      <w:r w:rsidR="0001300B" w:rsidRPr="0001300B">
        <w:t xml:space="preserve"> ar atbildīgo iestādi. </w:t>
      </w:r>
      <w:r w:rsidR="009C57E2">
        <w:t xml:space="preserve">Savukārt ieviešanu kavējošie faktori bija saistīti ar </w:t>
      </w:r>
      <w:r w:rsidR="0001300B" w:rsidRPr="0001300B">
        <w:t>Krievijas militār</w:t>
      </w:r>
      <w:r w:rsidR="00DB3D28">
        <w:t>o</w:t>
      </w:r>
      <w:r w:rsidR="0001300B" w:rsidRPr="0001300B">
        <w:t xml:space="preserve"> iebrukum</w:t>
      </w:r>
      <w:r w:rsidR="00DB3D28">
        <w:t>u</w:t>
      </w:r>
      <w:r w:rsidR="0001300B" w:rsidRPr="0001300B">
        <w:t xml:space="preserve"> Ukrainā, iepirkumu procedūr</w:t>
      </w:r>
      <w:r w:rsidR="00DB3D28">
        <w:t>u sarežģījumi</w:t>
      </w:r>
      <w:r w:rsidR="006D66B9">
        <w:t>em</w:t>
      </w:r>
      <w:r w:rsidR="0001300B" w:rsidRPr="0001300B">
        <w:t xml:space="preserve"> un ģeopolitiskā</w:t>
      </w:r>
      <w:r w:rsidR="00082A53">
        <w:t>m</w:t>
      </w:r>
      <w:r w:rsidR="0001300B" w:rsidRPr="0001300B">
        <w:t xml:space="preserve"> pārmaiņ</w:t>
      </w:r>
      <w:r w:rsidR="00082A53">
        <w:t>ām</w:t>
      </w:r>
      <w:r w:rsidR="0001300B" w:rsidRPr="0001300B">
        <w:t>.</w:t>
      </w:r>
    </w:p>
    <w:p w14:paraId="4AB875B1" w14:textId="1A896188" w:rsidR="0001300B" w:rsidRPr="0001300B" w:rsidRDefault="0001300B" w:rsidP="0001300B">
      <w:r w:rsidRPr="0001300B">
        <w:t>Programmas ietvaros tika veikta</w:t>
      </w:r>
      <w:r w:rsidR="003462BB">
        <w:t xml:space="preserve"> kompleksa pieeja robežu pārvaldības stiprināšanai, aptverot</w:t>
      </w:r>
      <w:r w:rsidRPr="0001300B">
        <w:t xml:space="preserve"> informācijas sistēmu attīstīb</w:t>
      </w:r>
      <w:r w:rsidR="003462BB">
        <w:t>u</w:t>
      </w:r>
      <w:r w:rsidRPr="0001300B">
        <w:t xml:space="preserve">, </w:t>
      </w:r>
      <w:r w:rsidR="003462BB">
        <w:t>specializētu</w:t>
      </w:r>
      <w:r w:rsidRPr="0001300B">
        <w:t xml:space="preserve"> apmācīb</w:t>
      </w:r>
      <w:r w:rsidR="003462BB">
        <w:t>u nodrošināšanu</w:t>
      </w:r>
      <w:r w:rsidRPr="0001300B">
        <w:t>, starpinstitucionālā</w:t>
      </w:r>
      <w:r w:rsidR="003462BB">
        <w:t>s</w:t>
      </w:r>
      <w:r w:rsidRPr="0001300B">
        <w:t xml:space="preserve"> sadarbība</w:t>
      </w:r>
      <w:r w:rsidR="003462BB">
        <w:t>s attīstīšanu</w:t>
      </w:r>
      <w:r w:rsidRPr="0001300B">
        <w:t xml:space="preserve"> un robežkontroles tehnisk</w:t>
      </w:r>
      <w:r w:rsidR="005312BC">
        <w:t>o</w:t>
      </w:r>
      <w:r w:rsidRPr="0001300B">
        <w:t xml:space="preserve"> līdzekļ</w:t>
      </w:r>
      <w:r w:rsidR="005312BC">
        <w:t>u modernizāciju</w:t>
      </w:r>
      <w:r w:rsidRPr="0001300B">
        <w:t xml:space="preserve">. </w:t>
      </w:r>
      <w:r w:rsidR="00B0321C">
        <w:t>Šo pasākumu kopums uzlaboja r</w:t>
      </w:r>
      <w:r w:rsidRPr="0001300B">
        <w:t>obežu uzraudzības kapacitāt</w:t>
      </w:r>
      <w:r w:rsidR="00F74890">
        <w:t>i, nodrošinot</w:t>
      </w:r>
      <w:r w:rsidRPr="0001300B">
        <w:t xml:space="preserve"> efektīvāk</w:t>
      </w:r>
      <w:r w:rsidR="00F74890">
        <w:t>u</w:t>
      </w:r>
      <w:r w:rsidRPr="0001300B">
        <w:t xml:space="preserve"> cilvēkresursu</w:t>
      </w:r>
      <w:r w:rsidR="00F74890">
        <w:t xml:space="preserve"> plānošanu</w:t>
      </w:r>
      <w:r w:rsidRPr="0001300B">
        <w:t xml:space="preserve"> un </w:t>
      </w:r>
      <w:r w:rsidR="004D21F9">
        <w:t>ātrāku</w:t>
      </w:r>
      <w:r w:rsidRPr="0001300B">
        <w:t xml:space="preserve"> reaģēšan</w:t>
      </w:r>
      <w:r w:rsidR="004D21F9">
        <w:t>as spēju</w:t>
      </w:r>
      <w:r w:rsidRPr="0001300B">
        <w:t xml:space="preserve"> incidentu gadījumos. </w:t>
      </w:r>
      <w:r w:rsidR="008B4E35">
        <w:t>Programmas</w:t>
      </w:r>
      <w:r w:rsidRPr="0001300B">
        <w:t xml:space="preserve"> rezultātā tika uzlabota personu pārbaude ārējās robežas kontroles punktos</w:t>
      </w:r>
      <w:r w:rsidR="00A0442F">
        <w:t>, vienlaikus</w:t>
      </w:r>
      <w:r w:rsidRPr="0001300B">
        <w:t xml:space="preserve"> veicin</w:t>
      </w:r>
      <w:r w:rsidR="00A0442F">
        <w:t>ot</w:t>
      </w:r>
      <w:r w:rsidRPr="0001300B">
        <w:t xml:space="preserve"> kopēj</w:t>
      </w:r>
      <w:r w:rsidR="008B4999">
        <w:t>ā</w:t>
      </w:r>
      <w:r w:rsidRPr="0001300B">
        <w:t>s vīzu politikas attīstīb</w:t>
      </w:r>
      <w:r w:rsidR="008B4999">
        <w:t>u Eiropas Savienības kontekstā</w:t>
      </w:r>
      <w:r w:rsidRPr="0001300B">
        <w:t xml:space="preserve">. </w:t>
      </w:r>
      <w:r w:rsidR="008B4999">
        <w:t>Nozīmīgs tehn</w:t>
      </w:r>
      <w:r w:rsidR="005E6A38">
        <w:t>oloģiskais risinājums bija s</w:t>
      </w:r>
      <w:r w:rsidRPr="0001300B">
        <w:t>tarptautiskajā lidostā "Rīga" ieviestie automatizētās robežkontroles vārti</w:t>
      </w:r>
      <w:r w:rsidR="005E6A38">
        <w:t>, kas</w:t>
      </w:r>
      <w:r w:rsidRPr="0001300B">
        <w:t xml:space="preserve"> nodrošināja </w:t>
      </w:r>
      <w:r w:rsidR="006D0E37" w:rsidRPr="0001300B">
        <w:t>robežpārbau</w:t>
      </w:r>
      <w:r w:rsidR="006D0E37">
        <w:t>žu</w:t>
      </w:r>
      <w:r w:rsidR="006D0E37" w:rsidRPr="0001300B">
        <w:t xml:space="preserve"> </w:t>
      </w:r>
      <w:r w:rsidRPr="0001300B">
        <w:t>ātr</w:t>
      </w:r>
      <w:r w:rsidR="006D0E37">
        <w:t>uma</w:t>
      </w:r>
      <w:r w:rsidRPr="0001300B">
        <w:t xml:space="preserve"> un </w:t>
      </w:r>
      <w:r w:rsidR="006D0E37" w:rsidRPr="0001300B">
        <w:t>efektiv</w:t>
      </w:r>
      <w:r w:rsidR="006D0E37">
        <w:t>itātes pieaugumu</w:t>
      </w:r>
      <w:r w:rsidRPr="0001300B">
        <w:t xml:space="preserve">. </w:t>
      </w:r>
      <w:r w:rsidR="003F3CFF">
        <w:t xml:space="preserve">Īstenotās </w:t>
      </w:r>
      <w:r w:rsidR="00F67B88">
        <w:t>p</w:t>
      </w:r>
      <w:r w:rsidRPr="0001300B">
        <w:t xml:space="preserve">rogrammas aktivitātes </w:t>
      </w:r>
      <w:r w:rsidR="00F67B88">
        <w:t>sniedza ieguldījumu</w:t>
      </w:r>
      <w:r w:rsidRPr="0001300B">
        <w:t xml:space="preserve"> integrētas robežu pārvaldības attīstīb</w:t>
      </w:r>
      <w:r w:rsidR="00F67B88">
        <w:t>ā, stiprinot</w:t>
      </w:r>
      <w:r w:rsidR="009224B4">
        <w:t xml:space="preserve"> Latvijas</w:t>
      </w:r>
      <w:r w:rsidRPr="0001300B">
        <w:t xml:space="preserve"> atbilstību Eiropas Savienības standartiem</w:t>
      </w:r>
      <w:r w:rsidR="009224B4">
        <w:t xml:space="preserve"> un uzlabojot</w:t>
      </w:r>
      <w:r w:rsidRPr="0001300B">
        <w:t xml:space="preserve"> inform</w:t>
      </w:r>
      <w:r w:rsidR="00EC1864">
        <w:t>ā</w:t>
      </w:r>
      <w:r w:rsidRPr="0001300B">
        <w:t>cijas apmaiņu ar citām Eiropas Savienības dalībvalstīm.</w:t>
      </w:r>
    </w:p>
    <w:p w14:paraId="52423563" w14:textId="72DDE046" w:rsidR="00591FCB" w:rsidRDefault="00EC1864" w:rsidP="00184F25">
      <w:r w:rsidRPr="00F04D42">
        <w:rPr>
          <w:b/>
          <w:bCs/>
        </w:rPr>
        <w:t>Iekšējās drošības fonda finansiāla atbalsta instrumenta policijas sadarbībai, noziedzības novēršanai un apkarošanai un krīžu pārvarēšanai</w:t>
      </w:r>
      <w:r w:rsidR="00184F25" w:rsidRPr="00F04D42">
        <w:rPr>
          <w:b/>
          <w:bCs/>
        </w:rPr>
        <w:t xml:space="preserve"> </w:t>
      </w:r>
      <w:r w:rsidR="00184F25" w:rsidRPr="000669AC">
        <w:t>efektivitātes izvērtējumā</w:t>
      </w:r>
      <w:r w:rsidR="00184F25" w:rsidRPr="00F04D42">
        <w:rPr>
          <w:b/>
          <w:bCs/>
        </w:rPr>
        <w:t xml:space="preserve"> </w:t>
      </w:r>
      <w:r w:rsidR="00184F25" w:rsidRPr="00F04D42">
        <w:t>konstatēt</w:t>
      </w:r>
      <w:r w:rsidR="002615A8">
        <w:t>a neviendabīga rezultatīvo rādītāju izpilde. Analīze atklāj,</w:t>
      </w:r>
      <w:r w:rsidR="00184F25" w:rsidRPr="00F04D42">
        <w:t xml:space="preserve"> ka no astoņiem definētajiem rezultatīvajiem rādītājiem puse ir sasniegti, turklāt trīs no </w:t>
      </w:r>
      <w:r w:rsidR="00AD0698">
        <w:t>šiem rādītājiem</w:t>
      </w:r>
      <w:r w:rsidR="00184F25" w:rsidRPr="00F04D42">
        <w:t xml:space="preserve"> pārsniedza sākotnēji plānotās vērtības. Īpaši augst</w:t>
      </w:r>
      <w:r w:rsidR="00B57C1A">
        <w:t>i</w:t>
      </w:r>
      <w:r w:rsidR="00184F25" w:rsidRPr="00F04D42">
        <w:t xml:space="preserve"> izpildes </w:t>
      </w:r>
      <w:r w:rsidR="00B57C1A">
        <w:t>rādītāji vērojam</w:t>
      </w:r>
      <w:r w:rsidR="00140CBB">
        <w:t xml:space="preserve">i noziedzības novēršanas jomā, kur </w:t>
      </w:r>
      <w:r w:rsidR="00184F25" w:rsidRPr="00F04D42">
        <w:t xml:space="preserve">projektu finansiālā vērtība </w:t>
      </w:r>
      <w:r w:rsidR="00140CBB">
        <w:t xml:space="preserve">sasniedza </w:t>
      </w:r>
      <w:r w:rsidR="00184F25" w:rsidRPr="00F04D42">
        <w:t>223</w:t>
      </w:r>
      <w:r w:rsidR="00140CBB">
        <w:t xml:space="preserve"> </w:t>
      </w:r>
      <w:r w:rsidR="00184F25" w:rsidRPr="00F04D42">
        <w:t>%</w:t>
      </w:r>
      <w:r w:rsidR="00140CBB">
        <w:t xml:space="preserve"> no plānotā,</w:t>
      </w:r>
      <w:r w:rsidR="00F02BC6">
        <w:t xml:space="preserve"> bet</w:t>
      </w:r>
      <w:r w:rsidR="00184F25" w:rsidRPr="00F04D42">
        <w:t xml:space="preserve"> projektu skaits </w:t>
      </w:r>
      <w:r w:rsidR="00F02BC6">
        <w:t xml:space="preserve">šajā </w:t>
      </w:r>
      <w:r w:rsidR="00184F25" w:rsidRPr="00F04D42">
        <w:t xml:space="preserve">jomā </w:t>
      </w:r>
      <w:r w:rsidR="00F02BC6">
        <w:t xml:space="preserve">– </w:t>
      </w:r>
      <w:r w:rsidR="00184F25" w:rsidRPr="00F04D42">
        <w:t>167</w:t>
      </w:r>
      <w:r w:rsidR="00F02BC6">
        <w:t xml:space="preserve"> </w:t>
      </w:r>
      <w:r w:rsidR="00184F25" w:rsidRPr="00F04D42">
        <w:t>%</w:t>
      </w:r>
      <w:r w:rsidR="00F02BC6">
        <w:t xml:space="preserve"> no plānotā apjoma</w:t>
      </w:r>
      <w:r w:rsidR="00184F25" w:rsidRPr="00F04D42">
        <w:t>. Tomēr četri rādītāji nesasniedza plānotās vērtības, tai skaitā apmācību organizēšana tiesībaizsardzības amatpersonām (0</w:t>
      </w:r>
      <w:r w:rsidR="009B087E">
        <w:t> </w:t>
      </w:r>
      <w:r w:rsidR="00184F25" w:rsidRPr="00F04D42">
        <w:t xml:space="preserve">%) un ekspertu sanāksmju, </w:t>
      </w:r>
      <w:r w:rsidR="00184F25" w:rsidRPr="00F04D42">
        <w:lastRenderedPageBreak/>
        <w:t>semināru un konferenču organizēšana (0</w:t>
      </w:r>
      <w:r w:rsidR="009B087E">
        <w:t> </w:t>
      </w:r>
      <w:r w:rsidR="00184F25" w:rsidRPr="00F04D42">
        <w:t>%)</w:t>
      </w:r>
      <w:r w:rsidR="000748D5">
        <w:t xml:space="preserve">. Rezultātu neizpilde </w:t>
      </w:r>
      <w:r w:rsidR="00A255D5">
        <w:t>tiek skaidrota</w:t>
      </w:r>
      <w:r w:rsidR="000748D5">
        <w:t xml:space="preserve"> </w:t>
      </w:r>
      <w:r w:rsidR="006D16CF">
        <w:t xml:space="preserve">ar Valsts policijas </w:t>
      </w:r>
      <w:r w:rsidR="000748D5">
        <w:t xml:space="preserve">ierobežoto </w:t>
      </w:r>
      <w:r w:rsidR="006D16CF">
        <w:t>kopējo kapacitāti dažādu projektu īstenošan</w:t>
      </w:r>
      <w:r w:rsidR="00A255D5">
        <w:t xml:space="preserve">ā un šo pasākumu </w:t>
      </w:r>
      <w:r w:rsidR="00591FCB" w:rsidRPr="00591FCB">
        <w:t>neizvirzīšanu par prioritārām aktivitātēm</w:t>
      </w:r>
      <w:r w:rsidR="00184F25" w:rsidRPr="00F04D42">
        <w:t xml:space="preserve">. </w:t>
      </w:r>
    </w:p>
    <w:p w14:paraId="61C94E3D" w14:textId="17487877" w:rsidR="00184F25" w:rsidRPr="00F04D42" w:rsidRDefault="00972244" w:rsidP="00184F25">
      <w:r>
        <w:t>P</w:t>
      </w:r>
      <w:r w:rsidR="00B7148B">
        <w:t xml:space="preserve">rogrammas </w:t>
      </w:r>
      <w:r w:rsidR="009D6866">
        <w:t>sekmīgu</w:t>
      </w:r>
      <w:r w:rsidR="00184F25" w:rsidRPr="00F04D42">
        <w:t xml:space="preserve"> ieviešanu</w:t>
      </w:r>
      <w:r w:rsidR="009D6866">
        <w:t xml:space="preserve"> veicināja tādi faktori, kā</w:t>
      </w:r>
      <w:r w:rsidR="00184F25" w:rsidRPr="00F04D42">
        <w:t xml:space="preserve"> iepriekšējā projektu vadības pieredze, iepirkumu pirmspārbaudes un elastīga pieeja līdzekļu pārdalē. </w:t>
      </w:r>
      <w:r>
        <w:t xml:space="preserve">Savukārt starp </w:t>
      </w:r>
      <w:r w:rsidR="00184F25" w:rsidRPr="00F04D42">
        <w:t>kavēj</w:t>
      </w:r>
      <w:r>
        <w:t>ošiem faktoriem jāmin</w:t>
      </w:r>
      <w:r w:rsidR="00184F25" w:rsidRPr="00F04D42">
        <w:t xml:space="preserve"> Krievijas militārais iebrukums Ukrainā, kas izraisīja cenu kāpumu un piegādes ķēžu traucējumus, kā arī </w:t>
      </w:r>
      <w:r w:rsidR="004C6CDE">
        <w:t xml:space="preserve">dažādi </w:t>
      </w:r>
      <w:r w:rsidR="00184F25" w:rsidRPr="00F04D42">
        <w:t>sarežģījumi iepirkumu procedūrās.</w:t>
      </w:r>
    </w:p>
    <w:p w14:paraId="252E106E" w14:textId="77777777" w:rsidR="00377F90" w:rsidRDefault="00184F25" w:rsidP="00184F25">
      <w:r w:rsidRPr="00184F25">
        <w:t xml:space="preserve">Programmas ietvaros tika </w:t>
      </w:r>
      <w:r w:rsidR="004C6CDE">
        <w:t xml:space="preserve">īstenoti vairāki stratēģiski nozīmīgi uzlabojumi </w:t>
      </w:r>
      <w:r w:rsidRPr="00184F25">
        <w:t>tiesībsargājošo iestāžu kapacitāte</w:t>
      </w:r>
      <w:r w:rsidR="004C6CDE">
        <w:t>s stiprināšanai</w:t>
      </w:r>
      <w:r w:rsidRPr="00184F25">
        <w:t xml:space="preserve"> cīņā ar starptautisko pārrobežu un organizēto noziedzību</w:t>
      </w:r>
      <w:r w:rsidR="00D16962">
        <w:t>.</w:t>
      </w:r>
      <w:r w:rsidRPr="00184F25">
        <w:t xml:space="preserve"> </w:t>
      </w:r>
      <w:r w:rsidR="00D16962">
        <w:t>Ī</w:t>
      </w:r>
      <w:r w:rsidRPr="00184F25">
        <w:t>paš</w:t>
      </w:r>
      <w:r w:rsidR="00D16962">
        <w:t>a uzmanība tika veltīta</w:t>
      </w:r>
      <w:r w:rsidRPr="00184F25">
        <w:t xml:space="preserve"> tiesu ekspertīžu jom</w:t>
      </w:r>
      <w:r w:rsidR="00D16962">
        <w:t>as pilnveidošanai</w:t>
      </w:r>
      <w:r w:rsidRPr="00F04D42">
        <w:t xml:space="preserve">, modernizējot </w:t>
      </w:r>
      <w:r w:rsidRPr="00184F25">
        <w:t>aprīkojumu un</w:t>
      </w:r>
      <w:r w:rsidRPr="00F04D42">
        <w:t xml:space="preserve"> apmācot</w:t>
      </w:r>
      <w:r w:rsidRPr="00184F25">
        <w:t xml:space="preserve"> personā</w:t>
      </w:r>
      <w:r w:rsidRPr="00F04D42">
        <w:t>lu</w:t>
      </w:r>
      <w:r w:rsidRPr="00184F25">
        <w:t xml:space="preserve">. Tika ieviesta nozieguma vietu apskates procesa kvalitātes vadības sistēma un uzlabotas kibernoziedzības novēršanas un apkarošanas spējas. </w:t>
      </w:r>
    </w:p>
    <w:p w14:paraId="1B737B78" w14:textId="158E1D7E" w:rsidR="00D42220" w:rsidRPr="00F04D42" w:rsidRDefault="00184F25" w:rsidP="00184F25">
      <w:r w:rsidRPr="00184F25">
        <w:t xml:space="preserve">Krīžu pārvaldības jomā tika </w:t>
      </w:r>
      <w:r w:rsidR="00EA230F">
        <w:t xml:space="preserve">sasniegti nozīmīgi rezultāti, </w:t>
      </w:r>
      <w:r w:rsidRPr="00184F25">
        <w:t>izveido</w:t>
      </w:r>
      <w:r w:rsidR="00EA230F">
        <w:t>jot</w:t>
      </w:r>
      <w:r w:rsidR="00895924">
        <w:t xml:space="preserve"> specializētu</w:t>
      </w:r>
      <w:r w:rsidRPr="00184F25">
        <w:t xml:space="preserve"> apmācību infrastruktūr</w:t>
      </w:r>
      <w:r w:rsidR="00895924">
        <w:t>u</w:t>
      </w:r>
      <w:r w:rsidRPr="00184F25">
        <w:t xml:space="preserve"> ķīmisko, bioloģisko, radioloģisko, kodoldraudu un sprāgstvielu krīžu mācībām, </w:t>
      </w:r>
      <w:r w:rsidR="00895924">
        <w:t>kā arī</w:t>
      </w:r>
      <w:r w:rsidRPr="00184F25">
        <w:t xml:space="preserve"> pretterorisma vienības "OMEGA" spēju attīstīšanai. </w:t>
      </w:r>
      <w:r w:rsidR="00273F20">
        <w:t xml:space="preserve">Programma veicināja </w:t>
      </w:r>
      <w:r w:rsidRPr="00184F25">
        <w:t>pretterorisma vienību kapacitāte</w:t>
      </w:r>
      <w:r w:rsidR="00273F20">
        <w:t>s pilnveidošanu</w:t>
      </w:r>
      <w:r w:rsidRPr="00184F25">
        <w:t xml:space="preserve"> un to iesaist</w:t>
      </w:r>
      <w:r w:rsidR="007F5520">
        <w:t>i</w:t>
      </w:r>
      <w:r w:rsidRPr="00184F25">
        <w:t xml:space="preserve"> ATLAS tīklā</w:t>
      </w:r>
      <w:r w:rsidR="007F5520">
        <w:t>. Papildu tam tika</w:t>
      </w:r>
      <w:r w:rsidRPr="00184F25">
        <w:t xml:space="preserve"> nodrošināts moderns aprīkojums </w:t>
      </w:r>
      <w:r w:rsidR="00F04D42" w:rsidRPr="00F04D42">
        <w:t>ķīmisko negadījumu</w:t>
      </w:r>
      <w:r w:rsidRPr="00184F25">
        <w:t xml:space="preserve"> seku likvidēšanai. </w:t>
      </w:r>
      <w:r w:rsidR="007F5520">
        <w:t xml:space="preserve">Izveidotā </w:t>
      </w:r>
      <w:r w:rsidR="00A61A4B">
        <w:t>a</w:t>
      </w:r>
      <w:r w:rsidRPr="00184F25">
        <w:t xml:space="preserve">pmācību infrastruktūru sniedz būtisku ieguldījumu efektīvai krīžu un risku pārvaldībai, vienlaikus </w:t>
      </w:r>
      <w:r w:rsidR="00A61A4B">
        <w:t>stiprinot</w:t>
      </w:r>
      <w:r w:rsidRPr="00184F25">
        <w:t xml:space="preserve"> arī starptautisko sadarbību</w:t>
      </w:r>
      <w:r w:rsidR="00A61A4B">
        <w:t xml:space="preserve"> šajā jomā</w:t>
      </w:r>
      <w:r w:rsidRPr="00184F25">
        <w:t>.</w:t>
      </w:r>
    </w:p>
    <w:p w14:paraId="54851CF7" w14:textId="1E802B61" w:rsidR="00B6064B" w:rsidRDefault="003978B4" w:rsidP="00CC7D4C">
      <w:pPr>
        <w:spacing w:before="0" w:line="259" w:lineRule="auto"/>
        <w:rPr>
          <w:b/>
          <w:bCs/>
          <w:color w:val="600074" w:themeColor="accent6" w:themeShade="BF"/>
        </w:rPr>
      </w:pPr>
      <w:r w:rsidRPr="008F64A0">
        <w:rPr>
          <w:b/>
          <w:bCs/>
          <w:color w:val="600074" w:themeColor="accent6" w:themeShade="BF"/>
        </w:rPr>
        <w:t>LIETDERĪGUMS</w:t>
      </w:r>
    </w:p>
    <w:p w14:paraId="635FD7C4" w14:textId="70FADA4D" w:rsidR="00F04D42" w:rsidRPr="00F309FA" w:rsidRDefault="00F309FA" w:rsidP="00F309FA">
      <w:pPr>
        <w:rPr>
          <w:color w:val="82009B" w:themeColor="accent6"/>
        </w:rPr>
      </w:pPr>
      <w:r w:rsidRPr="00F309FA">
        <w:rPr>
          <w:color w:val="82009B" w:themeColor="accent6"/>
        </w:rPr>
        <w:t>Finansējuma apguve</w:t>
      </w:r>
    </w:p>
    <w:p w14:paraId="20AC7236" w14:textId="4A64219E" w:rsidR="00F309FA" w:rsidRDefault="00F309FA" w:rsidP="00F309FA">
      <w:r w:rsidRPr="00D42220">
        <w:rPr>
          <w:b/>
          <w:bCs/>
        </w:rPr>
        <w:t>Patvēruma, migrācijas un integrācijas fond</w:t>
      </w:r>
      <w:r w:rsidR="003A45C6">
        <w:rPr>
          <w:b/>
          <w:bCs/>
        </w:rPr>
        <w:t xml:space="preserve">a </w:t>
      </w:r>
      <w:r w:rsidR="003A45C6" w:rsidRPr="003A45C6">
        <w:t>ietvaros tiek</w:t>
      </w:r>
      <w:r w:rsidRPr="00F309FA">
        <w:t xml:space="preserve"> </w:t>
      </w:r>
      <w:r w:rsidR="003A45C6">
        <w:t>demonstrēta augsta finansējuma apguve</w:t>
      </w:r>
      <w:r w:rsidR="00584B04">
        <w:t xml:space="preserve"> - </w:t>
      </w:r>
      <w:r w:rsidRPr="00F309FA">
        <w:t xml:space="preserve">no piešķirtajiem 18,9 miljoniem </w:t>
      </w:r>
      <w:r w:rsidR="00755EBE" w:rsidRPr="00755EBE">
        <w:rPr>
          <w:i/>
          <w:iCs/>
        </w:rPr>
        <w:t>euro</w:t>
      </w:r>
      <w:r w:rsidRPr="00F309FA">
        <w:t xml:space="preserve"> tika apgūti 17,4 miljoni jeb 92</w:t>
      </w:r>
      <w:r w:rsidR="002C409E">
        <w:t> </w:t>
      </w:r>
      <w:r w:rsidRPr="00F309FA">
        <w:t xml:space="preserve">%, turklāt gandrīz visi plānotie rezultatīvie rādītāji tika sasniegti vai pat pārsniegti. </w:t>
      </w:r>
      <w:r w:rsidR="00EA5571" w:rsidRPr="00EA5571">
        <w:t>Finansējuma saņēmēji pozitīvi vērtē pieejamā finansējuma atbilstību, 79</w:t>
      </w:r>
      <w:r w:rsidR="005476E1">
        <w:t> </w:t>
      </w:r>
      <w:r w:rsidR="00EA5571" w:rsidRPr="00EA5571">
        <w:t xml:space="preserve">% respondentu </w:t>
      </w:r>
      <w:r w:rsidR="00414ABF">
        <w:t>apliecinot</w:t>
      </w:r>
      <w:r w:rsidR="00EA5571" w:rsidRPr="00EA5571">
        <w:t xml:space="preserve"> pilnī</w:t>
      </w:r>
      <w:r w:rsidR="00414ABF">
        <w:t>gu</w:t>
      </w:r>
      <w:r w:rsidR="00EA5571" w:rsidRPr="00EA5571">
        <w:t xml:space="preserve"> atbilst</w:t>
      </w:r>
      <w:r w:rsidR="007C1F0B">
        <w:t>ību vajadzībām</w:t>
      </w:r>
      <w:r w:rsidR="00EA5571" w:rsidRPr="00EA5571">
        <w:t>. Programmas īstenošan</w:t>
      </w:r>
      <w:r w:rsidR="007C1F0B">
        <w:t xml:space="preserve">as kontekstā jāņem vērā ārējie faktori - </w:t>
      </w:r>
      <w:r w:rsidR="00EA5571" w:rsidRPr="00EA5571">
        <w:t xml:space="preserve">karš Ukrainā un </w:t>
      </w:r>
      <w:r w:rsidR="007C1F0B">
        <w:t xml:space="preserve">ar to saistītās </w:t>
      </w:r>
      <w:r w:rsidR="00EA5571" w:rsidRPr="00EA5571">
        <w:t xml:space="preserve">ģeopolitiskās izmaiņas, kas </w:t>
      </w:r>
      <w:r w:rsidR="00837BE8">
        <w:t>izraisīja gan</w:t>
      </w:r>
      <w:r w:rsidR="00EA5571" w:rsidRPr="00EA5571">
        <w:t xml:space="preserve"> cenu pieaugumu</w:t>
      </w:r>
      <w:r w:rsidR="00837BE8">
        <w:t xml:space="preserve">, gan </w:t>
      </w:r>
      <w:r w:rsidR="00EA5571" w:rsidRPr="00EA5571">
        <w:t xml:space="preserve">migrācijas plūsmas palielināšanos. Izvērtējuma ietvaros veiktā </w:t>
      </w:r>
      <w:r w:rsidR="000669AC">
        <w:t>ieguvumu-izdevumu</w:t>
      </w:r>
      <w:r w:rsidR="00EA5571" w:rsidRPr="00EA5571">
        <w:t xml:space="preserve"> analīze diviem projektiem </w:t>
      </w:r>
      <w:r w:rsidR="00837BE8">
        <w:t>norāda uz</w:t>
      </w:r>
      <w:r w:rsidR="001D36B2">
        <w:t xml:space="preserve"> prognozējamu pozitīvu ekonomisko atdevi</w:t>
      </w:r>
      <w:r w:rsidR="00FA075D">
        <w:t xml:space="preserve"> atbalsta pasākumiem patvēruma meklētājiem un</w:t>
      </w:r>
      <w:r w:rsidR="00EA5571" w:rsidRPr="00EA5571">
        <w:t xml:space="preserve"> latviešu valodas apmācīb</w:t>
      </w:r>
      <w:r w:rsidR="001D36B2">
        <w:t>u</w:t>
      </w:r>
      <w:r w:rsidR="00EA5571" w:rsidRPr="00EA5571">
        <w:t xml:space="preserve"> projektiem</w:t>
      </w:r>
      <w:r w:rsidR="001D36B2">
        <w:t xml:space="preserve">, tomēr jāuzsver, ka </w:t>
      </w:r>
      <w:r w:rsidR="00A01924">
        <w:t>šie rādītāji</w:t>
      </w:r>
      <w:r w:rsidR="00EA5571" w:rsidRPr="00EA5571">
        <w:t xml:space="preserve"> cieši saistīt</w:t>
      </w:r>
      <w:r w:rsidR="00A01924">
        <w:t>i</w:t>
      </w:r>
      <w:r w:rsidR="00EA5571" w:rsidRPr="00EA5571">
        <w:t xml:space="preserve"> ar mērķa grupu nodarbinātības iespējām un kopēj</w:t>
      </w:r>
      <w:r w:rsidR="00975967">
        <w:t>o</w:t>
      </w:r>
      <w:r w:rsidR="00EA5571" w:rsidRPr="00EA5571">
        <w:t xml:space="preserve"> nodarbinātības politik</w:t>
      </w:r>
      <w:r w:rsidR="00975967">
        <w:t>u</w:t>
      </w:r>
      <w:r w:rsidR="00EA5571" w:rsidRPr="00EA5571">
        <w:t xml:space="preserve"> valstī.</w:t>
      </w:r>
    </w:p>
    <w:p w14:paraId="0D4CCB86" w14:textId="0DBFB68C" w:rsidR="00F309FA" w:rsidRDefault="000669AC" w:rsidP="00CC7D4C">
      <w:pPr>
        <w:spacing w:before="0" w:line="259" w:lineRule="auto"/>
        <w:rPr>
          <w:b/>
          <w:bCs/>
        </w:rPr>
      </w:pPr>
      <w:r w:rsidRPr="0001300B">
        <w:rPr>
          <w:b/>
          <w:bCs/>
        </w:rPr>
        <w:t>Iekšējās drošības</w:t>
      </w:r>
      <w:r w:rsidRPr="00300214">
        <w:rPr>
          <w:b/>
          <w:bCs/>
        </w:rPr>
        <w:t xml:space="preserve"> fonda</w:t>
      </w:r>
      <w:r w:rsidRPr="0001300B">
        <w:rPr>
          <w:b/>
          <w:bCs/>
        </w:rPr>
        <w:t xml:space="preserve"> </w:t>
      </w:r>
      <w:r w:rsidRPr="00300214">
        <w:rPr>
          <w:b/>
          <w:bCs/>
        </w:rPr>
        <w:t>finansiāla atbalsta instrumenta ārējām robežām un vīzām</w:t>
      </w:r>
      <w:r w:rsidR="00254713">
        <w:rPr>
          <w:b/>
          <w:bCs/>
        </w:rPr>
        <w:t xml:space="preserve"> </w:t>
      </w:r>
      <w:r w:rsidR="00254713" w:rsidRPr="00254713">
        <w:t xml:space="preserve">programmas </w:t>
      </w:r>
      <w:r w:rsidR="00E713AB">
        <w:t xml:space="preserve">finansējuma </w:t>
      </w:r>
      <w:r w:rsidR="00254713" w:rsidRPr="00254713">
        <w:t>apg</w:t>
      </w:r>
      <w:r w:rsidR="00E713AB">
        <w:t>uve sasniedza</w:t>
      </w:r>
      <w:r w:rsidR="00254713" w:rsidRPr="00254713">
        <w:t xml:space="preserve"> 24,7 miljon</w:t>
      </w:r>
      <w:r w:rsidR="00BA4F14">
        <w:t>us</w:t>
      </w:r>
      <w:r w:rsidR="00254713" w:rsidRPr="00254713">
        <w:t xml:space="preserve"> </w:t>
      </w:r>
      <w:r w:rsidR="00755EBE" w:rsidRPr="00755EBE">
        <w:rPr>
          <w:i/>
          <w:iCs/>
        </w:rPr>
        <w:t>euro</w:t>
      </w:r>
      <w:r w:rsidR="00254713" w:rsidRPr="00254713">
        <w:t xml:space="preserve"> jeb 76</w:t>
      </w:r>
      <w:r w:rsidR="00350453">
        <w:t> </w:t>
      </w:r>
      <w:r w:rsidR="00254713" w:rsidRPr="00254713">
        <w:t>% no pieejam</w:t>
      </w:r>
      <w:r w:rsidR="0080220B">
        <w:t>ā finansējuma</w:t>
      </w:r>
      <w:r w:rsidR="00254713" w:rsidRPr="00254713">
        <w:t xml:space="preserve"> 32,7 miljon</w:t>
      </w:r>
      <w:r w:rsidR="00350453">
        <w:t>u</w:t>
      </w:r>
      <w:r w:rsidR="00254713" w:rsidRPr="00254713">
        <w:t xml:space="preserve"> </w:t>
      </w:r>
      <w:r w:rsidR="00755EBE" w:rsidRPr="00755EBE">
        <w:rPr>
          <w:i/>
          <w:iCs/>
        </w:rPr>
        <w:t>euro</w:t>
      </w:r>
      <w:r w:rsidR="0080220B">
        <w:t xml:space="preserve"> apmērā.</w:t>
      </w:r>
      <w:r w:rsidR="00254713" w:rsidRPr="00254713">
        <w:t xml:space="preserve"> </w:t>
      </w:r>
      <w:r w:rsidR="00091E64">
        <w:t>Apguves rādītājus ietekmēja</w:t>
      </w:r>
      <w:r w:rsidR="00254713" w:rsidRPr="00254713">
        <w:t xml:space="preserve"> E</w:t>
      </w:r>
      <w:r w:rsidR="00613BB8">
        <w:t xml:space="preserve">iropas </w:t>
      </w:r>
      <w:r w:rsidR="00254713" w:rsidRPr="00254713">
        <w:t>S</w:t>
      </w:r>
      <w:r w:rsidR="00613BB8">
        <w:t>avienības</w:t>
      </w:r>
      <w:r w:rsidR="00254713" w:rsidRPr="00254713">
        <w:t xml:space="preserve"> centrālo sistēmu izstrādes kavējumi, kas </w:t>
      </w:r>
      <w:r w:rsidR="005A017D">
        <w:t xml:space="preserve">savukārt </w:t>
      </w:r>
      <w:r w:rsidR="00254713" w:rsidRPr="00254713">
        <w:t>ierobežoja sadarbspējas sistēmu attīstīšan</w:t>
      </w:r>
      <w:r w:rsidR="005A017D">
        <w:t>as iespējas</w:t>
      </w:r>
      <w:r w:rsidR="00254713" w:rsidRPr="00254713">
        <w:t xml:space="preserve">. Finansējuma saņēmēji pozitīvi vērtē pieejamo finansējumu </w:t>
      </w:r>
      <w:r w:rsidR="00613BB8">
        <w:t>–</w:t>
      </w:r>
      <w:r w:rsidR="00254713" w:rsidRPr="00254713">
        <w:t xml:space="preserve"> 75</w:t>
      </w:r>
      <w:r w:rsidR="00613BB8">
        <w:t> </w:t>
      </w:r>
      <w:r w:rsidR="00254713" w:rsidRPr="00254713">
        <w:t>% respondentu apstiprina tā pilnīgu atbilstību, bet 17</w:t>
      </w:r>
      <w:r w:rsidR="00A82E9E">
        <w:t> </w:t>
      </w:r>
      <w:r w:rsidR="00254713" w:rsidRPr="00254713">
        <w:t xml:space="preserve">% norāda uz daļēju atbilstību. Divu projektu </w:t>
      </w:r>
      <w:r w:rsidR="00CE5163">
        <w:t xml:space="preserve">izmaksu-ieguvumu analīzes </w:t>
      </w:r>
      <w:r w:rsidR="00254713" w:rsidRPr="00254713">
        <w:t>rezultāt</w:t>
      </w:r>
      <w:r w:rsidR="007443F1">
        <w:t>i uzrāda</w:t>
      </w:r>
      <w:r w:rsidR="00F3537E">
        <w:t xml:space="preserve"> </w:t>
      </w:r>
      <w:r w:rsidR="00CE5163">
        <w:t>projektu ekonomisk</w:t>
      </w:r>
      <w:r w:rsidR="00BF1ABC">
        <w:t>o</w:t>
      </w:r>
      <w:r w:rsidR="00CE5163">
        <w:t xml:space="preserve"> ieguvum</w:t>
      </w:r>
      <w:r w:rsidR="00BF1ABC">
        <w:t>u</w:t>
      </w:r>
      <w:r w:rsidR="00CE5163">
        <w:t xml:space="preserve"> pār</w:t>
      </w:r>
      <w:r w:rsidR="00BF1ABC">
        <w:t>svaru pār</w:t>
      </w:r>
      <w:r w:rsidR="00AC4E9C">
        <w:t xml:space="preserve"> projekta ietvaros radīt</w:t>
      </w:r>
      <w:r w:rsidR="00BF1ABC">
        <w:t>ajiem</w:t>
      </w:r>
      <w:r w:rsidR="00AC4E9C">
        <w:t xml:space="preserve"> izdevum</w:t>
      </w:r>
      <w:r w:rsidR="00BF1ABC">
        <w:t>iem</w:t>
      </w:r>
      <w:r w:rsidR="0009135B">
        <w:t>.</w:t>
      </w:r>
      <w:r w:rsidR="00254713" w:rsidRPr="00254713">
        <w:t xml:space="preserve"> </w:t>
      </w:r>
      <w:r w:rsidR="00BF1ABC" w:rsidRPr="00254713">
        <w:t>Ieceļošanas/Izceļošanas sistēmas</w:t>
      </w:r>
      <w:r w:rsidR="00BF1ABC">
        <w:t xml:space="preserve"> izstrādē</w:t>
      </w:r>
      <w:r w:rsidR="00BF1ABC" w:rsidRPr="00254713">
        <w:t xml:space="preserve"> </w:t>
      </w:r>
      <w:r w:rsidR="00EA724A">
        <w:t>k</w:t>
      </w:r>
      <w:r w:rsidR="003B6E8B" w:rsidRPr="00254713">
        <w:t xml:space="preserve">atrs ieguldītais </w:t>
      </w:r>
      <w:r w:rsidR="003B6E8B">
        <w:rPr>
          <w:i/>
          <w:iCs/>
        </w:rPr>
        <w:t>euro</w:t>
      </w:r>
      <w:r w:rsidR="003B6E8B" w:rsidRPr="00254713">
        <w:t xml:space="preserve"> </w:t>
      </w:r>
      <w:r w:rsidR="00254713" w:rsidRPr="00254713">
        <w:t>rada 1,5 reizes lielāku ekonomisko ieguvumu</w:t>
      </w:r>
      <w:r w:rsidR="00EA724A">
        <w:t>,</w:t>
      </w:r>
      <w:r w:rsidR="00254713" w:rsidRPr="00254713">
        <w:t xml:space="preserve"> savukārt robežuzraudzības sistēm</w:t>
      </w:r>
      <w:r w:rsidR="003B6E8B">
        <w:t xml:space="preserve">u pilnveides pasākumu </w:t>
      </w:r>
      <w:r w:rsidR="00254713" w:rsidRPr="00254713">
        <w:t>ieguvumi pārsniedz izmaksas, ja reaģēšanas spējas uzlabojas par vismaz 15</w:t>
      </w:r>
      <w:r w:rsidR="00C575FE">
        <w:t> </w:t>
      </w:r>
      <w:r w:rsidR="00254713" w:rsidRPr="00254713">
        <w:t>%.</w:t>
      </w:r>
    </w:p>
    <w:p w14:paraId="6E76C283" w14:textId="17D0F11A" w:rsidR="000669AC" w:rsidRDefault="000669AC" w:rsidP="00CC7D4C">
      <w:pPr>
        <w:spacing w:before="0" w:line="259" w:lineRule="auto"/>
        <w:rPr>
          <w:color w:val="600074" w:themeColor="accent6" w:themeShade="BF"/>
        </w:rPr>
      </w:pPr>
      <w:r w:rsidRPr="00F04D42">
        <w:rPr>
          <w:b/>
          <w:bCs/>
        </w:rPr>
        <w:t>Iekšējās drošības fonda finansiāla atbalsta instrumenta policijas sadarbībai, noziedzības novēršanai un apkarošanai un krīžu pārvarēšanai</w:t>
      </w:r>
      <w:r w:rsidR="00666B24">
        <w:rPr>
          <w:b/>
          <w:bCs/>
        </w:rPr>
        <w:t xml:space="preserve"> </w:t>
      </w:r>
      <w:r w:rsidR="00BE2DEB" w:rsidRPr="00BE2DEB">
        <w:t xml:space="preserve">programmas </w:t>
      </w:r>
      <w:r w:rsidR="007470BD" w:rsidRPr="007470BD">
        <w:t>ietvaros</w:t>
      </w:r>
      <w:r w:rsidR="00666B24" w:rsidRPr="007470BD">
        <w:t xml:space="preserve"> </w:t>
      </w:r>
      <w:r w:rsidR="0046630F">
        <w:t xml:space="preserve">finanšu apguves rādītāji sasniedza izcilu </w:t>
      </w:r>
      <w:r w:rsidR="007A6335">
        <w:t xml:space="preserve">līmeni - </w:t>
      </w:r>
      <w:r w:rsidR="00666B24" w:rsidRPr="00666B24">
        <w:t xml:space="preserve">19 138 492 </w:t>
      </w:r>
      <w:r w:rsidR="00666B24" w:rsidRPr="00755EBE">
        <w:rPr>
          <w:i/>
          <w:iCs/>
        </w:rPr>
        <w:t>euro</w:t>
      </w:r>
      <w:r w:rsidR="00666B24" w:rsidRPr="00666B24">
        <w:t xml:space="preserve"> jeb 99</w:t>
      </w:r>
      <w:r w:rsidR="00C575FE">
        <w:t> </w:t>
      </w:r>
      <w:r w:rsidR="00666B24" w:rsidRPr="00666B24">
        <w:t xml:space="preserve">% no </w:t>
      </w:r>
      <w:r w:rsidR="007A6335">
        <w:t xml:space="preserve">kopējā </w:t>
      </w:r>
      <w:r w:rsidR="00666B24" w:rsidRPr="00666B24">
        <w:t xml:space="preserve">pieejamā finansējuma. Finansējuma saņēmēji pozitīvi </w:t>
      </w:r>
      <w:r w:rsidR="007A6335">
        <w:t>no</w:t>
      </w:r>
      <w:r w:rsidR="00666B24" w:rsidRPr="00666B24">
        <w:t>vērtēja pieejamā finansējuma atbilstību projekt</w:t>
      </w:r>
      <w:r w:rsidR="0085639A">
        <w:t>iem izvirzīto mērķu sasniegšanai, vienlaikus</w:t>
      </w:r>
      <w:r w:rsidR="00666B24" w:rsidRPr="00666B24">
        <w:t xml:space="preserve"> norād</w:t>
      </w:r>
      <w:r w:rsidR="0085639A">
        <w:t>ot</w:t>
      </w:r>
      <w:r w:rsidR="00666B24" w:rsidRPr="00666B24">
        <w:t xml:space="preserve"> uz ģeopolitisko izmaiņu un Krievijas kara Ukrainā </w:t>
      </w:r>
      <w:r w:rsidR="00EA27A2">
        <w:t>izraisīto</w:t>
      </w:r>
      <w:r w:rsidR="00666B24" w:rsidRPr="00666B24">
        <w:t xml:space="preserve"> sek</w:t>
      </w:r>
      <w:r w:rsidR="00EA27A2">
        <w:t>u ietekmi uz</w:t>
      </w:r>
      <w:r w:rsidR="00666B24" w:rsidRPr="00666B24">
        <w:t xml:space="preserve"> izmaks</w:t>
      </w:r>
      <w:r w:rsidR="00F85B90">
        <w:t>ām</w:t>
      </w:r>
      <w:r w:rsidR="00666B24" w:rsidRPr="00666B24">
        <w:t xml:space="preserve">. </w:t>
      </w:r>
      <w:r w:rsidR="00181D63">
        <w:t>Izmaksu-ieguv</w:t>
      </w:r>
      <w:r w:rsidR="00755EBE">
        <w:t>u</w:t>
      </w:r>
      <w:r w:rsidR="00181D63">
        <w:t>mu analīze</w:t>
      </w:r>
      <w:r w:rsidR="00666B24" w:rsidRPr="00666B24">
        <w:t>, kas veikta Valsts policijas speciālās intervences vienības mācību centra un Valsts ugunsdzēsības un glābšanas dienesta CBRNE reaģēšanas spēju projekt</w:t>
      </w:r>
      <w:r w:rsidR="00F85B90">
        <w:t>iem</w:t>
      </w:r>
      <w:r w:rsidR="00666B24" w:rsidRPr="00666B24">
        <w:t xml:space="preserve">, uzrādīja pozitīvu ekonomisko </w:t>
      </w:r>
      <w:r w:rsidR="00666B24" w:rsidRPr="00666B24">
        <w:lastRenderedPageBreak/>
        <w:t xml:space="preserve">atdevi, </w:t>
      </w:r>
      <w:r w:rsidR="001D162E">
        <w:t xml:space="preserve">kas </w:t>
      </w:r>
      <w:r w:rsidR="00666B24" w:rsidRPr="00666B24">
        <w:t>pārsniedz sākotnējos ieguldījumus</w:t>
      </w:r>
      <w:r w:rsidR="001D162E">
        <w:t>. P</w:t>
      </w:r>
      <w:r w:rsidR="00181D63">
        <w:t>apildu</w:t>
      </w:r>
      <w:r w:rsidR="00666B24" w:rsidRPr="00666B24">
        <w:t xml:space="preserve"> </w:t>
      </w:r>
      <w:r w:rsidR="001D162E">
        <w:t>kvantitatīvajiem ieguvumiem, projekti</w:t>
      </w:r>
      <w:r w:rsidR="00473EE9">
        <w:t xml:space="preserve"> devuši</w:t>
      </w:r>
      <w:r w:rsidR="00666B24" w:rsidRPr="00666B24">
        <w:t xml:space="preserve"> būtisku kvalitatīvu </w:t>
      </w:r>
      <w:r w:rsidR="00473EE9">
        <w:t>ieguldījumu</w:t>
      </w:r>
      <w:r w:rsidR="00666B24" w:rsidRPr="00666B24">
        <w:t xml:space="preserve"> sabiedrības drošīb</w:t>
      </w:r>
      <w:r w:rsidR="00473EE9">
        <w:t>as līmeņa celšanā</w:t>
      </w:r>
      <w:r w:rsidR="00666B24" w:rsidRPr="00666B24">
        <w:t xml:space="preserve"> un personāla darba apstākļ</w:t>
      </w:r>
      <w:r w:rsidR="00181D63">
        <w:t>u uzlabošanā</w:t>
      </w:r>
      <w:r w:rsidR="00666B24" w:rsidRPr="00666B24">
        <w:t>.</w:t>
      </w:r>
    </w:p>
    <w:p w14:paraId="6C62B4DD" w14:textId="2731AD85" w:rsidR="00F309FA" w:rsidRDefault="00F309FA" w:rsidP="00CC7D4C">
      <w:pPr>
        <w:spacing w:before="0" w:line="259" w:lineRule="auto"/>
        <w:rPr>
          <w:color w:val="600074" w:themeColor="accent6" w:themeShade="BF"/>
        </w:rPr>
      </w:pPr>
      <w:r>
        <w:rPr>
          <w:color w:val="600074" w:themeColor="accent6" w:themeShade="BF"/>
        </w:rPr>
        <w:t>Administratīvais slogs</w:t>
      </w:r>
    </w:p>
    <w:p w14:paraId="3CB14EAF" w14:textId="2E5ACBA0" w:rsidR="00D6241F" w:rsidRPr="00D9579E" w:rsidRDefault="00E267A2" w:rsidP="00D6241F">
      <w:r>
        <w:t>Finansējuma saņēmēju vērtējums par administratīvo slogu visos fondos atklāj noteiktas tendences un izaicinājumus. Izma</w:t>
      </w:r>
      <w:r w:rsidR="00FE0AE1">
        <w:t>n</w:t>
      </w:r>
      <w:r>
        <w:t>tojot</w:t>
      </w:r>
      <w:r w:rsidR="00D6241F" w:rsidRPr="00D9579E">
        <w:t xml:space="preserve"> 5 ballu </w:t>
      </w:r>
      <w:r w:rsidR="00AA2F90">
        <w:t xml:space="preserve">vērtēšanas </w:t>
      </w:r>
      <w:r w:rsidR="00D6241F" w:rsidRPr="00D9579E">
        <w:t>skal</w:t>
      </w:r>
      <w:r w:rsidR="00AA2F90">
        <w:t>u</w:t>
      </w:r>
      <w:r w:rsidR="00D6241F" w:rsidRPr="00D9579E">
        <w:t xml:space="preserve">, kur 1 </w:t>
      </w:r>
      <w:r w:rsidR="00AA2F90">
        <w:t xml:space="preserve">apzīmē </w:t>
      </w:r>
      <w:r w:rsidR="00D6241F" w:rsidRPr="00D9579E">
        <w:t>ļoti liel</w:t>
      </w:r>
      <w:r w:rsidR="00AA2F90">
        <w:t>u</w:t>
      </w:r>
      <w:r w:rsidR="00D6241F" w:rsidRPr="00D9579E">
        <w:t xml:space="preserve"> administratīv</w:t>
      </w:r>
      <w:r w:rsidR="00AA2F90">
        <w:t>o</w:t>
      </w:r>
      <w:r w:rsidR="00D6241F" w:rsidRPr="00D9579E">
        <w:t xml:space="preserve"> slog</w:t>
      </w:r>
      <w:r w:rsidR="00AA2F90">
        <w:t>u</w:t>
      </w:r>
      <w:r w:rsidR="00D6241F" w:rsidRPr="00D9579E">
        <w:t xml:space="preserve">, </w:t>
      </w:r>
      <w:r w:rsidR="000A5B56">
        <w:t xml:space="preserve">respondenti </w:t>
      </w:r>
      <w:r w:rsidR="00D6241F" w:rsidRPr="00D9579E">
        <w:t>to novērtē</w:t>
      </w:r>
      <w:r w:rsidR="000A5B56">
        <w:t>juši</w:t>
      </w:r>
      <w:r w:rsidR="00D6241F" w:rsidRPr="00D9579E">
        <w:t xml:space="preserve"> kā drīzāk lielu</w:t>
      </w:r>
      <w:r w:rsidR="000A5B56">
        <w:t xml:space="preserve"> – ar vidējo vērtējumu </w:t>
      </w:r>
      <w:r w:rsidR="00D6241F" w:rsidRPr="00D9579E">
        <w:t>2,26 Patvēruma migrācijas un integrācijas fonda projektos un 2,33 Iekšējās drošības fonda projektos</w:t>
      </w:r>
      <w:r w:rsidR="002869D5">
        <w:t xml:space="preserve">. </w:t>
      </w:r>
      <w:r w:rsidR="000B27C8">
        <w:t>Analizējot</w:t>
      </w:r>
      <w:r w:rsidR="002869D5">
        <w:t xml:space="preserve"> procesus, kas </w:t>
      </w:r>
      <w:r w:rsidR="000B27C8">
        <w:t xml:space="preserve">būtiskāk </w:t>
      </w:r>
      <w:r w:rsidR="002869D5">
        <w:t xml:space="preserve">ietekmē projektu īstenošanu, </w:t>
      </w:r>
      <w:r w:rsidR="00737980">
        <w:t xml:space="preserve">finansējuma saņēmēji </w:t>
      </w:r>
      <w:r w:rsidR="00D6241F" w:rsidRPr="00D9579E">
        <w:t xml:space="preserve">galvenokārt izceļ iepirkumu </w:t>
      </w:r>
      <w:r w:rsidR="00737980">
        <w:t xml:space="preserve">procedūru </w:t>
      </w:r>
      <w:r w:rsidR="00D6241F" w:rsidRPr="00D9579E">
        <w:t>sarežģītību, projektu grozījumu procesa smagnējumu, biežu un detalizētu atskaišu iesniegšan</w:t>
      </w:r>
      <w:r w:rsidR="00A16E36">
        <w:t>as prasības,</w:t>
      </w:r>
      <w:r w:rsidR="00D57243">
        <w:t xml:space="preserve"> kā arī</w:t>
      </w:r>
      <w:r w:rsidR="00D6241F" w:rsidRPr="00D9579E">
        <w:t xml:space="preserve"> vienotas </w:t>
      </w:r>
      <w:r w:rsidR="002869D5">
        <w:t xml:space="preserve">projektu elektroniskās </w:t>
      </w:r>
      <w:r w:rsidR="00D6241F" w:rsidRPr="00D9579E">
        <w:t xml:space="preserve">uzraudzības sistēmas trūkumu. </w:t>
      </w:r>
      <w:r w:rsidR="00D57243">
        <w:t>Vienlaikus p</w:t>
      </w:r>
      <w:r w:rsidR="00D6241F" w:rsidRPr="00D9579E">
        <w:t>ozitīvi vērtēta pāreja uz elektronisko dokumentu apriti un iepirkumu pirmspārbau</w:t>
      </w:r>
      <w:r w:rsidR="002869D5">
        <w:t xml:space="preserve">žu ieviešana, </w:t>
      </w:r>
      <w:r w:rsidR="00D6241F" w:rsidRPr="00D9579E">
        <w:t xml:space="preserve">kas </w:t>
      </w:r>
      <w:r w:rsidR="00F54E4A">
        <w:t>sekmējusi</w:t>
      </w:r>
      <w:r w:rsidR="00D6241F" w:rsidRPr="00D9579E">
        <w:t xml:space="preserve"> neatbilstību skait</w:t>
      </w:r>
      <w:r w:rsidR="00F54E4A">
        <w:t>a samazināšanos</w:t>
      </w:r>
      <w:r w:rsidR="00D6241F" w:rsidRPr="00D9579E">
        <w:t>.</w:t>
      </w:r>
    </w:p>
    <w:p w14:paraId="79246657" w14:textId="5EA5D93D" w:rsidR="00D6241F" w:rsidRPr="00D9579E" w:rsidRDefault="00D6241F" w:rsidP="00D6241F">
      <w:r w:rsidRPr="00D9579E">
        <w:t xml:space="preserve">Starp </w:t>
      </w:r>
      <w:r w:rsidR="00F54E4A">
        <w:t xml:space="preserve">dažādiem </w:t>
      </w:r>
      <w:r w:rsidRPr="00D9579E">
        <w:t xml:space="preserve">fondiem pastāv </w:t>
      </w:r>
      <w:r w:rsidR="00F54E4A">
        <w:t>noteiktas</w:t>
      </w:r>
      <w:r w:rsidRPr="00D9579E">
        <w:t xml:space="preserve"> atšķirības </w:t>
      </w:r>
      <w:r w:rsidR="00F54E4A">
        <w:t xml:space="preserve">galvenajos </w:t>
      </w:r>
      <w:r w:rsidRPr="00D9579E">
        <w:t>izaicinājumos</w:t>
      </w:r>
      <w:r w:rsidR="00F54E4A">
        <w:t xml:space="preserve">. </w:t>
      </w:r>
      <w:r w:rsidR="00FD785F">
        <w:t>Iekšējās drošības fonda finansiālā atbalsta instrumenta ārējām robežām un vīzām projektos</w:t>
      </w:r>
      <w:r w:rsidRPr="00D9579E">
        <w:t xml:space="preserve"> īpaši uzsvērtas kompleksās</w:t>
      </w:r>
      <w:r w:rsidR="002869D5">
        <w:t xml:space="preserve"> iepirkumu</w:t>
      </w:r>
      <w:r w:rsidRPr="00D9579E">
        <w:t xml:space="preserve"> tehniskās specifikācijas un grūtības piesaistīt piegādātājus specifiskam aprīkojumam</w:t>
      </w:r>
      <w:r w:rsidR="009B0D43">
        <w:t>. Savukārt</w:t>
      </w:r>
      <w:r w:rsidRPr="00D9579E">
        <w:t xml:space="preserve"> </w:t>
      </w:r>
      <w:r w:rsidR="001F43BA">
        <w:t>Iekšējās drošības fonda finansiālā atbalsta instrumenta policijas sadarbībai, noziedzības novēršanai un apkarošanai un krīžu pārvarēšanai projektos biežāk minētas problēmas saistībā ar ģeopolitiskām izmaiņām un iepirkumu līgumu izpildi.</w:t>
      </w:r>
      <w:r w:rsidRPr="00D9579E">
        <w:t xml:space="preserve"> </w:t>
      </w:r>
      <w:r w:rsidR="002869D5">
        <w:t>Patvēruma, migrācijas un integrācijas fonda</w:t>
      </w:r>
      <w:r w:rsidRPr="00D9579E">
        <w:t xml:space="preserve"> deleģēt</w:t>
      </w:r>
      <w:r w:rsidR="0085799E">
        <w:t>ās</w:t>
      </w:r>
      <w:r w:rsidRPr="00D9579E">
        <w:t xml:space="preserve"> iestā</w:t>
      </w:r>
      <w:r w:rsidR="0085799E">
        <w:t>des</w:t>
      </w:r>
      <w:r w:rsidRPr="00D9579E">
        <w:t xml:space="preserve"> projektos </w:t>
      </w:r>
      <w:r w:rsidR="0085799E">
        <w:t xml:space="preserve">kā galvenais </w:t>
      </w:r>
      <w:r w:rsidR="0035252C">
        <w:t>izaicinājums</w:t>
      </w:r>
      <w:r w:rsidR="0085799E">
        <w:t xml:space="preserve"> identificēts</w:t>
      </w:r>
      <w:r w:rsidRPr="00D9579E">
        <w:t xml:space="preserve"> konkursu vērtēšanas ilgums, kas samazināja faktisko projektu īstenošanas laiku.</w:t>
      </w:r>
    </w:p>
    <w:p w14:paraId="7C9A4D6F" w14:textId="0624BB9B" w:rsidR="00D6241F" w:rsidRPr="002869D5" w:rsidRDefault="00D6241F" w:rsidP="002869D5">
      <w:r w:rsidRPr="00D9579E">
        <w:t>Salīdzinot plānošanas periodus, 2014.-2020. gada periods vērtēts kā ar mazāku administratīvo slogu nekā iepriekšējais</w:t>
      </w:r>
      <w:r w:rsidR="002869D5">
        <w:t xml:space="preserve"> 2007.-2013. gada plānošanas periods</w:t>
      </w:r>
      <w:r w:rsidR="00210216">
        <w:t>. Šo uzlabojumu pamatā ir</w:t>
      </w:r>
      <w:r w:rsidRPr="00D9579E">
        <w:t xml:space="preserve"> samazināt</w:t>
      </w:r>
      <w:r w:rsidR="00210216">
        <w:t>s</w:t>
      </w:r>
      <w:r w:rsidRPr="00D9579E">
        <w:t xml:space="preserve"> dokumentācijas apjom</w:t>
      </w:r>
      <w:r w:rsidR="006E54AD">
        <w:t>s</w:t>
      </w:r>
      <w:r w:rsidRPr="00D9579E">
        <w:t xml:space="preserve"> un mazāk detalizēt</w:t>
      </w:r>
      <w:r w:rsidR="006E54AD">
        <w:t>as</w:t>
      </w:r>
      <w:r w:rsidRPr="00D9579E">
        <w:t xml:space="preserve"> pārbaud</w:t>
      </w:r>
      <w:r w:rsidR="006E54AD">
        <w:t>es.</w:t>
      </w:r>
      <w:r w:rsidRPr="00D9579E">
        <w:t xml:space="preserve"> </w:t>
      </w:r>
      <w:r w:rsidR="006E54AD">
        <w:t>Attiecībā uz</w:t>
      </w:r>
      <w:r w:rsidRPr="00D9579E">
        <w:t xml:space="preserve"> 2021.-2027. gada periodu viedokļi dalās - deleģēt</w:t>
      </w:r>
      <w:r w:rsidR="00A63EE9">
        <w:t>ās</w:t>
      </w:r>
      <w:r w:rsidRPr="00D9579E">
        <w:t xml:space="preserve"> iestā</w:t>
      </w:r>
      <w:r w:rsidR="00A63EE9">
        <w:t>des</w:t>
      </w:r>
      <w:r w:rsidRPr="00D9579E">
        <w:t xml:space="preserve"> projektu īstenotāji norāda uz </w:t>
      </w:r>
      <w:r w:rsidR="00C9151B">
        <w:t xml:space="preserve">administratīvā </w:t>
      </w:r>
      <w:r w:rsidRPr="00D9579E">
        <w:t>sloga pieaugumu saistībā ar vienkāršoto izmaksu ieviešanu, kamēr atbildīgās iestādes projektu īstenotāji atzīmē vairākus uzlabojumus, tostarp elektronisko dokumentu apriti un retāku atskaišu iesniegšanu.</w:t>
      </w:r>
    </w:p>
    <w:p w14:paraId="4C987D70" w14:textId="73F47E56" w:rsidR="002C492B" w:rsidRDefault="003978B4" w:rsidP="002C492B">
      <w:pPr>
        <w:spacing w:before="0" w:line="259" w:lineRule="auto"/>
        <w:rPr>
          <w:b/>
          <w:bCs/>
          <w:color w:val="600074" w:themeColor="accent6" w:themeShade="BF"/>
        </w:rPr>
      </w:pPr>
      <w:r w:rsidRPr="008F64A0">
        <w:rPr>
          <w:b/>
          <w:bCs/>
          <w:color w:val="600074" w:themeColor="accent6" w:themeShade="BF"/>
        </w:rPr>
        <w:t>ATBILSTĪBA</w:t>
      </w:r>
    </w:p>
    <w:p w14:paraId="2D2322CC" w14:textId="3988EAB9" w:rsidR="00FD58CA" w:rsidRDefault="00B02410" w:rsidP="00B02410">
      <w:r w:rsidRPr="00B02410">
        <w:rPr>
          <w:b/>
          <w:bCs/>
        </w:rPr>
        <w:t>Patvēruma, migrācijas un integrācijas fonda</w:t>
      </w:r>
      <w:r w:rsidRPr="00B02410">
        <w:t xml:space="preserve"> finansētie pasākumi </w:t>
      </w:r>
      <w:r w:rsidR="00E6753C">
        <w:t>demonstrē</w:t>
      </w:r>
      <w:r w:rsidRPr="00B02410">
        <w:t xml:space="preserve"> atbilst</w:t>
      </w:r>
      <w:r w:rsidR="00E6753C">
        <w:t>ību</w:t>
      </w:r>
      <w:r w:rsidRPr="00B02410">
        <w:t xml:space="preserve"> nozares prioritātēm un apmierināja aktuālās vajadzības. Fond</w:t>
      </w:r>
      <w:r w:rsidR="00136EA0">
        <w:t>a ieviešanas</w:t>
      </w:r>
      <w:r w:rsidR="00087F5A">
        <w:t xml:space="preserve"> mehānismi</w:t>
      </w:r>
      <w:r w:rsidRPr="00B02410">
        <w:t xml:space="preserve"> nodrošināja </w:t>
      </w:r>
      <w:r w:rsidR="00087F5A">
        <w:t xml:space="preserve">pietiekamu </w:t>
      </w:r>
      <w:r w:rsidRPr="00B02410">
        <w:t>elastību</w:t>
      </w:r>
      <w:r w:rsidR="00F75385">
        <w:t>, lai adekvāti</w:t>
      </w:r>
      <w:r w:rsidRPr="00B02410">
        <w:t xml:space="preserve"> reaģēt</w:t>
      </w:r>
      <w:r w:rsidR="00F75385">
        <w:t>u</w:t>
      </w:r>
      <w:r w:rsidRPr="00B02410">
        <w:t xml:space="preserve"> uz mainīgiem </w:t>
      </w:r>
      <w:r w:rsidR="00240991">
        <w:t xml:space="preserve">ārējiem </w:t>
      </w:r>
      <w:r w:rsidRPr="00B02410">
        <w:t>apstākļiem, kā migrācijas krīz</w:t>
      </w:r>
      <w:r w:rsidR="00FE0AE1">
        <w:t>e</w:t>
      </w:r>
      <w:r w:rsidRPr="00B02410">
        <w:t xml:space="preserve">, Covid-19 </w:t>
      </w:r>
      <w:r w:rsidR="00C70047">
        <w:t xml:space="preserve">pandēmija </w:t>
      </w:r>
      <w:r w:rsidRPr="00B02410">
        <w:t xml:space="preserve">un </w:t>
      </w:r>
      <w:r>
        <w:t xml:space="preserve">karš </w:t>
      </w:r>
      <w:r w:rsidRPr="00B02410">
        <w:t>Ukrain</w:t>
      </w:r>
      <w:r>
        <w:t>ā</w:t>
      </w:r>
      <w:r w:rsidR="00C70047">
        <w:t>. Tomēr jāatz</w:t>
      </w:r>
      <w:r w:rsidR="001017DD">
        <w:t>īmē, ka</w:t>
      </w:r>
      <w:r w:rsidRPr="00B02410">
        <w:t xml:space="preserve"> </w:t>
      </w:r>
      <w:r w:rsidR="00AB2679" w:rsidRPr="00B02410">
        <w:t xml:space="preserve">atklāto konkursu ietvaros </w:t>
      </w:r>
      <w:r w:rsidR="00B05064">
        <w:t xml:space="preserve">īstenotajiem projektiem </w:t>
      </w:r>
      <w:r w:rsidRPr="00B02410">
        <w:t>pielāgošan</w:t>
      </w:r>
      <w:r w:rsidR="00AB2679">
        <w:t>as iespējas bij</w:t>
      </w:r>
      <w:r w:rsidR="008557B4">
        <w:t>uša</w:t>
      </w:r>
      <w:r w:rsidR="00CD3D3F">
        <w:t>s salīdzinoši</w:t>
      </w:r>
      <w:r w:rsidR="00AB2679">
        <w:t xml:space="preserve"> ierobežotas</w:t>
      </w:r>
      <w:r w:rsidRPr="00B02410">
        <w:t>. Lai gan projektu grozī</w:t>
      </w:r>
      <w:r w:rsidR="00CD3D3F">
        <w:t>jumu ieviešanas</w:t>
      </w:r>
      <w:r w:rsidRPr="00B02410">
        <w:t xml:space="preserve"> procesi dažkārt bija </w:t>
      </w:r>
      <w:r w:rsidR="00AB2679">
        <w:t xml:space="preserve">administratīvi </w:t>
      </w:r>
      <w:r w:rsidRPr="00B02410">
        <w:t>sarežģīti, kopumā programma saglabāja savu</w:t>
      </w:r>
      <w:r w:rsidR="001D4BF1">
        <w:t xml:space="preserve"> funkcionālo</w:t>
      </w:r>
      <w:r w:rsidRPr="00B02410">
        <w:t xml:space="preserve"> efektivitāti un </w:t>
      </w:r>
      <w:r w:rsidR="00D66B18">
        <w:t xml:space="preserve">demonstrēja </w:t>
      </w:r>
      <w:r w:rsidRPr="00B02410">
        <w:t>spēj</w:t>
      </w:r>
      <w:r w:rsidR="00D66B18">
        <w:t>u</w:t>
      </w:r>
      <w:r w:rsidRPr="00B02410">
        <w:t xml:space="preserve"> pielāgoties mainīgajām vajadzībām, </w:t>
      </w:r>
      <w:r w:rsidR="00FD58CA">
        <w:t>tai skaitā pārdalot</w:t>
      </w:r>
      <w:r w:rsidRPr="00B02410">
        <w:t xml:space="preserve"> finansējum</w:t>
      </w:r>
      <w:r w:rsidR="00FD58CA">
        <w:t>u</w:t>
      </w:r>
      <w:r w:rsidRPr="00B02410">
        <w:t xml:space="preserve"> starp mērķiem un </w:t>
      </w:r>
      <w:r w:rsidR="00FD58CA">
        <w:t>modificējot sākotnēji plānotās aktivitātes</w:t>
      </w:r>
      <w:r w:rsidR="00B838BB">
        <w:t xml:space="preserve"> atbilstoši jaunajiem apstākļiem</w:t>
      </w:r>
      <w:r w:rsidR="00FD58CA">
        <w:t xml:space="preserve">. </w:t>
      </w:r>
    </w:p>
    <w:p w14:paraId="7CB14404" w14:textId="6D437C3A" w:rsidR="00FD58CA" w:rsidRDefault="004B40DE" w:rsidP="00B02410">
      <w:r w:rsidRPr="0001300B">
        <w:rPr>
          <w:b/>
          <w:bCs/>
        </w:rPr>
        <w:t>Iekšējās drošības</w:t>
      </w:r>
      <w:r w:rsidRPr="00300214">
        <w:rPr>
          <w:b/>
          <w:bCs/>
        </w:rPr>
        <w:t xml:space="preserve"> fonda</w:t>
      </w:r>
      <w:r w:rsidRPr="0001300B">
        <w:rPr>
          <w:b/>
          <w:bCs/>
        </w:rPr>
        <w:t xml:space="preserve"> </w:t>
      </w:r>
      <w:r w:rsidRPr="00300214">
        <w:rPr>
          <w:b/>
          <w:bCs/>
        </w:rPr>
        <w:t>finansiāla atbalsta instrumenta ārējām robežām un vīzām</w:t>
      </w:r>
      <w:r>
        <w:rPr>
          <w:b/>
          <w:bCs/>
        </w:rPr>
        <w:t xml:space="preserve"> </w:t>
      </w:r>
      <w:r w:rsidR="006376DC" w:rsidRPr="006376DC">
        <w:t xml:space="preserve">finansētie pasākumi </w:t>
      </w:r>
      <w:r w:rsidR="00013B27">
        <w:t>uzrāda konsekventu</w:t>
      </w:r>
      <w:r w:rsidR="00FE5052">
        <w:t xml:space="preserve"> atbilstību</w:t>
      </w:r>
      <w:r w:rsidR="006376DC" w:rsidRPr="006376DC">
        <w:t xml:space="preserve"> nozares prioritātēm un aktuālajām vajadzībām. Finansējuma saņēmēji īpaši novērtē iespēju īstenot </w:t>
      </w:r>
      <w:r w:rsidR="00FE5052">
        <w:t>stratēģiski nozīmīgas</w:t>
      </w:r>
      <w:r w:rsidR="006376DC" w:rsidRPr="006376DC">
        <w:t xml:space="preserve"> aktivitātes, kam citādi būtu </w:t>
      </w:r>
      <w:r w:rsidR="00232704">
        <w:t xml:space="preserve">pieejams </w:t>
      </w:r>
      <w:r w:rsidR="006376DC" w:rsidRPr="006376DC">
        <w:t xml:space="preserve">ierobežots finansējums, piemēram, REIS modernizāciju un EUROSUR prasību ieviešanu. Lai gan programma kopumā tiek vērtēta kā </w:t>
      </w:r>
      <w:r w:rsidR="00232704">
        <w:t xml:space="preserve">pietiekami </w:t>
      </w:r>
      <w:r w:rsidR="006376DC" w:rsidRPr="006376DC">
        <w:t xml:space="preserve">elastīga (vidējais vērtējums 3,5 </w:t>
      </w:r>
      <w:r w:rsidR="00232704">
        <w:t xml:space="preserve">ballu skalā </w:t>
      </w:r>
      <w:r w:rsidR="006376DC" w:rsidRPr="006376DC">
        <w:t>no</w:t>
      </w:r>
      <w:r w:rsidR="00FE0AE1">
        <w:t xml:space="preserve"> 1 līdz</w:t>
      </w:r>
      <w:r w:rsidR="006376DC" w:rsidRPr="006376DC">
        <w:t xml:space="preserve"> 5), </w:t>
      </w:r>
      <w:r w:rsidR="003816B1">
        <w:t xml:space="preserve">joprojām </w:t>
      </w:r>
      <w:r w:rsidR="006376DC" w:rsidRPr="006376DC">
        <w:t xml:space="preserve">pastāv izaicinājumi saistībā ar grozījumu saskaņošanas ilgumu un administratīvo resursu ierobežojumiem. Latvija ir </w:t>
      </w:r>
      <w:r w:rsidR="003816B1">
        <w:t>īstenojusi</w:t>
      </w:r>
      <w:r w:rsidR="006376DC" w:rsidRPr="006376DC">
        <w:t xml:space="preserve"> vairākus </w:t>
      </w:r>
      <w:r w:rsidR="006447D6">
        <w:t xml:space="preserve">mērķtiecīgus </w:t>
      </w:r>
      <w:r w:rsidR="006376DC" w:rsidRPr="006376DC">
        <w:t xml:space="preserve">pasākumus, lai pielāgotos mainīgajām vajadzībām, </w:t>
      </w:r>
      <w:r w:rsidR="006447D6">
        <w:t>tostarp</w:t>
      </w:r>
      <w:r w:rsidR="00A10495">
        <w:t xml:space="preserve"> </w:t>
      </w:r>
      <w:r w:rsidR="006447D6">
        <w:t>veikusi</w:t>
      </w:r>
      <w:r w:rsidR="006376DC" w:rsidRPr="006376DC">
        <w:t xml:space="preserve"> finanšu līdzekļu pārplānošanu, Covid-19 pandēmijas radīto izaicinājumu risināšanu un rea</w:t>
      </w:r>
      <w:r w:rsidR="00B45A8F">
        <w:t xml:space="preserve">ģēšanu </w:t>
      </w:r>
      <w:r w:rsidR="006376DC" w:rsidRPr="006376DC">
        <w:t>uz izmaksu pieaugumu Ukrain</w:t>
      </w:r>
      <w:r w:rsidR="00026663">
        <w:t>ā esošās</w:t>
      </w:r>
      <w:r w:rsidR="006376DC" w:rsidRPr="006376DC">
        <w:t xml:space="preserve"> karadarbības </w:t>
      </w:r>
      <w:r w:rsidR="001435B4">
        <w:t>kontekstā</w:t>
      </w:r>
      <w:r w:rsidR="006376DC" w:rsidRPr="006376DC">
        <w:t>. Regulār</w:t>
      </w:r>
      <w:r w:rsidR="00026663">
        <w:t>i</w:t>
      </w:r>
      <w:r w:rsidR="006376DC" w:rsidRPr="006376DC">
        <w:t xml:space="preserve"> </w:t>
      </w:r>
      <w:r w:rsidR="00856D45">
        <w:t xml:space="preserve">organizētās </w:t>
      </w:r>
      <w:r w:rsidR="00767BAC" w:rsidRPr="00767BAC">
        <w:t>Uzraudzības komitejas un Projektu uzraudzības padomes sanāk</w:t>
      </w:r>
      <w:r w:rsidR="00767BAC">
        <w:t xml:space="preserve">smes </w:t>
      </w:r>
      <w:r w:rsidR="006376DC" w:rsidRPr="006376DC">
        <w:t xml:space="preserve">ir </w:t>
      </w:r>
      <w:r w:rsidR="00856D45">
        <w:t>sekmējušas</w:t>
      </w:r>
      <w:r w:rsidR="006376DC" w:rsidRPr="006376DC">
        <w:t xml:space="preserve"> operatīv</w:t>
      </w:r>
      <w:r w:rsidR="00856D45">
        <w:t>u</w:t>
      </w:r>
      <w:r w:rsidR="006376DC" w:rsidRPr="006376DC">
        <w:t xml:space="preserve"> </w:t>
      </w:r>
      <w:r w:rsidR="006376DC" w:rsidRPr="006376DC">
        <w:lastRenderedPageBreak/>
        <w:t>nepieciešam</w:t>
      </w:r>
      <w:r w:rsidR="00856D45">
        <w:t>o</w:t>
      </w:r>
      <w:r w:rsidR="006376DC" w:rsidRPr="006376DC">
        <w:t xml:space="preserve"> izmaiņ</w:t>
      </w:r>
      <w:r w:rsidR="00856D45">
        <w:t>u ieviešanu</w:t>
      </w:r>
      <w:r w:rsidR="006376DC" w:rsidRPr="006376DC">
        <w:t xml:space="preserve">, </w:t>
      </w:r>
      <w:r w:rsidR="002D1D41">
        <w:t xml:space="preserve">tādējādi </w:t>
      </w:r>
      <w:r w:rsidR="006376DC" w:rsidRPr="006376DC">
        <w:t>nodrošinot programmas elastību un efektivitāti mainīgajos apstākļos.</w:t>
      </w:r>
    </w:p>
    <w:p w14:paraId="3C9F1538" w14:textId="150D4FFD" w:rsidR="00B45A8F" w:rsidRPr="00576E8C" w:rsidRDefault="00B45A8F" w:rsidP="00B02410">
      <w:r w:rsidRPr="00F04D42">
        <w:rPr>
          <w:b/>
          <w:bCs/>
        </w:rPr>
        <w:t>Iekšējās drošības fonda finansiāla atbalsta instrument</w:t>
      </w:r>
      <w:r w:rsidR="00576E8C">
        <w:rPr>
          <w:b/>
          <w:bCs/>
        </w:rPr>
        <w:t>s</w:t>
      </w:r>
      <w:r w:rsidRPr="00F04D42">
        <w:rPr>
          <w:b/>
          <w:bCs/>
        </w:rPr>
        <w:t xml:space="preserve"> policijas sadarbībai, noziedzības novēršanai un apkarošanai un krīžu pārvarēšanai</w:t>
      </w:r>
      <w:r w:rsidR="00576E8C">
        <w:rPr>
          <w:b/>
          <w:bCs/>
        </w:rPr>
        <w:t xml:space="preserve"> </w:t>
      </w:r>
      <w:r w:rsidR="00576E8C">
        <w:t xml:space="preserve">ir bijis atbilstošs nozares vajadzībām un </w:t>
      </w:r>
      <w:r w:rsidR="00576E8C" w:rsidRPr="00576E8C">
        <w:t xml:space="preserve">ir </w:t>
      </w:r>
      <w:r w:rsidR="00562702">
        <w:t>nodrošinājis iespēju</w:t>
      </w:r>
      <w:r w:rsidR="00576E8C" w:rsidRPr="00576E8C">
        <w:t xml:space="preserve"> īstenot svarīgas aktivitātes, kurām </w:t>
      </w:r>
      <w:r w:rsidR="005F45D1">
        <w:t>alternatīvu finansējuma avotu</w:t>
      </w:r>
      <w:r w:rsidR="003728CA">
        <w:t xml:space="preserve"> pieejamība </w:t>
      </w:r>
      <w:r w:rsidR="00576E8C">
        <w:t>ir</w:t>
      </w:r>
      <w:r w:rsidR="00576E8C" w:rsidRPr="00576E8C">
        <w:t xml:space="preserve"> ierobežots. </w:t>
      </w:r>
      <w:r w:rsidR="003728CA">
        <w:t>P</w:t>
      </w:r>
      <w:r w:rsidR="008555CF" w:rsidRPr="006376DC">
        <w:t>rogramma</w:t>
      </w:r>
      <w:r w:rsidR="003728CA">
        <w:t>s elastības</w:t>
      </w:r>
      <w:r w:rsidR="00C938AE">
        <w:t xml:space="preserve"> līmenis</w:t>
      </w:r>
      <w:r w:rsidR="008555CF" w:rsidRPr="006376DC">
        <w:t xml:space="preserve"> tiek </w:t>
      </w:r>
      <w:r w:rsidR="00C938AE">
        <w:t>no</w:t>
      </w:r>
      <w:r w:rsidR="008555CF" w:rsidRPr="006376DC">
        <w:t>vērtēt</w:t>
      </w:r>
      <w:r w:rsidR="00C938AE">
        <w:t>s</w:t>
      </w:r>
      <w:r w:rsidR="008555CF" w:rsidRPr="006376DC">
        <w:t xml:space="preserve"> kā </w:t>
      </w:r>
      <w:r w:rsidR="00C938AE">
        <w:t>pietiekams</w:t>
      </w:r>
      <w:r w:rsidR="008555CF" w:rsidRPr="006376DC">
        <w:t xml:space="preserve"> (vidējais vērtējums 3,5 </w:t>
      </w:r>
      <w:r w:rsidR="00C938AE">
        <w:t xml:space="preserve">ballu skalā </w:t>
      </w:r>
      <w:r w:rsidR="008555CF" w:rsidRPr="006376DC">
        <w:t>no</w:t>
      </w:r>
      <w:r w:rsidR="00663B0E">
        <w:t xml:space="preserve"> 1 līdz</w:t>
      </w:r>
      <w:r w:rsidR="008555CF" w:rsidRPr="006376DC">
        <w:t xml:space="preserve"> 5), </w:t>
      </w:r>
      <w:r w:rsidR="00C938AE">
        <w:t xml:space="preserve">tomēr </w:t>
      </w:r>
      <w:r w:rsidR="008555CF" w:rsidRPr="006376DC">
        <w:t>pastāv izaicinājumi</w:t>
      </w:r>
      <w:r w:rsidR="00856545">
        <w:t>, kas</w:t>
      </w:r>
      <w:r w:rsidR="008555CF" w:rsidRPr="006376DC">
        <w:t xml:space="preserve"> saistī</w:t>
      </w:r>
      <w:r w:rsidR="00856545">
        <w:t>ti</w:t>
      </w:r>
      <w:r w:rsidR="008555CF" w:rsidRPr="006376DC">
        <w:t xml:space="preserve"> ar grozījumu saskaņošanas </w:t>
      </w:r>
      <w:r w:rsidR="00856545">
        <w:t xml:space="preserve">procesu </w:t>
      </w:r>
      <w:r w:rsidR="008555CF" w:rsidRPr="006376DC">
        <w:t>ilgumu un administratīvo resursu ierobežojumiem</w:t>
      </w:r>
      <w:r w:rsidR="00576E8C" w:rsidRPr="00576E8C">
        <w:t xml:space="preserve">. Pozitīvi vērtējama ir programmas spēja </w:t>
      </w:r>
      <w:r w:rsidR="004742FB">
        <w:t>adaptēties</w:t>
      </w:r>
      <w:r w:rsidR="00576E8C" w:rsidRPr="00576E8C">
        <w:t xml:space="preserve"> mainīgajām </w:t>
      </w:r>
      <w:r w:rsidR="004742FB">
        <w:t>ārējās vides prasībām</w:t>
      </w:r>
      <w:r w:rsidR="00576E8C" w:rsidRPr="00576E8C">
        <w:t>, piemēram, Covid-19 pandēmijas un Ukrainas karadarbības</w:t>
      </w:r>
      <w:r w:rsidR="00D4279E">
        <w:t xml:space="preserve"> izraisītajiem apstākļiem</w:t>
      </w:r>
      <w:r w:rsidR="00576E8C" w:rsidRPr="00576E8C">
        <w:t>, kā arī veikt nepieciešamās izmaiņas. Latvija</w:t>
      </w:r>
      <w:r w:rsidR="00D4279E">
        <w:t>s</w:t>
      </w:r>
      <w:r w:rsidR="00576E8C" w:rsidRPr="00576E8C">
        <w:t xml:space="preserve"> sekmīgi īsteno</w:t>
      </w:r>
      <w:r w:rsidR="00D4279E">
        <w:t>tie</w:t>
      </w:r>
      <w:r w:rsidR="00576E8C" w:rsidRPr="00576E8C">
        <w:t xml:space="preserve"> starpvalstu projekt</w:t>
      </w:r>
      <w:r w:rsidR="00090E51">
        <w:t>i</w:t>
      </w:r>
      <w:r w:rsidR="00576E8C" w:rsidRPr="00576E8C">
        <w:t xml:space="preserve"> dažādās </w:t>
      </w:r>
      <w:r w:rsidR="00090E51">
        <w:t xml:space="preserve">tiesībaizsardzības </w:t>
      </w:r>
      <w:r w:rsidR="00576E8C" w:rsidRPr="00576E8C">
        <w:t>jomās apliecina Savienības darbības gada programmās izvirzīto mērķu un prioritāšu atbilstību aktuālajām tiesībaizsardzības jom</w:t>
      </w:r>
      <w:r w:rsidR="005D03AE">
        <w:t>as</w:t>
      </w:r>
      <w:r w:rsidR="005D03AE" w:rsidRPr="005D03AE">
        <w:t xml:space="preserve"> </w:t>
      </w:r>
      <w:r w:rsidR="005D03AE" w:rsidRPr="00576E8C">
        <w:t>vajadzībām</w:t>
      </w:r>
      <w:r w:rsidR="00576E8C" w:rsidRPr="00576E8C">
        <w:t>.</w:t>
      </w:r>
    </w:p>
    <w:p w14:paraId="1A3975F3" w14:textId="6BF1A900" w:rsidR="003A2B3F" w:rsidRDefault="003978B4" w:rsidP="00F366EF">
      <w:pPr>
        <w:spacing w:before="0" w:line="259" w:lineRule="auto"/>
        <w:rPr>
          <w:b/>
          <w:bCs/>
          <w:color w:val="600074" w:themeColor="accent6" w:themeShade="BF"/>
        </w:rPr>
      </w:pPr>
      <w:r w:rsidRPr="00D31207">
        <w:rPr>
          <w:b/>
          <w:bCs/>
          <w:color w:val="600074" w:themeColor="accent6" w:themeShade="BF"/>
        </w:rPr>
        <w:t>SASKAŅOTĪBA</w:t>
      </w:r>
    </w:p>
    <w:p w14:paraId="28EEA0FF" w14:textId="2A1DAF06" w:rsidR="004E05BD" w:rsidRPr="003C501A" w:rsidRDefault="004E05BD" w:rsidP="003C501A">
      <w:r w:rsidRPr="003C501A">
        <w:t>Lai gan visiem fondiem bija raksturīga specifisk</w:t>
      </w:r>
      <w:r w:rsidR="003C501A">
        <w:t>u</w:t>
      </w:r>
      <w:r w:rsidRPr="003C501A">
        <w:t xml:space="preserve"> mērķu īstenošana, kur</w:t>
      </w:r>
      <w:r w:rsidR="00C57030">
        <w:t>iem</w:t>
      </w:r>
      <w:r w:rsidRPr="003C501A">
        <w:t xml:space="preserve"> nebija plaši pieejams </w:t>
      </w:r>
      <w:r w:rsidR="00C57030" w:rsidRPr="003C501A">
        <w:t xml:space="preserve">atbalsts </w:t>
      </w:r>
      <w:r w:rsidRPr="003C501A">
        <w:t>citu finanšu instrumentu ietvaros, visiem fondiem tika identificēta saska</w:t>
      </w:r>
      <w:r w:rsidR="00316A2A">
        <w:t>ņotība</w:t>
      </w:r>
      <w:r w:rsidRPr="003C501A">
        <w:t xml:space="preserve"> ar citiem instrumentiem. Patvēruma, migrācijas un integrācijas fonda aktivitātes bija saskanīgas ar Eiropas Sociālā fonda projektiem, kas vērsti uz patvēruma meklētāju un bēgļu integrāciju. </w:t>
      </w:r>
      <w:r w:rsidR="00C91F43" w:rsidRPr="00C91F43">
        <w:t>Iekšējās drošības fonda finansiāla atbalsta instrumenta ārējām robežām un vīzām</w:t>
      </w:r>
      <w:r w:rsidR="00C91F43">
        <w:rPr>
          <w:b/>
          <w:bCs/>
        </w:rPr>
        <w:t xml:space="preserve"> </w:t>
      </w:r>
      <w:r w:rsidRPr="003C501A">
        <w:t xml:space="preserve">programmas aktivitātes bija saskanīgas ar </w:t>
      </w:r>
      <w:r w:rsidR="003C501A" w:rsidRPr="003C501A">
        <w:t>Eiropas Ekonomiskās zonas finanšu instrumenta 2014.-202</w:t>
      </w:r>
      <w:r w:rsidR="009D4DCD">
        <w:t>1</w:t>
      </w:r>
      <w:r w:rsidR="003C501A" w:rsidRPr="003C501A">
        <w:t>. gada perioda programmu "Starptautiskā policijas sadarbība un noziedzības apkarošana"</w:t>
      </w:r>
      <w:r w:rsidRPr="003C501A">
        <w:t xml:space="preserve">, Latvijas-Krievijas un Latvijas-Lietuvas-Baltkrievijas pārrobežu sadarbības </w:t>
      </w:r>
      <w:r w:rsidR="00FD2FE1" w:rsidRPr="003C501A">
        <w:t xml:space="preserve">2014.-2020. gada </w:t>
      </w:r>
      <w:r w:rsidRPr="003C501A">
        <w:t xml:space="preserve">programmām. </w:t>
      </w:r>
      <w:r w:rsidR="00FD2FE1" w:rsidRPr="003C501A">
        <w:t xml:space="preserve">Savukārt </w:t>
      </w:r>
      <w:r w:rsidR="0053747A" w:rsidRPr="0053747A">
        <w:t>Iekšējās drošības fonda finansiāla atbalsta instrument</w:t>
      </w:r>
      <w:r w:rsidR="0053747A">
        <w:t>a</w:t>
      </w:r>
      <w:r w:rsidR="0053747A" w:rsidRPr="0053747A">
        <w:t xml:space="preserve"> policijas sadarbībai, noziedzības novēršanai un apkarošanai un krīžu pārvarēšanai</w:t>
      </w:r>
      <w:r w:rsidR="00803669" w:rsidRPr="003C501A">
        <w:t xml:space="preserve"> </w:t>
      </w:r>
      <w:r w:rsidR="0053747A">
        <w:t xml:space="preserve">programma </w:t>
      </w:r>
      <w:r w:rsidR="00803669" w:rsidRPr="003C501A">
        <w:t>bijusi saskanīga ar Eiropas Ekonomiskās zonas</w:t>
      </w:r>
      <w:r w:rsidR="003C501A" w:rsidRPr="003C501A">
        <w:t xml:space="preserve"> finanšu instrumenta 2014.-2021. gada perioda programmu "Starptautiskā policijas sadarbība un noziedzības apkarošana" un </w:t>
      </w:r>
      <w:r w:rsidR="00FD2FE1" w:rsidRPr="003C501A">
        <w:t>Latvijas-Lietuvas pārrobežu sadarbības 2014.-2020. gada programmām</w:t>
      </w:r>
      <w:r w:rsidR="00935ABF">
        <w:t>.</w:t>
      </w:r>
    </w:p>
    <w:p w14:paraId="20EBC1DD" w14:textId="6F10DEB6" w:rsidR="002E24BC" w:rsidRPr="003C501A" w:rsidRDefault="002E24BC" w:rsidP="003C501A">
      <w:r w:rsidRPr="003C501A">
        <w:t>Visu fondu programmu īstenošanā tika nodrošināta saskaņotība ar citiem ES finansētajiem instrumentiem, izmantojot Uzraudzības komitejas un Projektu uzraudzības padomi. Iekšlietu ministrijas pārraudzībā eso</w:t>
      </w:r>
      <w:r w:rsidR="004E05BD" w:rsidRPr="003C501A">
        <w:t>šajām iestādēm</w:t>
      </w:r>
      <w:r w:rsidRPr="003C501A">
        <w:t xml:space="preserve"> tika izveidoti mehānismi, kas novērsa aktivitāšu pārklāšanos un veicināja </w:t>
      </w:r>
      <w:r w:rsidR="004E05BD" w:rsidRPr="003C501A">
        <w:t>saskaņotību</w:t>
      </w:r>
      <w:r w:rsidRPr="003C501A">
        <w:t>. Projektu plānošanas un atlases procesā tika sistemātiski izvērtēta saskaņotība ar citiem instrumentiem, pieprasot finansējuma saņēmējiem sniegt informāciju par citiem īstenotajiem projektiem.</w:t>
      </w:r>
    </w:p>
    <w:p w14:paraId="20CABCBE" w14:textId="4B9D746E" w:rsidR="003978B4" w:rsidRPr="003C501A" w:rsidRDefault="003978B4" w:rsidP="003C501A">
      <w:pPr>
        <w:spacing w:before="0" w:line="259" w:lineRule="auto"/>
        <w:rPr>
          <w:b/>
          <w:bCs/>
          <w:color w:val="600074" w:themeColor="accent6" w:themeShade="BF"/>
        </w:rPr>
      </w:pPr>
      <w:r w:rsidRPr="003C501A">
        <w:rPr>
          <w:b/>
          <w:bCs/>
          <w:color w:val="600074" w:themeColor="accent6" w:themeShade="BF"/>
        </w:rPr>
        <w:t>PAPILDINĀMĪBA</w:t>
      </w:r>
    </w:p>
    <w:p w14:paraId="77E5CB29" w14:textId="292C5099" w:rsidR="008656B4" w:rsidRPr="00E73107" w:rsidRDefault="008656B4" w:rsidP="008656B4">
      <w:r w:rsidRPr="00E73107">
        <w:t xml:space="preserve">Patvēruma, migrācijas un integrācijas fonds un Iekšējās drošības fonda finansiāla atbalsta instrumenti veido stratēģisku un saskaņotu pieeju migrācijas, robežpārvaldības, patvēruma, integrācijas un iekšējās drošības jautājumu risināšanā. </w:t>
      </w:r>
      <w:r w:rsidR="00FF73FF">
        <w:t>Šo instrumentu</w:t>
      </w:r>
      <w:r w:rsidRPr="00E73107">
        <w:t xml:space="preserve"> izstrāde un īstenošana</w:t>
      </w:r>
      <w:r w:rsidR="00FF73FF">
        <w:t xml:space="preserve"> ir</w:t>
      </w:r>
      <w:r w:rsidRPr="00E73107">
        <w:t xml:space="preserve"> notikusi</w:t>
      </w:r>
      <w:r w:rsidR="00FF73FF">
        <w:t>, veidojot</w:t>
      </w:r>
      <w:r w:rsidRPr="00E73107">
        <w:t xml:space="preserve"> cieš</w:t>
      </w:r>
      <w:r w:rsidR="00EC0AF4">
        <w:t>u</w:t>
      </w:r>
      <w:r w:rsidRPr="00E73107">
        <w:t xml:space="preserve"> sasaist</w:t>
      </w:r>
      <w:r w:rsidR="00EC0AF4">
        <w:t>i</w:t>
      </w:r>
      <w:r w:rsidRPr="00E73107">
        <w:t xml:space="preserve"> ar valsts politikas plānošanas dokumentiem, </w:t>
      </w:r>
      <w:r w:rsidR="00EC0AF4">
        <w:t xml:space="preserve">tādējādi </w:t>
      </w:r>
      <w:r w:rsidRPr="00E73107">
        <w:t xml:space="preserve">nodrošinot dažādu aktivitāšu papildināmību un </w:t>
      </w:r>
      <w:r w:rsidR="00EC0AF4">
        <w:t>novēršot</w:t>
      </w:r>
      <w:r w:rsidR="004E4EC9">
        <w:t xml:space="preserve"> to</w:t>
      </w:r>
      <w:r w:rsidRPr="00E73107">
        <w:t xml:space="preserve"> dublēšan</w:t>
      </w:r>
      <w:r w:rsidR="004E4EC9">
        <w:t>o</w:t>
      </w:r>
      <w:r w:rsidRPr="00E73107">
        <w:t>s.</w:t>
      </w:r>
    </w:p>
    <w:p w14:paraId="45AFC8F9" w14:textId="5A2BE1A1" w:rsidR="008656B4" w:rsidRPr="00E73107" w:rsidRDefault="004E4EC9" w:rsidP="008656B4">
      <w:r>
        <w:t>Analizētie</w:t>
      </w:r>
      <w:r w:rsidR="008656B4" w:rsidRPr="00E73107">
        <w:t xml:space="preserve"> fondi ir integrēti Latvijas iekšlietu nozares stratēģiskajos plāno</w:t>
      </w:r>
      <w:r>
        <w:t>šanas dokumentos</w:t>
      </w:r>
      <w:r w:rsidR="008656B4" w:rsidRPr="00E73107">
        <w:t>, piemēram, Iekšlietu ministrijas darbības stratēģijās, un ir saskaņoti ar citu iesaistīto iestāžu (</w:t>
      </w:r>
      <w:r w:rsidR="000627FA" w:rsidRPr="00E73107">
        <w:t xml:space="preserve">Valsts Robežsardze, Pilsonības un migrācijas lietu pārvalde </w:t>
      </w:r>
      <w:r w:rsidR="00E73107" w:rsidRPr="00E73107">
        <w:t>u.c.</w:t>
      </w:r>
      <w:r w:rsidR="008656B4" w:rsidRPr="00E73107">
        <w:t>) attīstības plān</w:t>
      </w:r>
      <w:r w:rsidR="00CB569E">
        <w:t>ošanas dokumentiem</w:t>
      </w:r>
      <w:r w:rsidR="008656B4" w:rsidRPr="00E73107">
        <w:t xml:space="preserve">. </w:t>
      </w:r>
      <w:r w:rsidR="001B0A4F">
        <w:t>Šie finanšu instrumenti ir sekmējuši</w:t>
      </w:r>
      <w:r w:rsidR="008656B4" w:rsidRPr="00E73107">
        <w:t xml:space="preserve"> arī nacionālo plānošanas dokumentu</w:t>
      </w:r>
      <w:r w:rsidR="001B0A4F">
        <w:t xml:space="preserve"> īstenošanu</w:t>
      </w:r>
      <w:r w:rsidR="008656B4" w:rsidRPr="00E73107">
        <w:t xml:space="preserve">, piemēram, </w:t>
      </w:r>
      <w:r w:rsidR="00E73107" w:rsidRPr="00E73107">
        <w:t>V</w:t>
      </w:r>
      <w:r w:rsidR="008656B4" w:rsidRPr="00E73107">
        <w:t xml:space="preserve">alsts robežas integrētās pārvaldības koncepcijas un </w:t>
      </w:r>
      <w:r w:rsidR="00E73107" w:rsidRPr="00E73107">
        <w:t>M</w:t>
      </w:r>
      <w:r w:rsidR="008656B4" w:rsidRPr="00E73107">
        <w:t>igrācijas politikas īstenošanas plān</w:t>
      </w:r>
      <w:r w:rsidR="00E73107" w:rsidRPr="00E73107">
        <w:t>u</w:t>
      </w:r>
      <w:r w:rsidR="008656B4" w:rsidRPr="00E73107">
        <w:t xml:space="preserve"> mērķu sasniegšanu.</w:t>
      </w:r>
    </w:p>
    <w:p w14:paraId="3BAB752D" w14:textId="39ED2A1B" w:rsidR="002869D5" w:rsidRPr="00E73107" w:rsidRDefault="00DC349F" w:rsidP="00E73107">
      <w:r>
        <w:t>F</w:t>
      </w:r>
      <w:r w:rsidR="008656B4" w:rsidRPr="00E73107">
        <w:t>ondu izstrādes laikā tika veikt</w:t>
      </w:r>
      <w:r>
        <w:t>a rūpīga</w:t>
      </w:r>
      <w:r w:rsidR="008656B4" w:rsidRPr="00E73107">
        <w:t xml:space="preserve"> citu pasākumu </w:t>
      </w:r>
      <w:r>
        <w:t>analīze</w:t>
      </w:r>
      <w:r w:rsidR="008656B4" w:rsidRPr="00E73107">
        <w:t xml:space="preserve">, lai nodrošinātu to atbilstību </w:t>
      </w:r>
      <w:r w:rsidR="00973AC1">
        <w:t xml:space="preserve">gan </w:t>
      </w:r>
      <w:r w:rsidR="008656B4" w:rsidRPr="00E73107">
        <w:t>valsts</w:t>
      </w:r>
      <w:r w:rsidR="00973AC1">
        <w:t>, gan</w:t>
      </w:r>
      <w:r w:rsidR="008656B4" w:rsidRPr="00E73107">
        <w:t xml:space="preserve"> E</w:t>
      </w:r>
      <w:r w:rsidR="00BB4C24">
        <w:t xml:space="preserve">iropas </w:t>
      </w:r>
      <w:r w:rsidR="008656B4" w:rsidRPr="00E73107">
        <w:t>S</w:t>
      </w:r>
      <w:r w:rsidR="00BB4C24">
        <w:t>avienības</w:t>
      </w:r>
      <w:r w:rsidR="008656B4" w:rsidRPr="00E73107">
        <w:t xml:space="preserve"> plānošanas dokumentiem. Programmu koordinācij</w:t>
      </w:r>
      <w:r w:rsidR="00973AC1">
        <w:t>as procesā</w:t>
      </w:r>
      <w:r w:rsidR="00B16354">
        <w:t xml:space="preserve"> tika iesaistīti</w:t>
      </w:r>
      <w:r w:rsidR="008656B4" w:rsidRPr="00E73107">
        <w:t xml:space="preserve"> pārstāvji no dažādām ministrijām, </w:t>
      </w:r>
      <w:r w:rsidR="00B16354">
        <w:t xml:space="preserve">tādējādi </w:t>
      </w:r>
      <w:r w:rsidR="008656B4" w:rsidRPr="00E73107">
        <w:t xml:space="preserve">novēršot iespējamos aktivitāšu pārklāšanās riskus. </w:t>
      </w:r>
      <w:r w:rsidR="00B16354">
        <w:t>Papild</w:t>
      </w:r>
      <w:r w:rsidR="00334B3A">
        <w:t>u</w:t>
      </w:r>
      <w:r w:rsidR="00B16354">
        <w:t xml:space="preserve"> tam,</w:t>
      </w:r>
      <w:r w:rsidR="008656B4" w:rsidRPr="00E73107">
        <w:t xml:space="preserve"> </w:t>
      </w:r>
      <w:r w:rsidR="00E73107" w:rsidRPr="00E73107">
        <w:t>visu fondu</w:t>
      </w:r>
      <w:r w:rsidR="008656B4" w:rsidRPr="00E73107">
        <w:t xml:space="preserve"> </w:t>
      </w:r>
      <w:r w:rsidR="008656B4" w:rsidRPr="00E73107">
        <w:lastRenderedPageBreak/>
        <w:t xml:space="preserve">ietvaros tika ieviesti </w:t>
      </w:r>
      <w:r w:rsidR="00990D85">
        <w:t xml:space="preserve">dažādi </w:t>
      </w:r>
      <w:r w:rsidR="008656B4" w:rsidRPr="00E73107">
        <w:t xml:space="preserve">uzraudzības mehānismi, tostarp </w:t>
      </w:r>
      <w:r w:rsidR="00E73107" w:rsidRPr="00E73107">
        <w:t>Uzraudzības komitejas</w:t>
      </w:r>
      <w:r w:rsidR="008656B4" w:rsidRPr="00E73107">
        <w:t xml:space="preserve"> un Projektu uzraudzības padome, kas nodrošināja vienotu stratēģisko pārraudzību un izvērtēja projektu </w:t>
      </w:r>
      <w:r w:rsidR="00E73107">
        <w:t>nepārklāšanos</w:t>
      </w:r>
      <w:r w:rsidR="008656B4" w:rsidRPr="00E73107">
        <w:t xml:space="preserve"> ar citiem finanšu instrumentiem. Finansējuma saņēmējiem bija jāsniedz informācija par citiem īstenotajiem projektiem un jāpierāda, ka netiek saņemts dubults finansējums</w:t>
      </w:r>
      <w:r w:rsidR="00321EA2">
        <w:t xml:space="preserve"> tām pašām aktivitātēm</w:t>
      </w:r>
      <w:r w:rsidR="008656B4" w:rsidRPr="00E73107">
        <w:t>.</w:t>
      </w:r>
    </w:p>
    <w:p w14:paraId="4562DA80" w14:textId="7604EE26" w:rsidR="003978B4" w:rsidRDefault="003978B4" w:rsidP="003978B4">
      <w:pPr>
        <w:spacing w:before="0" w:line="259" w:lineRule="auto"/>
        <w:rPr>
          <w:b/>
          <w:bCs/>
          <w:color w:val="600074" w:themeColor="accent6" w:themeShade="BF"/>
        </w:rPr>
      </w:pPr>
      <w:r w:rsidRPr="008F64A0">
        <w:rPr>
          <w:b/>
          <w:bCs/>
          <w:color w:val="600074" w:themeColor="accent6" w:themeShade="BF"/>
        </w:rPr>
        <w:t>ES PIEVIENOTĀ VĒRTĪBA</w:t>
      </w:r>
    </w:p>
    <w:p w14:paraId="13B30717" w14:textId="693EFD02" w:rsidR="00FD3418" w:rsidRDefault="00FD3418" w:rsidP="00FD3418">
      <w:r w:rsidRPr="00B02410">
        <w:rPr>
          <w:b/>
          <w:bCs/>
        </w:rPr>
        <w:t>Patvēruma, migrācijas un integrācijas fond</w:t>
      </w:r>
      <w:r w:rsidR="00777ED2">
        <w:rPr>
          <w:b/>
          <w:bCs/>
        </w:rPr>
        <w:t xml:space="preserve">a </w:t>
      </w:r>
      <w:r w:rsidR="00EB287E" w:rsidRPr="00EB287E">
        <w:t xml:space="preserve">atbalsts ir būtiski veicinājis patvēruma, migrācijas un integrācijas sistēmas attīstību Latvijā, nodrošinot normatīvo aktu pilnveidi, iestāžu kapacitātes stiprināšanu un plašāku pakalpojumu pieejamību, tostarp reģionos. </w:t>
      </w:r>
      <w:r w:rsidR="00777ED2">
        <w:t>Eiropas Savienības</w:t>
      </w:r>
      <w:r w:rsidR="00EB287E" w:rsidRPr="00EB287E">
        <w:t xml:space="preserve"> finansējums sekmējis dažādu mērķa grupu integrāciju</w:t>
      </w:r>
      <w:r w:rsidR="00777ED2">
        <w:t xml:space="preserve"> un </w:t>
      </w:r>
      <w:r w:rsidR="00EB287E" w:rsidRPr="00EB287E">
        <w:t xml:space="preserve">uzlabojis atbalsta mehānismus. Bez </w:t>
      </w:r>
      <w:r w:rsidR="00777ED2">
        <w:t>Programmas</w:t>
      </w:r>
      <w:r w:rsidR="00EB287E" w:rsidRPr="00EB287E">
        <w:t xml:space="preserve"> finansiālā atbalsta daudzas aktivitātes nebūtu iespējamas vai tiktu būtiski ierobežotas, radot negatīvas sekas gan pakalpojumu kvalitātei, gan migrantu integrācijas procesam. Kopumā E</w:t>
      </w:r>
      <w:r w:rsidR="00777ED2">
        <w:t>iropas Savienības</w:t>
      </w:r>
      <w:r w:rsidR="00EB287E" w:rsidRPr="00EB287E">
        <w:t xml:space="preserve"> finansējums palīdzējis Latvijai sasniegt augstākus standartus patvēruma un migrācijas politikā, stiprinot gan nacionālo, gan </w:t>
      </w:r>
      <w:r w:rsidR="00777ED2">
        <w:t xml:space="preserve">Eiropas </w:t>
      </w:r>
      <w:r w:rsidR="00EB287E" w:rsidRPr="00EB287E">
        <w:t>Savienības līmeņa drošību un attīstību.</w:t>
      </w:r>
    </w:p>
    <w:p w14:paraId="2F7BA18E" w14:textId="6C3DD754" w:rsidR="0032347F" w:rsidRPr="0032347F" w:rsidRDefault="00FD3418" w:rsidP="0032347F">
      <w:r w:rsidRPr="0001300B">
        <w:rPr>
          <w:b/>
          <w:bCs/>
        </w:rPr>
        <w:t>Iekšējās drošības</w:t>
      </w:r>
      <w:r w:rsidRPr="00300214">
        <w:rPr>
          <w:b/>
          <w:bCs/>
        </w:rPr>
        <w:t xml:space="preserve"> fonda</w:t>
      </w:r>
      <w:r w:rsidRPr="0001300B">
        <w:rPr>
          <w:b/>
          <w:bCs/>
        </w:rPr>
        <w:t xml:space="preserve"> </w:t>
      </w:r>
      <w:r w:rsidRPr="00300214">
        <w:rPr>
          <w:b/>
          <w:bCs/>
        </w:rPr>
        <w:t>finansiāla atbalsta instrumenta ārējām robežām un vīzām</w:t>
      </w:r>
      <w:r>
        <w:rPr>
          <w:b/>
          <w:bCs/>
        </w:rPr>
        <w:t xml:space="preserve"> </w:t>
      </w:r>
      <w:r w:rsidR="0032347F" w:rsidRPr="0032347F">
        <w:t>atbalsts ir būtiski veicinājis Latvijas ārējo robežu drošības stiprināšanu un vīzu sistēmas modernizāciju. Pateicoties šim finansējumam, ir ieviestas modernas uzraudzības sistēmas, kas ļauj reāllaikā attālināti novērot robežas, ātri identificēt incidentus un operatīvi reaģēt, tādējādi samazinot "aklās zonas" un optimizējot robežsargu darbu, koncentrējoties uz stratēģiski svarīgām vietām. Papildu tam, IT sistēmu attīstība un materiāltehniskā nodrošinājuma pilnveide ir uzlabojusi iestāžu darbības kapacitāti un nodrošinājusi efektīvāku informācijas apmaiņu starp E</w:t>
      </w:r>
      <w:r w:rsidR="005D4E50">
        <w:t>iropas Savienības</w:t>
      </w:r>
      <w:r w:rsidR="0032347F" w:rsidRPr="0032347F">
        <w:t xml:space="preserve"> dalībvalstīm, veicinot atbilstību </w:t>
      </w:r>
      <w:r w:rsidR="005D4E50">
        <w:t>Eiropas Savienības</w:t>
      </w:r>
      <w:r w:rsidR="0032347F" w:rsidRPr="0032347F">
        <w:t xml:space="preserve"> prasībām un standartiem.</w:t>
      </w:r>
    </w:p>
    <w:p w14:paraId="5623C7C2" w14:textId="63978B10" w:rsidR="00FD3418" w:rsidRPr="003D572C" w:rsidRDefault="0032347F" w:rsidP="00FD3418">
      <w:r w:rsidRPr="0032347F">
        <w:t>Šie uzlabojumi nebūtu iespējami bez E</w:t>
      </w:r>
      <w:r w:rsidR="003D4C58">
        <w:t xml:space="preserve">iropas </w:t>
      </w:r>
      <w:r w:rsidRPr="0032347F">
        <w:t>S</w:t>
      </w:r>
      <w:r w:rsidR="003D4C58">
        <w:t>avienības</w:t>
      </w:r>
      <w:r w:rsidRPr="0032347F">
        <w:t xml:space="preserve"> fondu finansiālā atbalsta, jo valsts budžeta līdzekļi ir ierobežoti un nespētu segt tik apjomīgus modernizācijas projektus. Finansējuma saņēmēji norāda, ka bez programmu atbalsta tikai atsevišķas aktivitātes būtu ieviestas, bet daļa netiktu realizētas vispār. Fonda atbalsta pārtraukšana varētu radīt būtiskus riskus robežu pārvaldībā, palielinot nelegālās migrācijas un kontrabandas iespējamību, kā arī kavētu saskaņošanu ar E</w:t>
      </w:r>
      <w:r w:rsidR="003D572C" w:rsidRPr="003D572C">
        <w:t>iropas Savienības</w:t>
      </w:r>
      <w:r w:rsidRPr="0032347F">
        <w:t xml:space="preserve"> drošības standartiem un samazinātu institucionālo kapacitāti.</w:t>
      </w:r>
    </w:p>
    <w:p w14:paraId="23FEB217" w14:textId="3AAD2BB2" w:rsidR="003D572C" w:rsidRPr="003D572C" w:rsidRDefault="00FD3418" w:rsidP="003D572C">
      <w:r w:rsidRPr="003D572C">
        <w:rPr>
          <w:b/>
          <w:bCs/>
        </w:rPr>
        <w:t>Iekšējās drošības fonda finansiāla atbalsta instruments policijas sadarbībai, noziedzības novēršanai un apkarošanai un krīžu pārvarēšanai</w:t>
      </w:r>
      <w:r w:rsidRPr="003D572C">
        <w:t xml:space="preserve"> </w:t>
      </w:r>
      <w:r w:rsidR="003D572C" w:rsidRPr="003D572C">
        <w:t>ir būtiski veicinājis Latvijas iekšējās drošības sektora modernizāciju</w:t>
      </w:r>
      <w:r w:rsidR="00AF25A9">
        <w:t>. Šis finansējums ir devis iespēju</w:t>
      </w:r>
      <w:r w:rsidR="003D572C" w:rsidRPr="003D572C">
        <w:t xml:space="preserve"> īstenot nozīmīgus attīstības projektus, </w:t>
      </w:r>
      <w:r w:rsidR="00E75691">
        <w:t xml:space="preserve">kuru realizācija </w:t>
      </w:r>
      <w:r w:rsidR="003D572C" w:rsidRPr="003D572C">
        <w:t xml:space="preserve">valsts budžeta ietvaros nebūtu </w:t>
      </w:r>
      <w:r w:rsidR="00E75691">
        <w:t xml:space="preserve">bijusi </w:t>
      </w:r>
      <w:r w:rsidR="003D572C" w:rsidRPr="003D572C">
        <w:t>iespējam</w:t>
      </w:r>
      <w:r w:rsidR="00E75691">
        <w:t>a</w:t>
      </w:r>
      <w:r w:rsidR="003D572C" w:rsidRPr="003D572C">
        <w:t xml:space="preserve">. </w:t>
      </w:r>
      <w:r w:rsidR="00C61255">
        <w:t>Fondam ir bijusi izšķiroša loma vairāku stratēģiski svarīgu iniciatīvu ieviešanā, kas stiprina valsts iekšējo drošību gan nacionālā, gan starptautiskā līmenī. Nozīmīgs sasniegums</w:t>
      </w:r>
      <w:r w:rsidR="009243BF">
        <w:t xml:space="preserve"> ir p</w:t>
      </w:r>
      <w:r w:rsidR="003D572C" w:rsidRPr="003D572C">
        <w:t>irm</w:t>
      </w:r>
      <w:r w:rsidR="0080464A">
        <w:t>ās</w:t>
      </w:r>
      <w:r w:rsidR="003D572C" w:rsidRPr="003D572C">
        <w:t xml:space="preserve"> programm</w:t>
      </w:r>
      <w:r w:rsidR="003D572C">
        <w:t>a</w:t>
      </w:r>
      <w:r w:rsidR="0080464A">
        <w:t>s īstenošana</w:t>
      </w:r>
      <w:r w:rsidR="003D572C" w:rsidRPr="003D572C">
        <w:t xml:space="preserve">, kas </w:t>
      </w:r>
      <w:r w:rsidR="00FA73B9">
        <w:t>mērķtiecīgi</w:t>
      </w:r>
      <w:r w:rsidR="003D572C" w:rsidRPr="003D572C">
        <w:t xml:space="preserve"> vērsta uz </w:t>
      </w:r>
      <w:r w:rsidR="003D572C">
        <w:t xml:space="preserve">Valsts </w:t>
      </w:r>
      <w:r w:rsidR="003D572C" w:rsidRPr="003D572C">
        <w:t>policijas darbības attīstību</w:t>
      </w:r>
      <w:r w:rsidR="00FA73B9">
        <w:t>.</w:t>
      </w:r>
      <w:r w:rsidR="003D572C" w:rsidRPr="003D572C">
        <w:t xml:space="preserve"> </w:t>
      </w:r>
      <w:r w:rsidR="00FA73B9">
        <w:t>Programmas ietvaros ir realizēti vairāki</w:t>
      </w:r>
      <w:r w:rsidR="00952F01">
        <w:t xml:space="preserve"> uzlabojumi: </w:t>
      </w:r>
      <w:r w:rsidR="003D572C" w:rsidRPr="003D572C">
        <w:t>IT sistēmu attīstīb</w:t>
      </w:r>
      <w:r w:rsidR="00952F01">
        <w:t>a</w:t>
      </w:r>
      <w:r w:rsidR="003D572C" w:rsidRPr="003D572C">
        <w:t>, Kriminālistikas pārvaldes kapacitātes stiprināšan</w:t>
      </w:r>
      <w:r w:rsidR="00952F01">
        <w:t>a</w:t>
      </w:r>
      <w:r w:rsidR="003D572C" w:rsidRPr="003D572C">
        <w:t>, modernas apmācību infrastruktūras izveid</w:t>
      </w:r>
      <w:r w:rsidR="00952F01">
        <w:t>e, kā arī</w:t>
      </w:r>
      <w:r w:rsidR="003D572C" w:rsidRPr="003D572C">
        <w:t xml:space="preserve"> specializētā aprīkojuma iegād</w:t>
      </w:r>
      <w:r w:rsidR="00952F01">
        <w:t>e</w:t>
      </w:r>
      <w:r w:rsidR="003D572C" w:rsidRPr="003D572C">
        <w:t>. Šie ieguldījumi ir stiprinājuši gan vietēj</w:t>
      </w:r>
      <w:r w:rsidR="00F90EFA">
        <w:t>ās</w:t>
      </w:r>
      <w:r w:rsidR="003D572C" w:rsidRPr="003D572C">
        <w:t>, gan starptautisk</w:t>
      </w:r>
      <w:r w:rsidR="00F90EFA">
        <w:t>ās</w:t>
      </w:r>
      <w:r w:rsidR="003D572C" w:rsidRPr="003D572C">
        <w:t xml:space="preserve"> sadarbīb</w:t>
      </w:r>
      <w:r w:rsidR="00F90EFA">
        <w:t>as iespējas</w:t>
      </w:r>
      <w:r w:rsidR="003D572C" w:rsidRPr="003D572C">
        <w:t xml:space="preserve">, </w:t>
      </w:r>
      <w:r w:rsidR="00F90EFA">
        <w:t>sekmējot</w:t>
      </w:r>
      <w:r w:rsidR="003D572C" w:rsidRPr="003D572C">
        <w:t xml:space="preserve"> efektīvāku krīžu </w:t>
      </w:r>
      <w:r w:rsidR="00F90EFA">
        <w:t xml:space="preserve">situāciju </w:t>
      </w:r>
      <w:r w:rsidR="003D572C" w:rsidRPr="003D572C">
        <w:t>pārvaldību.</w:t>
      </w:r>
    </w:p>
    <w:p w14:paraId="7D02D646" w14:textId="54CC023C" w:rsidR="003D572C" w:rsidRDefault="00F90EFA" w:rsidP="003D572C">
      <w:r>
        <w:t>Paralēli</w:t>
      </w:r>
      <w:r w:rsidR="003D572C" w:rsidRPr="003D572C">
        <w:t xml:space="preserve"> Valsts ugunsdzēsības un glābšanas dienests</w:t>
      </w:r>
      <w:r w:rsidR="002733A2">
        <w:t>, pateicoties</w:t>
      </w:r>
      <w:r w:rsidR="003D572C" w:rsidRPr="003D572C">
        <w:t xml:space="preserve"> fond</w:t>
      </w:r>
      <w:r w:rsidR="002733A2">
        <w:t>a</w:t>
      </w:r>
      <w:r w:rsidR="003D572C" w:rsidRPr="003D572C">
        <w:t xml:space="preserve"> atbalst</w:t>
      </w:r>
      <w:r w:rsidR="002733A2">
        <w:t>am,</w:t>
      </w:r>
      <w:r w:rsidR="003D572C" w:rsidRPr="003D572C">
        <w:t xml:space="preserve"> </w:t>
      </w:r>
      <w:r w:rsidR="002733A2">
        <w:t xml:space="preserve">ir būtiski </w:t>
      </w:r>
      <w:r w:rsidR="003D572C" w:rsidRPr="003D572C">
        <w:t>uzlaboj</w:t>
      </w:r>
      <w:r w:rsidR="002733A2">
        <w:t>is</w:t>
      </w:r>
      <w:r w:rsidR="003D572C" w:rsidRPr="003D572C">
        <w:t xml:space="preserve"> CBRNE (ķīmisko, bioloģisko, radioloģisko, kodolmateriālu un sprāgstvielu) risku pārvaldīb</w:t>
      </w:r>
      <w:r w:rsidR="002733A2">
        <w:t>as kapacitāti</w:t>
      </w:r>
      <w:r w:rsidR="009E606B">
        <w:t>. Dienests ir papildinājis savu materiāltehnisko bāzi ar</w:t>
      </w:r>
      <w:r w:rsidR="003D572C" w:rsidRPr="003D572C">
        <w:t xml:space="preserve"> specializēt</w:t>
      </w:r>
      <w:r w:rsidR="009E606B">
        <w:t>ajām</w:t>
      </w:r>
      <w:r w:rsidR="003D572C" w:rsidRPr="003D572C">
        <w:t xml:space="preserve"> automašīn</w:t>
      </w:r>
      <w:r w:rsidR="009E606B">
        <w:t>ām</w:t>
      </w:r>
      <w:r w:rsidR="003D572C" w:rsidRPr="003D572C">
        <w:t xml:space="preserve"> un izveidoj</w:t>
      </w:r>
      <w:r w:rsidR="00A45A84">
        <w:t>is</w:t>
      </w:r>
      <w:r w:rsidR="003D572C" w:rsidRPr="003D572C">
        <w:t xml:space="preserve"> pirmo specializēto mācību poligonu</w:t>
      </w:r>
      <w:r w:rsidR="003D572C">
        <w:t xml:space="preserve"> dienesta</w:t>
      </w:r>
      <w:r w:rsidR="003D572C" w:rsidRPr="003D572C">
        <w:t xml:space="preserve"> vēsturē, tai skaitā multifunkcionālo taktisko māju. Šī </w:t>
      </w:r>
      <w:r w:rsidR="00A45A84">
        <w:t xml:space="preserve">jaunā </w:t>
      </w:r>
      <w:r w:rsidR="003D572C" w:rsidRPr="003D572C">
        <w:t xml:space="preserve">infrastruktūra nodrošina </w:t>
      </w:r>
      <w:r w:rsidR="00D673A2">
        <w:t xml:space="preserve">iespējas </w:t>
      </w:r>
      <w:r w:rsidR="003D572C" w:rsidRPr="003D572C">
        <w:t>praktisko iemaņu attīstīb</w:t>
      </w:r>
      <w:r w:rsidR="00D673A2">
        <w:t>ai</w:t>
      </w:r>
      <w:r w:rsidR="003D572C" w:rsidRPr="003D572C">
        <w:t xml:space="preserve">, starpinstitūciju </w:t>
      </w:r>
      <w:r w:rsidR="00D673A2">
        <w:t xml:space="preserve">sadarbības </w:t>
      </w:r>
      <w:r w:rsidR="003D572C" w:rsidRPr="003D572C">
        <w:t>mācīb</w:t>
      </w:r>
      <w:r w:rsidR="00D673A2">
        <w:t>ām</w:t>
      </w:r>
      <w:r w:rsidR="003D572C" w:rsidRPr="003D572C">
        <w:t xml:space="preserve"> un operatīv</w:t>
      </w:r>
      <w:r w:rsidR="000A27D9">
        <w:t>ās</w:t>
      </w:r>
      <w:r w:rsidR="003D572C" w:rsidRPr="003D572C">
        <w:t xml:space="preserve"> gatavīb</w:t>
      </w:r>
      <w:r w:rsidR="000A27D9">
        <w:t>as stiprināšanai</w:t>
      </w:r>
      <w:r w:rsidR="003D572C" w:rsidRPr="003D572C">
        <w:t xml:space="preserve"> efektīvai CBRNE krīžu risināšanai.</w:t>
      </w:r>
    </w:p>
    <w:p w14:paraId="655FA61B" w14:textId="77777777" w:rsidR="00534D2B" w:rsidRPr="003D572C" w:rsidRDefault="00534D2B" w:rsidP="003D572C"/>
    <w:p w14:paraId="5208F273" w14:textId="618195D0" w:rsidR="003978B4" w:rsidRDefault="003978B4" w:rsidP="003978B4">
      <w:pPr>
        <w:spacing w:before="0" w:line="259" w:lineRule="auto"/>
        <w:rPr>
          <w:b/>
          <w:bCs/>
          <w:color w:val="600074" w:themeColor="accent6" w:themeShade="BF"/>
        </w:rPr>
      </w:pPr>
      <w:r w:rsidRPr="002C650E">
        <w:rPr>
          <w:b/>
          <w:bCs/>
          <w:color w:val="600074" w:themeColor="accent6" w:themeShade="BF"/>
        </w:rPr>
        <w:lastRenderedPageBreak/>
        <w:t>ILGTSPĒJA</w:t>
      </w:r>
    </w:p>
    <w:p w14:paraId="6AD129AB" w14:textId="77777777" w:rsidR="006865E1" w:rsidRDefault="009B13FD" w:rsidP="00B55698">
      <w:r w:rsidRPr="00B55698">
        <w:t>Iekšlietu fondu atbalstīto projektu ilgtspējas novērtējum</w:t>
      </w:r>
      <w:r w:rsidR="00253721">
        <w:t>s</w:t>
      </w:r>
      <w:r w:rsidRPr="00B55698">
        <w:t xml:space="preserve"> </w:t>
      </w:r>
      <w:r w:rsidR="00DB6F77">
        <w:t>liecina par</w:t>
      </w:r>
      <w:r w:rsidRPr="00B55698">
        <w:t xml:space="preserve"> kopumā pozitīv</w:t>
      </w:r>
      <w:r w:rsidR="00DB6F77">
        <w:t>u tendenci rezultātu noturības ziņā. Finansējuma saņēmēju vidū</w:t>
      </w:r>
      <w:r w:rsidR="00036A3F">
        <w:t xml:space="preserve"> dominē viedoklis, ka sasniegtie rezultāti ir </w:t>
      </w:r>
      <w:r w:rsidRPr="00B55698">
        <w:t>drīzāk noturīgi</w:t>
      </w:r>
      <w:r w:rsidR="00B55698">
        <w:t xml:space="preserve">, </w:t>
      </w:r>
      <w:r w:rsidRPr="00B55698">
        <w:t xml:space="preserve">bet mazāka </w:t>
      </w:r>
      <w:r w:rsidR="0057581A">
        <w:t xml:space="preserve">respondentu </w:t>
      </w:r>
      <w:r w:rsidRPr="00B55698">
        <w:t xml:space="preserve">daļa </w:t>
      </w:r>
      <w:r w:rsidR="0057581A">
        <w:t>tos vērtē kā</w:t>
      </w:r>
      <w:r w:rsidRPr="00B55698">
        <w:t xml:space="preserve"> ļoti noturīg</w:t>
      </w:r>
      <w:r w:rsidR="0057581A">
        <w:t>us</w:t>
      </w:r>
      <w:r w:rsidRPr="00B55698">
        <w:t xml:space="preserve">. </w:t>
      </w:r>
      <w:r w:rsidR="0033001D">
        <w:t>I</w:t>
      </w:r>
      <w:r w:rsidRPr="00B55698">
        <w:t xml:space="preserve">lgtspējas </w:t>
      </w:r>
      <w:r w:rsidR="0033001D">
        <w:t xml:space="preserve">kontekstā nozīmīgi ir vairāki faktori: </w:t>
      </w:r>
      <w:r w:rsidRPr="00B55698">
        <w:t>projektu pēctecība</w:t>
      </w:r>
      <w:r w:rsidR="001943CC">
        <w:t>s nodrošināšana</w:t>
      </w:r>
      <w:r w:rsidRPr="00B55698">
        <w:t xml:space="preserve"> starp </w:t>
      </w:r>
      <w:r w:rsidR="001943CC">
        <w:t xml:space="preserve">dažādiem </w:t>
      </w:r>
      <w:r w:rsidRPr="00B55698">
        <w:t>plānošanas periodiem, materiāltehniskā nodrošinājuma uzturēšana</w:t>
      </w:r>
      <w:r w:rsidR="00B55698">
        <w:t xml:space="preserve"> pēc projektu </w:t>
      </w:r>
      <w:r w:rsidR="001943CC">
        <w:t xml:space="preserve">formālā </w:t>
      </w:r>
      <w:r w:rsidR="00B55698">
        <w:t>noslēguma</w:t>
      </w:r>
      <w:r w:rsidR="001943CC">
        <w:t>, kā arī</w:t>
      </w:r>
      <w:r w:rsidRPr="00B55698">
        <w:t xml:space="preserve"> cilvēkresursu kapacitātes </w:t>
      </w:r>
      <w:r w:rsidR="001943CC">
        <w:t>stiprināšana</w:t>
      </w:r>
      <w:r w:rsidRPr="00B55698">
        <w:t xml:space="preserve">. </w:t>
      </w:r>
    </w:p>
    <w:p w14:paraId="0F357326" w14:textId="4B51D506" w:rsidR="009B13FD" w:rsidRPr="00B55698" w:rsidRDefault="009B13FD" w:rsidP="00B55698">
      <w:r w:rsidRPr="00B55698">
        <w:t>Pozitīvi vērtējam</w:t>
      </w:r>
      <w:r w:rsidR="006865E1">
        <w:t>a prakse</w:t>
      </w:r>
      <w:r w:rsidRPr="00B55698">
        <w:t xml:space="preserve">, kad projektu ietvaros uzsāktie pakalpojumi </w:t>
      </w:r>
      <w:r w:rsidR="006865E1">
        <w:t>kļūst</w:t>
      </w:r>
      <w:r w:rsidRPr="00B55698">
        <w:t xml:space="preserve"> par pastāvīgu sistēmas </w:t>
      </w:r>
      <w:r w:rsidR="006865E1">
        <w:t>komponenti</w:t>
      </w:r>
      <w:r w:rsidR="00903BA2">
        <w:t>, kas turpmāk</w:t>
      </w:r>
      <w:r w:rsidRPr="00B55698">
        <w:t xml:space="preserve"> tiek finansēt</w:t>
      </w:r>
      <w:r w:rsidR="00903BA2">
        <w:t>a</w:t>
      </w:r>
      <w:r w:rsidRPr="00B55698">
        <w:t xml:space="preserve"> no valsts budžeta</w:t>
      </w:r>
      <w:r w:rsidR="00903BA2">
        <w:t xml:space="preserve"> līdzekļiem. Šāds</w:t>
      </w:r>
      <w:r w:rsidRPr="00B55698">
        <w:t xml:space="preserve"> piemēr</w:t>
      </w:r>
      <w:r w:rsidR="00903BA2">
        <w:t>s</w:t>
      </w:r>
      <w:r w:rsidR="001D74A8">
        <w:t xml:space="preserve"> ir</w:t>
      </w:r>
      <w:r w:rsidRPr="00B55698">
        <w:t xml:space="preserve"> medicīnisk</w:t>
      </w:r>
      <w:r w:rsidR="001D74A8">
        <w:t>o</w:t>
      </w:r>
      <w:r w:rsidRPr="00B55698">
        <w:t xml:space="preserve"> pakalpojum</w:t>
      </w:r>
      <w:r w:rsidR="001D74A8">
        <w:t>u nodrošināšana</w:t>
      </w:r>
      <w:r w:rsidRPr="00B55698">
        <w:t xml:space="preserve"> patvēruma meklētājiem</w:t>
      </w:r>
      <w:r w:rsidR="001D74A8">
        <w:t>, kas tika uzsākta</w:t>
      </w:r>
      <w:r w:rsidR="00870777">
        <w:t xml:space="preserve"> Patvēruma migrācijas un integrācijas fonda </w:t>
      </w:r>
      <w:r w:rsidR="00B762E0">
        <w:t xml:space="preserve">finansēto projektu </w:t>
      </w:r>
      <w:r w:rsidR="00870777">
        <w:t>ietvaros</w:t>
      </w:r>
      <w:r w:rsidR="00B762E0">
        <w:t>, bet vēlā</w:t>
      </w:r>
      <w:r w:rsidR="00306B59">
        <w:t>k</w:t>
      </w:r>
      <w:r w:rsidR="00B762E0">
        <w:t xml:space="preserve"> integrēta pastāvīgajā pakalpojumu struktūrā</w:t>
      </w:r>
      <w:r w:rsidRPr="00B55698">
        <w:t>.</w:t>
      </w:r>
    </w:p>
    <w:p w14:paraId="07877548" w14:textId="6C65F47B" w:rsidR="00356D17" w:rsidRDefault="00B762E0" w:rsidP="00B55698">
      <w:r>
        <w:t>I</w:t>
      </w:r>
      <w:r w:rsidR="009B13FD" w:rsidRPr="00B55698">
        <w:t>lgtspējas nodrošināšana</w:t>
      </w:r>
      <w:r>
        <w:t>s izaicinājumi ir līdzīgi visos fondos</w:t>
      </w:r>
      <w:r w:rsidR="009B13FD" w:rsidRPr="00B55698">
        <w:t xml:space="preserve"> </w:t>
      </w:r>
      <w:r>
        <w:t>-</w:t>
      </w:r>
      <w:r w:rsidR="009B13FD" w:rsidRPr="00B55698">
        <w:t xml:space="preserve"> finanšu </w:t>
      </w:r>
      <w:r w:rsidR="00EE6C21">
        <w:t>resursu nepietiekamība</w:t>
      </w:r>
      <w:r w:rsidR="009B13FD" w:rsidRPr="00B55698">
        <w:t xml:space="preserve"> rezultātu uzturēšanai un cilvēkresursu </w:t>
      </w:r>
      <w:r w:rsidR="00EE6C21">
        <w:t>trūkums</w:t>
      </w:r>
      <w:r w:rsidR="009B13FD" w:rsidRPr="00B55698">
        <w:t xml:space="preserve">. </w:t>
      </w:r>
      <w:r w:rsidR="002F5982">
        <w:t xml:space="preserve">Specifiskās jomās identificēti papildu riski: </w:t>
      </w:r>
      <w:r w:rsidR="009B13FD" w:rsidRPr="00B55698">
        <w:t xml:space="preserve">IT sistēmu gadījumā </w:t>
      </w:r>
      <w:r w:rsidR="002F5982">
        <w:t xml:space="preserve">tas </w:t>
      </w:r>
      <w:r w:rsidR="009B13FD" w:rsidRPr="00B55698">
        <w:t xml:space="preserve"> ir strauj</w:t>
      </w:r>
      <w:r w:rsidR="002F5982">
        <w:t>ais</w:t>
      </w:r>
      <w:r w:rsidR="009B13FD" w:rsidRPr="00B55698">
        <w:t xml:space="preserve"> tehnoloģiju attīstība</w:t>
      </w:r>
      <w:r w:rsidR="002F5982">
        <w:t>s temps</w:t>
      </w:r>
      <w:r w:rsidR="009B13FD" w:rsidRPr="00B55698">
        <w:t xml:space="preserve">, kas prasa regulāras </w:t>
      </w:r>
      <w:r w:rsidR="00947B7E">
        <w:t xml:space="preserve">sistēmu </w:t>
      </w:r>
      <w:r w:rsidR="009B13FD" w:rsidRPr="00B55698">
        <w:t>adaptācijas</w:t>
      </w:r>
      <w:r w:rsidR="00947B7E">
        <w:t xml:space="preserve"> un atjauninājumus</w:t>
      </w:r>
      <w:r w:rsidR="009B13FD" w:rsidRPr="00B55698">
        <w:t xml:space="preserve">, bet materiāltehniskajam nodrošinājumam </w:t>
      </w:r>
      <w:r w:rsidR="00947B7E">
        <w:t>raksturīgs</w:t>
      </w:r>
      <w:r w:rsidR="009B13FD" w:rsidRPr="00B55698">
        <w:t xml:space="preserve"> nolietojuma risks.</w:t>
      </w:r>
      <w:r w:rsidR="00870777">
        <w:t xml:space="preserve"> Patvēruma, migrācijas un integrācijas </w:t>
      </w:r>
      <w:r w:rsidR="009B13FD" w:rsidRPr="00B55698">
        <w:t xml:space="preserve">pasākumu jomā </w:t>
      </w:r>
      <w:r w:rsidR="00F8794B">
        <w:t>nozīmīgs</w:t>
      </w:r>
      <w:r w:rsidR="009B13FD" w:rsidRPr="00B55698">
        <w:t xml:space="preserve"> </w:t>
      </w:r>
      <w:r w:rsidR="00F8794B">
        <w:t>izaicinājums</w:t>
      </w:r>
      <w:r w:rsidR="009B13FD" w:rsidRPr="00B55698">
        <w:t xml:space="preserve"> ir finansējuma pārtraukumi starp plānošanas periodiem, kas apdraud </w:t>
      </w:r>
      <w:r w:rsidR="00870777">
        <w:t xml:space="preserve">integrācijas </w:t>
      </w:r>
      <w:r w:rsidR="009B13FD" w:rsidRPr="00B55698">
        <w:t xml:space="preserve">pakalpojumu </w:t>
      </w:r>
      <w:r w:rsidR="0024307C">
        <w:t xml:space="preserve">un </w:t>
      </w:r>
      <w:r w:rsidR="00147367">
        <w:t xml:space="preserve">patvēruma meklētājiem sniegtā atbalsta </w:t>
      </w:r>
      <w:r w:rsidR="009B13FD" w:rsidRPr="00B55698">
        <w:t>nepārtrauktību</w:t>
      </w:r>
      <w:r w:rsidR="00A73405">
        <w:t>.</w:t>
      </w:r>
    </w:p>
    <w:p w14:paraId="5DCB2D09" w14:textId="206DD322" w:rsidR="009B13FD" w:rsidRPr="00B55698" w:rsidRDefault="009B13FD" w:rsidP="00B55698">
      <w:r w:rsidRPr="00B55698">
        <w:t xml:space="preserve">Ilgtspējas </w:t>
      </w:r>
      <w:r w:rsidR="00B208D2">
        <w:t xml:space="preserve">veicināšanai tiek izmantoti vairāki mehānismi, kas ir līdzīgi </w:t>
      </w:r>
      <w:r w:rsidRPr="00B55698">
        <w:t>visos fondos</w:t>
      </w:r>
      <w:r w:rsidR="00B208D2">
        <w:t>. Tie</w:t>
      </w:r>
      <w:r w:rsidR="00B25CE2">
        <w:t xml:space="preserve"> ietver</w:t>
      </w:r>
      <w:r w:rsidRPr="00B55698">
        <w:t xml:space="preserve"> prasības</w:t>
      </w:r>
      <w:r w:rsidR="00090E7D">
        <w:t xml:space="preserve"> ilgtspējas pasākumu plānošanai</w:t>
      </w:r>
      <w:r w:rsidRPr="00B55698">
        <w:t xml:space="preserve"> jau projektu iesniegumu vērtēšanas posmā</w:t>
      </w:r>
      <w:r w:rsidR="00B25CE2">
        <w:t>, kā arī</w:t>
      </w:r>
      <w:r w:rsidRPr="00B55698">
        <w:t xml:space="preserve"> granta līguma nosacījum</w:t>
      </w:r>
      <w:r w:rsidR="00770B2E">
        <w:t>us</w:t>
      </w:r>
      <w:r w:rsidRPr="00B55698">
        <w:t xml:space="preserve">, kas aizliedz </w:t>
      </w:r>
      <w:r w:rsidR="00770B2E">
        <w:t xml:space="preserve">projektā iegādāto resursu nodošanu </w:t>
      </w:r>
      <w:r w:rsidRPr="00B55698">
        <w:t>trešajām personām noteiktā laika periodā</w:t>
      </w:r>
      <w:r w:rsidR="005F1F80">
        <w:t>. Šie periodi ir diferencēti atkarībā no resursu veida:</w:t>
      </w:r>
      <w:r w:rsidRPr="00B55698">
        <w:t xml:space="preserve"> 3 gadi IKT aprīkojumam, 5 gadi citam </w:t>
      </w:r>
      <w:r w:rsidR="00AB4414">
        <w:t xml:space="preserve">tehniskajam </w:t>
      </w:r>
      <w:r w:rsidRPr="00B55698">
        <w:t>aprīkojumam</w:t>
      </w:r>
      <w:r w:rsidR="00AB4414">
        <w:t xml:space="preserve"> un</w:t>
      </w:r>
      <w:r w:rsidRPr="00B55698">
        <w:t xml:space="preserve"> 10 gadi ēkām</w:t>
      </w:r>
      <w:r w:rsidR="00AB4414">
        <w:t xml:space="preserve"> un nekustamajam īpašumam</w:t>
      </w:r>
      <w:r w:rsidRPr="00B55698">
        <w:t xml:space="preserve">. Tomēr papildu pārbaudes pēc projektu īstenošanas </w:t>
      </w:r>
      <w:r w:rsidR="00AB4414">
        <w:t xml:space="preserve">beigām </w:t>
      </w:r>
      <w:r w:rsidRPr="00B55698">
        <w:t xml:space="preserve">netiek veiktas, </w:t>
      </w:r>
      <w:r w:rsidR="00944CF2">
        <w:t xml:space="preserve">paļaujoties uz </w:t>
      </w:r>
      <w:r w:rsidRPr="00B55698">
        <w:t>finansējuma saņēmēj</w:t>
      </w:r>
      <w:r w:rsidR="004016F5">
        <w:t>u atbildību</w:t>
      </w:r>
      <w:r w:rsidRPr="00B55698">
        <w:t xml:space="preserve"> </w:t>
      </w:r>
      <w:r w:rsidR="004016F5">
        <w:t>ievērot</w:t>
      </w:r>
      <w:r w:rsidRPr="00B55698">
        <w:t xml:space="preserve"> granta līgumos ietvertās prasības.</w:t>
      </w:r>
    </w:p>
    <w:p w14:paraId="69463BB0" w14:textId="55763AC4" w:rsidR="002869D5" w:rsidRPr="00B55698" w:rsidRDefault="009B13FD" w:rsidP="00B55698">
      <w:r w:rsidRPr="00B55698">
        <w:t xml:space="preserve">Dažādiem fondiem </w:t>
      </w:r>
      <w:r w:rsidR="004016F5">
        <w:t xml:space="preserve">raksturīgi </w:t>
      </w:r>
      <w:r w:rsidRPr="00B55698">
        <w:t>atšķirīgi ilgtspējas izaicinājumi - patvēruma un integrācijas jomā kritisk</w:t>
      </w:r>
      <w:r w:rsidR="00C20238">
        <w:t>i svarīga</w:t>
      </w:r>
      <w:r w:rsidRPr="00B55698">
        <w:t xml:space="preserve"> ir pakalpojumu nepārtrauktība un finansējuma pēctecība, </w:t>
      </w:r>
      <w:r w:rsidR="00C20238">
        <w:t>turpretī</w:t>
      </w:r>
      <w:r w:rsidRPr="00B55698">
        <w:t xml:space="preserve"> </w:t>
      </w:r>
      <w:r w:rsidR="001B29DE">
        <w:t>Iekšējās drošības fond</w:t>
      </w:r>
      <w:r w:rsidR="00C20238">
        <w:t>a projektos</w:t>
      </w:r>
      <w:r w:rsidRPr="00B55698">
        <w:t xml:space="preserve"> galvenie izaicinājumi ir tehnoloģiju novecošana</w:t>
      </w:r>
      <w:r w:rsidR="006D7FD2">
        <w:t>s risks</w:t>
      </w:r>
      <w:r w:rsidRPr="00B55698">
        <w:t xml:space="preserve"> un cilvēkresurs</w:t>
      </w:r>
      <w:r w:rsidR="009A7CAC">
        <w:t xml:space="preserve">u </w:t>
      </w:r>
      <w:r w:rsidRPr="00B55698">
        <w:t>ar specifiskām zināšanām</w:t>
      </w:r>
      <w:r w:rsidR="006D7FD2">
        <w:t xml:space="preserve"> pieejamība</w:t>
      </w:r>
      <w:r w:rsidRPr="00B55698">
        <w:t xml:space="preserve">. </w:t>
      </w:r>
      <w:r w:rsidR="006D7FD2">
        <w:t>Kā p</w:t>
      </w:r>
      <w:r w:rsidRPr="00B55698">
        <w:t>ozitīv</w:t>
      </w:r>
      <w:r w:rsidR="006D7FD2">
        <w:t>s aspekts</w:t>
      </w:r>
      <w:r w:rsidRPr="00B55698">
        <w:t xml:space="preserve"> vērtējam</w:t>
      </w:r>
      <w:r w:rsidR="009270CB">
        <w:t>a</w:t>
      </w:r>
      <w:r w:rsidRPr="00B55698">
        <w:t xml:space="preserve"> 2021.-2027. gada </w:t>
      </w:r>
      <w:r w:rsidR="009270CB">
        <w:t xml:space="preserve">plānošanas </w:t>
      </w:r>
      <w:r w:rsidRPr="00B55698">
        <w:t>perioda finansējuma izmantošana</w:t>
      </w:r>
      <w:r w:rsidR="00A447A1">
        <w:t xml:space="preserve"> iepriekš sasniegto rezultātu tālākai </w:t>
      </w:r>
      <w:r w:rsidRPr="00B55698">
        <w:t>attīstī</w:t>
      </w:r>
      <w:r w:rsidR="00A447A1">
        <w:t>bai</w:t>
      </w:r>
      <w:r w:rsidRPr="00B55698">
        <w:t xml:space="preserve"> un paplašinā</w:t>
      </w:r>
      <w:r w:rsidR="00A447A1">
        <w:t>šanai, tādējādi stiprinot</w:t>
      </w:r>
      <w:r w:rsidRPr="00B55698">
        <w:t xml:space="preserve"> iepriekš sasniegto rezultātu</w:t>
      </w:r>
      <w:r w:rsidR="00C6795E">
        <w:t xml:space="preserve"> un projektu</w:t>
      </w:r>
      <w:r w:rsidRPr="00B55698">
        <w:t xml:space="preserve"> ilgtspēju.</w:t>
      </w:r>
    </w:p>
    <w:p w14:paraId="142C7305" w14:textId="1B205DAC" w:rsidR="003978B4" w:rsidRDefault="003978B4" w:rsidP="003978B4">
      <w:pPr>
        <w:spacing w:before="0" w:line="259" w:lineRule="auto"/>
        <w:rPr>
          <w:b/>
          <w:bCs/>
          <w:color w:val="600074" w:themeColor="accent6" w:themeShade="BF"/>
        </w:rPr>
      </w:pPr>
      <w:r w:rsidRPr="008F64A0">
        <w:rPr>
          <w:b/>
          <w:bCs/>
          <w:color w:val="600074" w:themeColor="accent6" w:themeShade="BF"/>
        </w:rPr>
        <w:t>ADMINISTRATĪVĀ SLOGA VIENKĀRŠOŠANA UN SAMAZINĀŠANA</w:t>
      </w:r>
    </w:p>
    <w:p w14:paraId="4176C335" w14:textId="4ABBE574" w:rsidR="00EE45AA" w:rsidRDefault="00C77D80" w:rsidP="00C77D80">
      <w:r w:rsidRPr="00C77D80">
        <w:t xml:space="preserve">2014.-2020. gada plānošanas periodā </w:t>
      </w:r>
      <w:r w:rsidR="00BC036F">
        <w:t xml:space="preserve">tika realizēti vairāki pasākumi </w:t>
      </w:r>
      <w:r w:rsidR="005D5A6F" w:rsidRPr="005D5A6F">
        <w:t>Iekšlietu fondu p</w:t>
      </w:r>
      <w:r w:rsidRPr="005D5A6F">
        <w:t>rogramm</w:t>
      </w:r>
      <w:r w:rsidR="005D5A6F" w:rsidRPr="005D5A6F">
        <w:t>u</w:t>
      </w:r>
      <w:r w:rsidRPr="00C77D80">
        <w:t xml:space="preserve"> administratīvā sloga mazināšanai</w:t>
      </w:r>
      <w:r w:rsidR="00BC036F">
        <w:t xml:space="preserve">. Starp </w:t>
      </w:r>
      <w:r w:rsidR="009C45B4">
        <w:t xml:space="preserve">būtiskākajiem uzlabojumiem jāizceļ </w:t>
      </w:r>
      <w:r w:rsidRPr="00C77D80">
        <w:t>pāreja uz elektronisko dokumentu apriti un elastīgāka pieeja</w:t>
      </w:r>
      <w:r w:rsidR="00853F19">
        <w:t>s ieviešana</w:t>
      </w:r>
      <w:r w:rsidR="005D5A6F">
        <w:t xml:space="preserve"> projektu</w:t>
      </w:r>
      <w:r w:rsidRPr="00C77D80">
        <w:t xml:space="preserve"> grozījumu veikšanai. </w:t>
      </w:r>
      <w:r w:rsidR="00B32013">
        <w:t>Efektivitāti</w:t>
      </w:r>
      <w:r w:rsidR="005F260F">
        <w:t xml:space="preserve"> veicināja arī </w:t>
      </w:r>
      <w:r w:rsidR="00B32013">
        <w:t xml:space="preserve">jaunieviestā </w:t>
      </w:r>
      <w:r w:rsidRPr="00C77D80">
        <w:t>iespēja iepriekš saskaņot atskai</w:t>
      </w:r>
      <w:r w:rsidR="00584793">
        <w:t>šu</w:t>
      </w:r>
      <w:r w:rsidRPr="00C77D80">
        <w:t xml:space="preserve"> saturu</w:t>
      </w:r>
      <w:r w:rsidR="00DF1DC3">
        <w:t xml:space="preserve"> ar uzraugošo</w:t>
      </w:r>
      <w:r w:rsidR="002B6FFC">
        <w:t xml:space="preserve"> </w:t>
      </w:r>
      <w:r w:rsidR="00FA250C">
        <w:t>iestāžu</w:t>
      </w:r>
      <w:r w:rsidRPr="00C77D80">
        <w:t xml:space="preserve">, kas </w:t>
      </w:r>
      <w:r w:rsidR="00746CB1">
        <w:t>rezultējās</w:t>
      </w:r>
      <w:r w:rsidRPr="00C77D80">
        <w:t xml:space="preserve"> ātrāk</w:t>
      </w:r>
      <w:r w:rsidR="00746CB1">
        <w:t xml:space="preserve">ā </w:t>
      </w:r>
    </w:p>
    <w:p w14:paraId="1DD1B35D" w14:textId="0BC2B143" w:rsidR="00C77D80" w:rsidRPr="00C77D80" w:rsidRDefault="00EE45AA" w:rsidP="00C77D80">
      <w:r>
        <w:t>Stratēģiskā līmenī ievēroj</w:t>
      </w:r>
      <w:r w:rsidR="0055118F">
        <w:t xml:space="preserve">amu uzlabojumu nodrošināja </w:t>
      </w:r>
      <w:r w:rsidR="00C77D80" w:rsidRPr="00C77D80">
        <w:t>daudzgadu programmu ieviešana</w:t>
      </w:r>
      <w:r w:rsidR="0055118F">
        <w:t>, kas radīja priekšnoteikumu</w:t>
      </w:r>
      <w:r w:rsidR="00EB71C9">
        <w:t>s</w:t>
      </w:r>
      <w:r w:rsidR="00C77D80" w:rsidRPr="00C77D80">
        <w:t xml:space="preserve"> elastīgāk</w:t>
      </w:r>
      <w:r w:rsidR="00EB71C9">
        <w:t>ai</w:t>
      </w:r>
      <w:r w:rsidR="00C77D80" w:rsidRPr="00C77D80">
        <w:t xml:space="preserve"> un stratēģisk</w:t>
      </w:r>
      <w:r w:rsidR="00EB71C9">
        <w:t>i orientētai</w:t>
      </w:r>
      <w:r w:rsidR="00C77D80" w:rsidRPr="00C77D80">
        <w:t xml:space="preserve"> projektu plānošan</w:t>
      </w:r>
      <w:r w:rsidR="00EB71C9">
        <w:t xml:space="preserve">ai. </w:t>
      </w:r>
      <w:r w:rsidR="003A2138">
        <w:t>Šāda pieeja</w:t>
      </w:r>
      <w:r w:rsidR="00C77D80" w:rsidRPr="00C77D80">
        <w:t xml:space="preserve"> ļ</w:t>
      </w:r>
      <w:r w:rsidR="003A2138">
        <w:t>āva</w:t>
      </w:r>
      <w:r w:rsidR="00C77D80" w:rsidRPr="00C77D80">
        <w:t xml:space="preserve"> īstenot </w:t>
      </w:r>
      <w:r w:rsidR="002142BE">
        <w:t>projektus ilgākā termiņā ar plašāku ietekmi</w:t>
      </w:r>
      <w:r w:rsidR="00C77D80" w:rsidRPr="00C77D80">
        <w:t xml:space="preserve">. </w:t>
      </w:r>
      <w:r w:rsidR="0058317D">
        <w:t xml:space="preserve">Neskatoties uz šiem pozitīvajiem aspektiem, jāatzīmē, ka </w:t>
      </w:r>
      <w:r w:rsidR="00C77D80" w:rsidRPr="00C77D80">
        <w:t>2014.-2020. gada plānošanas periodā netika identificētas būtiskas inovācijas</w:t>
      </w:r>
      <w:r w:rsidR="0058317D">
        <w:t>, kas</w:t>
      </w:r>
      <w:r w:rsidR="00BB6F41">
        <w:t xml:space="preserve"> kardināli vienkāršotu</w:t>
      </w:r>
      <w:r w:rsidR="00C77D80" w:rsidRPr="00C77D80">
        <w:t xml:space="preserve"> administratīvo</w:t>
      </w:r>
      <w:r w:rsidR="00BB6F41">
        <w:t>s</w:t>
      </w:r>
      <w:r w:rsidR="00C77D80" w:rsidRPr="00C77D80">
        <w:t xml:space="preserve"> procesu</w:t>
      </w:r>
      <w:r w:rsidR="00BB6F41">
        <w:t>s</w:t>
      </w:r>
      <w:r w:rsidR="002142BE">
        <w:t xml:space="preserve"> finansējuma saņēmējiem</w:t>
      </w:r>
      <w:r w:rsidR="00C77D80" w:rsidRPr="00C77D80">
        <w:t>.</w:t>
      </w:r>
    </w:p>
    <w:p w14:paraId="10DAB25B" w14:textId="7AA1E3BB" w:rsidR="00C77D80" w:rsidRPr="00C77D80" w:rsidRDefault="00B83367" w:rsidP="00C77D80">
      <w:r>
        <w:t>Salīdzinājumā ar iepriekšējo plānošanas periodu</w:t>
      </w:r>
      <w:r w:rsidR="00E65660">
        <w:t xml:space="preserve"> 2014.-2020. gadu</w:t>
      </w:r>
      <w:r>
        <w:t xml:space="preserve">, esošajā </w:t>
      </w:r>
      <w:r w:rsidR="00C77D80" w:rsidRPr="00C77D80">
        <w:t>2021.-2027. gada plānošanas periodā administratīvā sloga samazināšan</w:t>
      </w:r>
      <w:r w:rsidR="00CA7160">
        <w:t xml:space="preserve">ā vērojami </w:t>
      </w:r>
      <w:r w:rsidR="00C77D80" w:rsidRPr="00C77D80">
        <w:t>vēl būtiski uzlabojumi</w:t>
      </w:r>
      <w:r w:rsidR="00CA7160">
        <w:t>. Starp tiem</w:t>
      </w:r>
      <w:r w:rsidR="000A70FA">
        <w:t xml:space="preserve"> izceļami vairāki savstarpēji papildinoši pasākumi:</w:t>
      </w:r>
      <w:r w:rsidR="00C77D80" w:rsidRPr="00C77D80">
        <w:t xml:space="preserve"> elastīgāk</w:t>
      </w:r>
      <w:r w:rsidR="000A70FA">
        <w:t>u</w:t>
      </w:r>
      <w:r w:rsidR="00836BA6">
        <w:t xml:space="preserve"> procedūru ieviešana projektu</w:t>
      </w:r>
      <w:r w:rsidR="00C77D80" w:rsidRPr="00C77D80">
        <w:t xml:space="preserve"> grozījumu veikšana</w:t>
      </w:r>
      <w:r w:rsidR="00836BA6">
        <w:t>i</w:t>
      </w:r>
      <w:r w:rsidR="00C77D80" w:rsidRPr="00C77D80">
        <w:t>, pamatojošās dokumentācijas apjoma prasīb</w:t>
      </w:r>
      <w:r w:rsidR="0080540F">
        <w:t>u samazināšana</w:t>
      </w:r>
      <w:r w:rsidR="00C77D80" w:rsidRPr="00C77D80">
        <w:t xml:space="preserve">, </w:t>
      </w:r>
      <w:r w:rsidR="0080540F">
        <w:t xml:space="preserve">kā arī </w:t>
      </w:r>
      <w:r w:rsidR="007B15D7">
        <w:t>vienotas</w:t>
      </w:r>
      <w:r w:rsidR="00235737">
        <w:t xml:space="preserve"> elektroniskās </w:t>
      </w:r>
      <w:r w:rsidR="00C77D80" w:rsidRPr="00C77D80">
        <w:t>platformas izveide dokumentācijas augšupielādei</w:t>
      </w:r>
      <w:r w:rsidR="00DB7147">
        <w:t xml:space="preserve">. Tāpat </w:t>
      </w:r>
      <w:r w:rsidR="00C77D80" w:rsidRPr="00C77D80">
        <w:t xml:space="preserve">paplašinātas konsultāciju iespējas ar uzraugošajām </w:t>
      </w:r>
      <w:r w:rsidR="00C77D80" w:rsidRPr="00C77D80">
        <w:lastRenderedPageBreak/>
        <w:t>iestādēm</w:t>
      </w:r>
      <w:r w:rsidR="00DB7147">
        <w:t xml:space="preserve">, kas palīdz </w:t>
      </w:r>
      <w:r w:rsidR="00010108">
        <w:t>finansējuma saņēmējiem izvairīties no procedurālām kļūdām.</w:t>
      </w:r>
      <w:r w:rsidR="00C77D80" w:rsidRPr="00C77D80">
        <w:t xml:space="preserve"> Tomēr Patvēruma, migrācijas un integrācijas fonda ietvaros </w:t>
      </w:r>
      <w:r w:rsidR="004A74D1">
        <w:t>ir novērots administratīvā sloga pieaugums tajos projektos</w:t>
      </w:r>
      <w:r w:rsidR="004F585E">
        <w:t xml:space="preserve">, kurus pārrauga </w:t>
      </w:r>
      <w:r w:rsidR="00C77D80" w:rsidRPr="00C77D80">
        <w:t>deleģētā iestāde</w:t>
      </w:r>
      <w:r w:rsidR="004F585E">
        <w:t xml:space="preserve">. Šis ir saistīts ar </w:t>
      </w:r>
      <w:r w:rsidR="00C77D80" w:rsidRPr="00C77D80">
        <w:t>vienkāršoto izmaksu procedūru ieviešan</w:t>
      </w:r>
      <w:r w:rsidR="00E65660">
        <w:t>u</w:t>
      </w:r>
      <w:r w:rsidR="00AA41AD">
        <w:t>, kas, pretēji sākotnējam mērķim, radījusi papildu administratīv</w:t>
      </w:r>
      <w:r w:rsidR="00B26BD0">
        <w:t>ās prasības.</w:t>
      </w:r>
      <w:r w:rsidR="00C77D80" w:rsidRPr="00C77D80">
        <w:t xml:space="preserve"> </w:t>
      </w:r>
      <w:r w:rsidR="00B26BD0">
        <w:t>Šāda situācija norāda uz nepieciešamību rūpīgi izvērtēt katru administratīvā sloga mazināšanas iniciatīvu, analizējot tās faktisko ietekmi uz projektu īstenošanas efektivitāti.</w:t>
      </w:r>
      <w:r w:rsidR="00C77D80" w:rsidRPr="00C77D80">
        <w:t xml:space="preserve"> </w:t>
      </w:r>
    </w:p>
    <w:p w14:paraId="69A95910" w14:textId="73A6FF56" w:rsidR="003978B4" w:rsidRPr="00FE4D4C" w:rsidRDefault="00506758" w:rsidP="00FE4D4C">
      <w:pPr>
        <w:spacing w:before="0" w:line="259" w:lineRule="auto"/>
        <w:rPr>
          <w:b/>
          <w:bCs/>
          <w:color w:val="600074" w:themeColor="accent6" w:themeShade="BF"/>
        </w:rPr>
      </w:pPr>
      <w:r w:rsidRPr="00FE4D4C">
        <w:rPr>
          <w:b/>
          <w:bCs/>
          <w:color w:val="600074" w:themeColor="accent6" w:themeShade="BF"/>
        </w:rPr>
        <w:t>SECINĀJUMI UN GALVENĀS ATZIŅAS</w:t>
      </w:r>
    </w:p>
    <w:p w14:paraId="2D2AF6B1" w14:textId="1F6199EB" w:rsidR="00A83EE1" w:rsidRPr="00A83EE1" w:rsidRDefault="00A83EE1" w:rsidP="00A83EE1">
      <w:pPr>
        <w:spacing w:before="0" w:line="259" w:lineRule="auto"/>
      </w:pPr>
      <w:r w:rsidRPr="00A83EE1">
        <w:rPr>
          <w:b/>
          <w:bCs/>
        </w:rPr>
        <w:t>Patvēruma, migrācijas un integrācijas fonda</w:t>
      </w:r>
      <w:r w:rsidRPr="00A83EE1">
        <w:t xml:space="preserve"> </w:t>
      </w:r>
      <w:r w:rsidR="00CF22D3">
        <w:t>programmas īstenošanas rezultāti</w:t>
      </w:r>
      <w:r w:rsidR="00245EE6">
        <w:t xml:space="preserve"> liecina par augstu efektivitāti, kas izpaužas gan kvantitatīvos, gan kvalitatīvos rādītājos. Fonda </w:t>
      </w:r>
      <w:r w:rsidRPr="00A83EE1">
        <w:t xml:space="preserve">ietvaros īstenoti 62 projekti ar </w:t>
      </w:r>
      <w:r w:rsidR="00565EE5">
        <w:t xml:space="preserve">teicamu finansējuma apguves līmeni, sasniedzot </w:t>
      </w:r>
      <w:r w:rsidRPr="00A83EE1">
        <w:t>92</w:t>
      </w:r>
      <w:r w:rsidR="00736B4F">
        <w:t> </w:t>
      </w:r>
      <w:r w:rsidRPr="00A83EE1">
        <w:t xml:space="preserve">% </w:t>
      </w:r>
      <w:r w:rsidR="005B4DAF">
        <w:t xml:space="preserve">no pieejamā </w:t>
      </w:r>
      <w:r w:rsidRPr="00A83EE1">
        <w:t>finansējuma</w:t>
      </w:r>
      <w:r w:rsidR="005B4DAF">
        <w:t>. Šie projekti</w:t>
      </w:r>
      <w:r w:rsidR="003E1FE1">
        <w:t xml:space="preserve"> ir </w:t>
      </w:r>
      <w:r w:rsidRPr="00A83EE1">
        <w:t>sekmīgi veicinājuši patvēruma sistēmas stiprināšanu, likumīgās migrācijas atbalst</w:t>
      </w:r>
      <w:r w:rsidR="00E92BFD">
        <w:t>a pasākumu īstenošanu</w:t>
      </w:r>
      <w:r w:rsidRPr="00A83EE1">
        <w:t xml:space="preserve"> un trešo valstu pilsoņu integrācij</w:t>
      </w:r>
      <w:r w:rsidR="00880A46">
        <w:t>as procesu pilnveidošanu Latvijas sabiedrībā</w:t>
      </w:r>
      <w:r w:rsidRPr="00A83EE1">
        <w:t xml:space="preserve">. </w:t>
      </w:r>
      <w:r w:rsidR="001816F8">
        <w:t>Starp nozīmīgākajiem</w:t>
      </w:r>
      <w:r w:rsidRPr="00A83EE1">
        <w:t xml:space="preserve"> sasniegumi</w:t>
      </w:r>
      <w:r w:rsidR="001816F8">
        <w:t>em ir jāi</w:t>
      </w:r>
      <w:r w:rsidR="000678F7">
        <w:t>z</w:t>
      </w:r>
      <w:r w:rsidR="001816F8">
        <w:t>ceļ</w:t>
      </w:r>
      <w:r w:rsidRPr="00A83EE1">
        <w:t xml:space="preserve"> patvēruma sistēmas pilnveid</w:t>
      </w:r>
      <w:r w:rsidR="000678F7">
        <w:t>e</w:t>
      </w:r>
      <w:r w:rsidRPr="00A83EE1">
        <w:t>, "vienas pieturas aģentūras" principa ieviešan</w:t>
      </w:r>
      <w:r w:rsidR="00F56523">
        <w:t>a</w:t>
      </w:r>
      <w:r w:rsidRPr="00A83EE1">
        <w:t xml:space="preserve"> integrācijas pakalpojum</w:t>
      </w:r>
      <w:r w:rsidR="002736D7">
        <w:t>u sniegšanas jomā</w:t>
      </w:r>
      <w:r w:rsidRPr="00A83EE1">
        <w:t xml:space="preserve">, kā arī brīvprātīgās atgriešanas pasākumu </w:t>
      </w:r>
      <w:r w:rsidR="00E60ACE">
        <w:t xml:space="preserve">koordinēta </w:t>
      </w:r>
      <w:r w:rsidRPr="00A83EE1">
        <w:t>atbalst</w:t>
      </w:r>
      <w:r w:rsidR="00E60ACE">
        <w:t>a nodrošināšana</w:t>
      </w:r>
      <w:r w:rsidRPr="00A83EE1">
        <w:t xml:space="preserve">. </w:t>
      </w:r>
    </w:p>
    <w:p w14:paraId="6446AAA8" w14:textId="05F00B58" w:rsidR="00A83EE1" w:rsidRDefault="00A83EE1" w:rsidP="00A83EE1">
      <w:pPr>
        <w:spacing w:before="0" w:line="259" w:lineRule="auto"/>
      </w:pPr>
      <w:r w:rsidRPr="00A83EE1">
        <w:t xml:space="preserve">Eiropas Savienības </w:t>
      </w:r>
      <w:r w:rsidR="00E60ACE">
        <w:t xml:space="preserve">finansiālā </w:t>
      </w:r>
      <w:r w:rsidRPr="00A83EE1">
        <w:t>atbalst</w:t>
      </w:r>
      <w:r w:rsidR="00E60ACE">
        <w:t>a nozīme šajā kontekstā</w:t>
      </w:r>
      <w:r w:rsidRPr="00A83EE1">
        <w:t xml:space="preserve"> bija izšķiroši svarīg</w:t>
      </w:r>
      <w:r w:rsidR="002D0531">
        <w:t>a. Izvērtējuma rezultāti norāda, ka</w:t>
      </w:r>
      <w:r w:rsidRPr="00A83EE1">
        <w:t xml:space="preserve"> bez </w:t>
      </w:r>
      <w:r w:rsidR="002D0531">
        <w:t>šī atbalsta</w:t>
      </w:r>
      <w:r w:rsidRPr="00A83EE1">
        <w:t xml:space="preserve"> Latvija būtu saskārusies ar nopietnām grūtībām Eiropas Savienības </w:t>
      </w:r>
      <w:r w:rsidR="00DA174A">
        <w:t xml:space="preserve">kopējās </w:t>
      </w:r>
      <w:r w:rsidRPr="00A83EE1">
        <w:t xml:space="preserve">politikas īstenošanā patvēruma un migrācijas </w:t>
      </w:r>
      <w:r w:rsidR="00DA174A">
        <w:t xml:space="preserve">pārvaldības </w:t>
      </w:r>
      <w:r w:rsidRPr="00A83EE1">
        <w:t>jomā. Fond</w:t>
      </w:r>
      <w:r w:rsidR="0065484E">
        <w:t xml:space="preserve">a līdzekļi ir darbojušies kā efektīvs </w:t>
      </w:r>
      <w:r w:rsidRPr="00A83EE1">
        <w:t xml:space="preserve">katalizators sistēmiskām pārmaiņām un institucionālās kapacitātes stiprināšanai, īpaši </w:t>
      </w:r>
      <w:r w:rsidR="005D338E">
        <w:t xml:space="preserve">kontekstā ar vairākiem </w:t>
      </w:r>
      <w:r w:rsidRPr="00A83EE1">
        <w:t xml:space="preserve">ārējiem izaicinājumiem </w:t>
      </w:r>
      <w:r w:rsidR="005D338E">
        <w:t xml:space="preserve">- </w:t>
      </w:r>
      <w:r w:rsidRPr="00A83EE1">
        <w:t xml:space="preserve">2015. gada </w:t>
      </w:r>
      <w:r w:rsidR="005D338E">
        <w:t xml:space="preserve">Eiropas </w:t>
      </w:r>
      <w:r w:rsidRPr="00A83EE1">
        <w:t>migrācijas krīz</w:t>
      </w:r>
      <w:r w:rsidR="00E403E6">
        <w:t>i</w:t>
      </w:r>
      <w:r w:rsidRPr="00A83EE1">
        <w:t>, migrācijas spiediena pieaugum</w:t>
      </w:r>
      <w:r w:rsidR="009E4371">
        <w:t>u</w:t>
      </w:r>
      <w:r w:rsidRPr="00A83EE1">
        <w:t xml:space="preserve"> uz Latvijas-Baltkrievijas robežas</w:t>
      </w:r>
      <w:r w:rsidR="00E403E6">
        <w:t>, kā arī masveida</w:t>
      </w:r>
      <w:r w:rsidRPr="00A83EE1">
        <w:t xml:space="preserve"> Ukrainas bēgļu plūsm</w:t>
      </w:r>
      <w:r w:rsidR="00E403E6">
        <w:t>u</w:t>
      </w:r>
      <w:r w:rsidRPr="00A83EE1">
        <w:t>.</w:t>
      </w:r>
    </w:p>
    <w:p w14:paraId="5F962B3C" w14:textId="26411292" w:rsidR="0048393F" w:rsidRDefault="0030655F" w:rsidP="00733294">
      <w:pPr>
        <w:spacing w:before="0" w:line="259" w:lineRule="auto"/>
      </w:pPr>
      <w:r>
        <w:t>Vienlaikus jāuzsver, ka īstenoto pasākumu ilgtspējas nodrošināšanai, it īpaši patvēruma un integrācijas jomā, ir kritiski svarīgi saglabāt pieejamā finansiālā atbalsta nepārtrauktību. Pētījuma rezultāti norāda uz to, ka finansējuma pārrāvumi starp plānošanas periodiem var būtiski apdraudēt sasniegto rezultātu ilgtspēju un sistēmas funkcionalitāti kopumā. Tādēļ nākotnes plānošanas periodos īpaša uzmanība jāpievērš pārejas posmu pārvaldībai un finansējuma pēctecības nodrošināšanai, lai saglabātu un attīstītu izveidotās institucionālās struktūras un pakalpojumu sistēmas</w:t>
      </w:r>
      <w:r w:rsidR="0048393F">
        <w:t>.</w:t>
      </w:r>
    </w:p>
    <w:p w14:paraId="0808A41A" w14:textId="7EF4A0BA" w:rsidR="002466B4" w:rsidRDefault="000F719E" w:rsidP="00733294">
      <w:pPr>
        <w:spacing w:before="0" w:line="259" w:lineRule="auto"/>
      </w:pPr>
      <w:r w:rsidRPr="006B27C4">
        <w:rPr>
          <w:b/>
          <w:bCs/>
        </w:rPr>
        <w:t>Iekšējās drošības fonda finansiāla atbalsta instrumenta ārējām robežām un vīzām</w:t>
      </w:r>
      <w:r w:rsidR="00733294" w:rsidRPr="006B27C4">
        <w:rPr>
          <w:b/>
          <w:bCs/>
        </w:rPr>
        <w:t xml:space="preserve"> </w:t>
      </w:r>
      <w:r w:rsidR="00733294" w:rsidRPr="006B27C4">
        <w:t xml:space="preserve">ietvaros </w:t>
      </w:r>
      <w:r w:rsidR="00E00738">
        <w:t xml:space="preserve">tika </w:t>
      </w:r>
      <w:r w:rsidR="00733294" w:rsidRPr="006B27C4">
        <w:t>īstenoti 24 projekti ar 76</w:t>
      </w:r>
      <w:r w:rsidR="00A9680F">
        <w:t> </w:t>
      </w:r>
      <w:r w:rsidR="00733294" w:rsidRPr="006B27C4">
        <w:t>% finansējuma apguvi</w:t>
      </w:r>
      <w:r w:rsidR="00DC7AC4">
        <w:t>. Šie projekti primāri</w:t>
      </w:r>
      <w:r w:rsidR="00733294" w:rsidRPr="006B27C4">
        <w:t xml:space="preserve"> fokusē</w:t>
      </w:r>
      <w:r w:rsidR="00DC7AC4">
        <w:t>jās</w:t>
      </w:r>
      <w:r w:rsidR="00733294" w:rsidRPr="006B27C4">
        <w:t xml:space="preserve"> uz </w:t>
      </w:r>
      <w:r w:rsidR="002466B4">
        <w:t xml:space="preserve">divām nozīmīgām prioritātēm – </w:t>
      </w:r>
      <w:r w:rsidR="00733294" w:rsidRPr="006B27C4">
        <w:t>kopējās</w:t>
      </w:r>
      <w:r w:rsidR="002466B4">
        <w:t xml:space="preserve"> Eiropas Savienības</w:t>
      </w:r>
      <w:r w:rsidR="00733294" w:rsidRPr="006B27C4">
        <w:t xml:space="preserve"> vīzu politikas ieviešanu un robežu integrētas pārvaldības </w:t>
      </w:r>
      <w:r w:rsidR="002466B4">
        <w:t xml:space="preserve">sistēmas </w:t>
      </w:r>
      <w:r w:rsidR="00733294" w:rsidRPr="006B27C4">
        <w:t>pilnveid</w:t>
      </w:r>
      <w:r w:rsidR="002466B4">
        <w:t>ošanu</w:t>
      </w:r>
      <w:r w:rsidR="00733294" w:rsidRPr="006B27C4">
        <w:t xml:space="preserve">. </w:t>
      </w:r>
    </w:p>
    <w:p w14:paraId="19EF2335" w14:textId="35F119E5" w:rsidR="0082475A" w:rsidRDefault="002466B4" w:rsidP="00733294">
      <w:pPr>
        <w:spacing w:before="0" w:line="259" w:lineRule="auto"/>
      </w:pPr>
      <w:r>
        <w:t>Starp būtiskākajiem</w:t>
      </w:r>
      <w:r w:rsidR="00733294" w:rsidRPr="006B27C4">
        <w:t xml:space="preserve"> sasniegumi </w:t>
      </w:r>
      <w:r w:rsidR="00067BED">
        <w:t xml:space="preserve">jāizceļ </w:t>
      </w:r>
      <w:r w:rsidR="00733294" w:rsidRPr="006B27C4">
        <w:t>uzlabot</w:t>
      </w:r>
      <w:r w:rsidR="00067BED">
        <w:t>ā</w:t>
      </w:r>
      <w:r w:rsidR="00733294" w:rsidRPr="006B27C4">
        <w:t xml:space="preserve"> datu apmaiņ</w:t>
      </w:r>
      <w:r w:rsidR="00067BED">
        <w:t>as sistēma</w:t>
      </w:r>
      <w:r w:rsidR="00733294" w:rsidRPr="006B27C4">
        <w:t xml:space="preserve"> starp </w:t>
      </w:r>
      <w:r w:rsidR="006B27C4" w:rsidRPr="00A83EE1">
        <w:t>Eiropas Savienības</w:t>
      </w:r>
      <w:r w:rsidR="00733294" w:rsidRPr="006B27C4">
        <w:t xml:space="preserve"> dalībvalstīm, </w:t>
      </w:r>
      <w:r w:rsidR="00BE6F25">
        <w:t xml:space="preserve">kas nodrošina operatīvāku un precīzāku informācijas plūsmu robežu </w:t>
      </w:r>
      <w:r w:rsidR="00380702">
        <w:t>pārvaldības</w:t>
      </w:r>
      <w:r w:rsidR="00BE6F25">
        <w:t xml:space="preserve"> kontekstā. Tāpat pilnveidota</w:t>
      </w:r>
      <w:r w:rsidR="00733294" w:rsidRPr="006B27C4">
        <w:t xml:space="preserve"> Valsts robežsardzes robežkontroles sistēm</w:t>
      </w:r>
      <w:r w:rsidR="002C65D0">
        <w:t>as funkcionalitāte</w:t>
      </w:r>
      <w:r w:rsidR="00733294" w:rsidRPr="006B27C4">
        <w:t xml:space="preserve"> un </w:t>
      </w:r>
      <w:r w:rsidR="00686186">
        <w:t xml:space="preserve">īstenota </w:t>
      </w:r>
      <w:r w:rsidR="00733294" w:rsidRPr="006B27C4">
        <w:t>informācijas tehnoloģiju sistēmu modernizācij</w:t>
      </w:r>
      <w:r w:rsidR="00686186">
        <w:t>a</w:t>
      </w:r>
      <w:r w:rsidR="00733294" w:rsidRPr="006B27C4">
        <w:t xml:space="preserve">. </w:t>
      </w:r>
    </w:p>
    <w:p w14:paraId="4FDF4861" w14:textId="6A3BC59D" w:rsidR="00733294" w:rsidRPr="006B27C4" w:rsidRDefault="00733294" w:rsidP="00733294">
      <w:pPr>
        <w:spacing w:before="0" w:line="259" w:lineRule="auto"/>
      </w:pPr>
      <w:r w:rsidRPr="006B27C4">
        <w:t>Projektu īstenošan</w:t>
      </w:r>
      <w:r w:rsidR="008D7AE1">
        <w:t>as gaitā</w:t>
      </w:r>
      <w:r w:rsidR="0082475A">
        <w:t xml:space="preserve"> tika identificēti vairāki izaicinājumi, kas</w:t>
      </w:r>
      <w:r w:rsidRPr="006B27C4">
        <w:t xml:space="preserve"> kavēja </w:t>
      </w:r>
      <w:r w:rsidR="001E1E71">
        <w:t xml:space="preserve">plānoto aktivitāšu ieviešanu. </w:t>
      </w:r>
      <w:r w:rsidR="008F6A2E">
        <w:t xml:space="preserve">Starp būtiskākajiem šķēršļiem jāmin </w:t>
      </w:r>
      <w:r w:rsidR="006B27C4" w:rsidRPr="00A83EE1">
        <w:t xml:space="preserve">Eiropas Savienības </w:t>
      </w:r>
      <w:r w:rsidRPr="006B27C4">
        <w:t xml:space="preserve">centrālo informācijas sistēmu izstrādes </w:t>
      </w:r>
      <w:r w:rsidR="008F6A2E">
        <w:t>aizkavēšanās</w:t>
      </w:r>
      <w:r w:rsidRPr="006B27C4">
        <w:t xml:space="preserve"> un iepirkumu procedūru </w:t>
      </w:r>
      <w:r w:rsidR="00D02290">
        <w:t>kompleksitāte</w:t>
      </w:r>
      <w:r w:rsidRPr="006B27C4">
        <w:t>.</w:t>
      </w:r>
    </w:p>
    <w:p w14:paraId="7F667DB5" w14:textId="5A3EFB5F" w:rsidR="004E0D82" w:rsidRDefault="006B27C4" w:rsidP="00733294">
      <w:pPr>
        <w:spacing w:before="0" w:line="259" w:lineRule="auto"/>
      </w:pPr>
      <w:r w:rsidRPr="00A83EE1">
        <w:t xml:space="preserve">Eiropas Savienības </w:t>
      </w:r>
      <w:r w:rsidR="00733294" w:rsidRPr="00733294">
        <w:t>finans</w:t>
      </w:r>
      <w:r w:rsidR="00D02290">
        <w:t>iālais atbalsts</w:t>
      </w:r>
      <w:r w:rsidR="00BC3579">
        <w:t xml:space="preserve"> šajā jomā vērtējams kā</w:t>
      </w:r>
      <w:r w:rsidR="00733294" w:rsidRPr="00733294">
        <w:t xml:space="preserve"> kritiski nozīmīgs Latvijas ārējās robežas drošības stiprināšan</w:t>
      </w:r>
      <w:r w:rsidR="00BC3579">
        <w:t>as kontekstā</w:t>
      </w:r>
      <w:r w:rsidR="00733294" w:rsidRPr="00733294">
        <w:t>, jo bez tā Latvija nebūtu spēj</w:t>
      </w:r>
      <w:r w:rsidR="00C90F74">
        <w:t>usi</w:t>
      </w:r>
      <w:r w:rsidR="00733294" w:rsidRPr="00733294">
        <w:t xml:space="preserve"> īstenot apjomīgus un tehnoloģiski sarežģītus projektus</w:t>
      </w:r>
      <w:r w:rsidR="00271DF4">
        <w:t>, kas nepieciešami robežu pārvaldības nodrošināšanai</w:t>
      </w:r>
      <w:r w:rsidR="00733294" w:rsidRPr="00733294">
        <w:t xml:space="preserve">. </w:t>
      </w:r>
    </w:p>
    <w:p w14:paraId="6A2B16D5" w14:textId="67B40C94" w:rsidR="004E0D82" w:rsidRDefault="004E0D82" w:rsidP="006B27C4">
      <w:pPr>
        <w:spacing w:before="0" w:line="259" w:lineRule="auto"/>
      </w:pPr>
      <w:r>
        <w:t xml:space="preserve">Skatoties nākotnes perspektīvā, pamatojoties uz aktuālajām ģeopolitiskajām izmaiņām reģionā un straujajiem tehnoloģiskās attīstības tempiem robežkontroles jomā, prognozējams, ka Eiropas Savienības fondu nozīme ārējo robežu pārvaldības stiprināšanā turpinās pieaugt. Šo tendenci nosaka divi savstarpēji saistīti faktori: nozares vajadzību stabila augšupejoša dinamika, ko pastiprina gan drošības izaicinājumu kompleksitātes pieaugums, gan tehnoloģisko risinājumu attīstības tempi, un vienlaikus ierobežotie valsts </w:t>
      </w:r>
      <w:r>
        <w:lastRenderedPageBreak/>
        <w:t>budžeta līdzekļi, kas nav pietiekami šo pieaugošo vajadzību pilnvērtīgai nodrošināšanai bez papildu finansējuma avotiem.</w:t>
      </w:r>
    </w:p>
    <w:p w14:paraId="18BCE742" w14:textId="1EA0D11B" w:rsidR="00886896" w:rsidRDefault="00733294" w:rsidP="006B27C4">
      <w:pPr>
        <w:spacing w:before="0" w:line="259" w:lineRule="auto"/>
      </w:pPr>
      <w:r w:rsidRPr="006B27C4">
        <w:rPr>
          <w:b/>
          <w:bCs/>
        </w:rPr>
        <w:t xml:space="preserve">Iekšējās drošības fonda finansiāla atbalsta instruments policijas sadarbībai, noziedzības novēršanai un apkarošanai un krīžu pārvarēšanai </w:t>
      </w:r>
      <w:r w:rsidR="006B27C4" w:rsidRPr="006B27C4">
        <w:t xml:space="preserve">ietvaros </w:t>
      </w:r>
      <w:r w:rsidR="00DC3875">
        <w:t xml:space="preserve">tika </w:t>
      </w:r>
      <w:r w:rsidR="006B27C4" w:rsidRPr="006B27C4">
        <w:t xml:space="preserve">īstenoti 11 projekti ar </w:t>
      </w:r>
      <w:r w:rsidR="000B16A1">
        <w:t>izcilu finansējuma apguves rādītāju, sasniedzot gandrīz</w:t>
      </w:r>
      <w:r w:rsidR="00363817">
        <w:t xml:space="preserve"> pilnīgu</w:t>
      </w:r>
      <w:r w:rsidR="000B16A1">
        <w:t xml:space="preserve"> </w:t>
      </w:r>
      <w:r w:rsidR="006B27C4" w:rsidRPr="006B27C4">
        <w:t>(99</w:t>
      </w:r>
      <w:r w:rsidR="00380702">
        <w:t> </w:t>
      </w:r>
      <w:r w:rsidR="006B27C4" w:rsidRPr="006B27C4">
        <w:t xml:space="preserve">%) </w:t>
      </w:r>
      <w:r w:rsidR="00363817">
        <w:t xml:space="preserve">pieejamā </w:t>
      </w:r>
      <w:r w:rsidR="006B27C4" w:rsidRPr="006B27C4">
        <w:t xml:space="preserve">finansējuma </w:t>
      </w:r>
      <w:r w:rsidR="00363817">
        <w:t>izmantošanu. Šie projekti</w:t>
      </w:r>
      <w:r w:rsidR="00380AD8">
        <w:t xml:space="preserve"> tika</w:t>
      </w:r>
      <w:r w:rsidR="006B27C4" w:rsidRPr="006B27C4">
        <w:t xml:space="preserve"> vērsti uz noziedzības novēršan</w:t>
      </w:r>
      <w:r w:rsidR="00380AD8">
        <w:t>as pasākumiem</w:t>
      </w:r>
      <w:r w:rsidR="006B27C4" w:rsidRPr="006B27C4">
        <w:t>, terorisma apkarošan</w:t>
      </w:r>
      <w:r w:rsidR="00380AD8">
        <w:t>as spēju attīstību</w:t>
      </w:r>
      <w:r w:rsidR="006B27C4" w:rsidRPr="006B27C4">
        <w:t xml:space="preserve"> un krīžu pārvaldības </w:t>
      </w:r>
      <w:r w:rsidR="00886896">
        <w:t>mehānismu pilnveidošanu</w:t>
      </w:r>
      <w:r w:rsidR="006B27C4" w:rsidRPr="006B27C4">
        <w:t xml:space="preserve">. </w:t>
      </w:r>
    </w:p>
    <w:p w14:paraId="762D1FCC" w14:textId="3D3E45A7" w:rsidR="001F6ADE" w:rsidRDefault="00886896" w:rsidP="006B27C4">
      <w:pPr>
        <w:spacing w:before="0" w:line="259" w:lineRule="auto"/>
      </w:pPr>
      <w:r>
        <w:t xml:space="preserve">Starp būtiskākajiem </w:t>
      </w:r>
      <w:r w:rsidR="006B27C4" w:rsidRPr="006B27C4">
        <w:t xml:space="preserve">sasniegumi </w:t>
      </w:r>
      <w:r>
        <w:t xml:space="preserve">ir </w:t>
      </w:r>
      <w:r w:rsidR="00491772">
        <w:t>jāizceļ</w:t>
      </w:r>
      <w:r>
        <w:t xml:space="preserve"> </w:t>
      </w:r>
      <w:r w:rsidR="00491772">
        <w:t>vairāki uzlabojumi. T</w:t>
      </w:r>
      <w:r w:rsidR="006B27C4" w:rsidRPr="006B27C4">
        <w:t>iesu ekspertīžu jom</w:t>
      </w:r>
      <w:r w:rsidR="00491772">
        <w:t>ā</w:t>
      </w:r>
      <w:r w:rsidR="006B27C4" w:rsidRPr="006B27C4">
        <w:t xml:space="preserve"> </w:t>
      </w:r>
      <w:r w:rsidR="00EB199E">
        <w:t xml:space="preserve">īstenotie projekti ir ievērojami paaugstinājuši izmeklēšanas procesu kvalitāti un efektivitāti, nodrošinot mūsdienīgu tehnoloģisko bāzi pierādījumu vākšanai un analīzei. Arī </w:t>
      </w:r>
      <w:r w:rsidR="006B27C4" w:rsidRPr="006B27C4">
        <w:t>kibernoziedzības apkarošanas spēju pilnveid</w:t>
      </w:r>
      <w:r w:rsidR="00D23838">
        <w:t xml:space="preserve">e ir devusi būtisku ieguldījumu </w:t>
      </w:r>
      <w:r w:rsidR="00352A3A">
        <w:t xml:space="preserve">Latvijas tiesībsargājošo iestāžu kapacitātes stiprināšanā cīņā pret arvien pieaugošajiem kibernoziegumiem. Nozīmīgi rezultāti sasniegti </w:t>
      </w:r>
      <w:r w:rsidR="006B27C4" w:rsidRPr="006B27C4">
        <w:t>reaģēšanas spēju uzlabošan</w:t>
      </w:r>
      <w:r w:rsidR="00B202A8">
        <w:t>ā</w:t>
      </w:r>
      <w:r w:rsidR="006B27C4" w:rsidRPr="006B27C4">
        <w:t xml:space="preserve"> uz</w:t>
      </w:r>
      <w:r w:rsidR="00B202A8">
        <w:t xml:space="preserve"> ķīmiskajiem, bioloģiskajiem, radioloģiskajiem, kodoldrošības un sprāgstvielu (</w:t>
      </w:r>
      <w:r w:rsidR="006B27C4" w:rsidRPr="006B27C4">
        <w:t>CBRNE</w:t>
      </w:r>
      <w:r w:rsidR="00B202A8">
        <w:t>)</w:t>
      </w:r>
      <w:r w:rsidR="006B27C4" w:rsidRPr="006B27C4">
        <w:t xml:space="preserve"> apdraudējumiem</w:t>
      </w:r>
      <w:r w:rsidR="00B202A8">
        <w:t xml:space="preserve">, kā arī </w:t>
      </w:r>
      <w:r w:rsidR="006B27C4" w:rsidRPr="006B27C4">
        <w:t xml:space="preserve">pretterorisma vienību </w:t>
      </w:r>
      <w:r w:rsidR="001F6ADE">
        <w:t xml:space="preserve">operacionālās </w:t>
      </w:r>
      <w:r w:rsidR="006B27C4" w:rsidRPr="006B27C4">
        <w:t>kapacitātes stiprināšan</w:t>
      </w:r>
      <w:r w:rsidR="001F6ADE">
        <w:t>ā</w:t>
      </w:r>
      <w:r w:rsidR="006B27C4" w:rsidRPr="006B27C4">
        <w:t xml:space="preserve">. </w:t>
      </w:r>
    </w:p>
    <w:p w14:paraId="65266DF5" w14:textId="6BCF3D73" w:rsidR="006B27C4" w:rsidRPr="006B27C4" w:rsidRDefault="006B27C4" w:rsidP="006B27C4">
      <w:pPr>
        <w:spacing w:before="0" w:line="259" w:lineRule="auto"/>
      </w:pPr>
      <w:r w:rsidRPr="006B27C4">
        <w:t>Projektu īstenošan</w:t>
      </w:r>
      <w:r w:rsidR="001F6ADE">
        <w:t>as gaitu</w:t>
      </w:r>
      <w:r w:rsidRPr="006B27C4">
        <w:t xml:space="preserve"> ietekmēja ģeopolitiskās izmaiņas</w:t>
      </w:r>
      <w:r w:rsidR="004C7003">
        <w:t xml:space="preserve"> reģionā, īpaši</w:t>
      </w:r>
      <w:r w:rsidRPr="006B27C4">
        <w:t xml:space="preserve"> Krievijas uzsāktais karš Ukrainā.</w:t>
      </w:r>
      <w:r w:rsidR="00A96D46">
        <w:t xml:space="preserve"> Šīs ārējās vides izmaiņas radīja gan papildu izaicinājumus projektu īstenošanai, gan arī aktualizēja nepieciešamību pēc paātrinātas drošības spēju stiprināšanas, pielāgojoties jaunajiem apdraudējumiem un riska scenārijiem.</w:t>
      </w:r>
    </w:p>
    <w:p w14:paraId="1333EF50" w14:textId="386BD975" w:rsidR="00CD74ED" w:rsidRDefault="006B27C4" w:rsidP="006B27C4">
      <w:pPr>
        <w:spacing w:before="0" w:line="259" w:lineRule="auto"/>
      </w:pPr>
      <w:r w:rsidRPr="00A83EE1">
        <w:t>Eiropas Savienības</w:t>
      </w:r>
      <w:r w:rsidRPr="006B27C4">
        <w:t xml:space="preserve"> fondu finansējums </w:t>
      </w:r>
      <w:r w:rsidR="00817A80">
        <w:t xml:space="preserve">ir </w:t>
      </w:r>
      <w:r w:rsidRPr="006B27C4">
        <w:t xml:space="preserve">bijis </w:t>
      </w:r>
      <w:r w:rsidR="00817A80">
        <w:t>nozīmīgs</w:t>
      </w:r>
      <w:r w:rsidRPr="006B27C4">
        <w:t xml:space="preserve"> faktors Latvijas iekšējās drošības sektora modernizācij</w:t>
      </w:r>
      <w:r w:rsidR="00817A80">
        <w:t>as procesā. Ī</w:t>
      </w:r>
      <w:r w:rsidRPr="006B27C4">
        <w:t xml:space="preserve">paši </w:t>
      </w:r>
      <w:r w:rsidR="00817A80">
        <w:t xml:space="preserve">nozīmīgs atbalsts sniegts </w:t>
      </w:r>
      <w:r w:rsidRPr="006B27C4">
        <w:t>V</w:t>
      </w:r>
      <w:r w:rsidR="00380702">
        <w:t>alsts policijas</w:t>
      </w:r>
      <w:r w:rsidRPr="006B27C4">
        <w:t xml:space="preserve"> </w:t>
      </w:r>
      <w:r w:rsidR="00E450D7" w:rsidRPr="006B27C4">
        <w:t>IT sistēmu attīstībā</w:t>
      </w:r>
      <w:r w:rsidR="00E450D7">
        <w:t>,</w:t>
      </w:r>
      <w:r w:rsidR="00E450D7" w:rsidRPr="006B27C4">
        <w:t xml:space="preserve"> modernas apmācību infrastruktūras izveidē</w:t>
      </w:r>
      <w:r w:rsidR="00E450D7">
        <w:t>, kā arī</w:t>
      </w:r>
      <w:r w:rsidR="00E450D7" w:rsidRPr="006B27C4">
        <w:t xml:space="preserve"> </w:t>
      </w:r>
      <w:r w:rsidRPr="006B27C4">
        <w:t>Kriminālistikas pārvaldes kapacitātes stiprināšanā</w:t>
      </w:r>
      <w:r w:rsidR="005D0B0C">
        <w:t>.</w:t>
      </w:r>
    </w:p>
    <w:p w14:paraId="0E553C6E" w14:textId="36E60FB8" w:rsidR="006B27C4" w:rsidRPr="006B27C4" w:rsidRDefault="009220BC" w:rsidP="006B27C4">
      <w:pPr>
        <w:spacing w:before="0" w:line="259" w:lineRule="auto"/>
      </w:pPr>
      <w:r>
        <w:t xml:space="preserve">Izvērtējuma </w:t>
      </w:r>
      <w:r w:rsidR="00DD372C">
        <w:t>rezultāti demonstrē, ka b</w:t>
      </w:r>
      <w:r w:rsidR="006B27C4" w:rsidRPr="006B27C4">
        <w:t xml:space="preserve">ez </w:t>
      </w:r>
      <w:r w:rsidR="006B27C4" w:rsidRPr="00A83EE1">
        <w:t>Eiropas Savienības</w:t>
      </w:r>
      <w:r w:rsidR="006B27C4" w:rsidRPr="006B27C4">
        <w:t xml:space="preserve"> </w:t>
      </w:r>
      <w:r w:rsidR="00DD372C">
        <w:t xml:space="preserve">mērķtiecīgā finansiālā </w:t>
      </w:r>
      <w:r w:rsidR="006B27C4" w:rsidRPr="006B27C4">
        <w:t>atbalsta šādu apjom</w:t>
      </w:r>
      <w:r w:rsidR="00DD372C">
        <w:t>a un kompleksitātes</w:t>
      </w:r>
      <w:r w:rsidR="006B27C4" w:rsidRPr="006B27C4">
        <w:t xml:space="preserve"> projektu īstenošana nebūtu iespējama valsts budžeta </w:t>
      </w:r>
      <w:r w:rsidR="001E7753">
        <w:t>ierobežoto re</w:t>
      </w:r>
      <w:r w:rsidR="005421E4">
        <w:t xml:space="preserve">sursu </w:t>
      </w:r>
      <w:r w:rsidR="006B27C4" w:rsidRPr="006B27C4">
        <w:t>ietvaros</w:t>
      </w:r>
      <w:r w:rsidR="005421E4">
        <w:t xml:space="preserve">. Turklāt analīze parāda, ka potenciāla </w:t>
      </w:r>
      <w:r w:rsidR="006B27C4" w:rsidRPr="006B27C4">
        <w:t xml:space="preserve">fonda atbalsta pārtraukšana </w:t>
      </w:r>
      <w:r w:rsidR="005421E4">
        <w:t xml:space="preserve">nākotnē </w:t>
      </w:r>
      <w:r w:rsidR="00241DF4">
        <w:t xml:space="preserve">radītu </w:t>
      </w:r>
      <w:r w:rsidR="006B27C4" w:rsidRPr="006B27C4">
        <w:t>nopietn</w:t>
      </w:r>
      <w:r w:rsidR="00241DF4">
        <w:t>us</w:t>
      </w:r>
      <w:r w:rsidR="006B27C4" w:rsidRPr="006B27C4">
        <w:t xml:space="preserve"> ierobežo</w:t>
      </w:r>
      <w:r w:rsidR="00241DF4">
        <w:t>jumus</w:t>
      </w:r>
      <w:r w:rsidR="006B27C4" w:rsidRPr="006B27C4">
        <w:t xml:space="preserve"> turpmāk</w:t>
      </w:r>
      <w:r w:rsidR="00241DF4">
        <w:t>ajam</w:t>
      </w:r>
      <w:r w:rsidR="006B27C4" w:rsidRPr="006B27C4">
        <w:t xml:space="preserve"> modernizācijas proces</w:t>
      </w:r>
      <w:r w:rsidR="00241DF4">
        <w:t>am drošības iestādēs, kas savukārt</w:t>
      </w:r>
      <w:r w:rsidR="006B27C4" w:rsidRPr="006B27C4">
        <w:t xml:space="preserve"> negatīvi ietekmē</w:t>
      </w:r>
      <w:r w:rsidR="00241DF4">
        <w:t>tu ne tikai Latvijas nacionālo drošību, bet arī</w:t>
      </w:r>
      <w:r w:rsidR="006B27C4" w:rsidRPr="006B27C4">
        <w:t xml:space="preserve"> </w:t>
      </w:r>
      <w:r w:rsidR="006B27C4" w:rsidRPr="00A83EE1">
        <w:t xml:space="preserve">Eiropas Savienības </w:t>
      </w:r>
      <w:r w:rsidR="006B27C4" w:rsidRPr="006B27C4">
        <w:t>kopējo drošīb</w:t>
      </w:r>
      <w:r w:rsidR="00241DF4">
        <w:t>as telpu</w:t>
      </w:r>
      <w:r w:rsidR="008B4AB3">
        <w:t>, ņemot vērā Latvijas ģeopolitisko novietojumu un lomu Eiropas Savienības ārējās robežas aizsardzībā</w:t>
      </w:r>
      <w:r w:rsidR="006B27C4" w:rsidRPr="006B27C4">
        <w:t>.</w:t>
      </w:r>
    </w:p>
    <w:p w14:paraId="49FEF30B" w14:textId="76FBF511" w:rsidR="000F719E" w:rsidRPr="00A83EE1" w:rsidRDefault="000F719E" w:rsidP="00733294">
      <w:pPr>
        <w:spacing w:before="0" w:line="259" w:lineRule="auto"/>
      </w:pPr>
    </w:p>
    <w:p w14:paraId="21E3F281" w14:textId="77777777" w:rsidR="00BA7951" w:rsidRPr="008F64A0" w:rsidRDefault="00BA7951">
      <w:pPr>
        <w:spacing w:before="0" w:line="259" w:lineRule="auto"/>
        <w:jc w:val="left"/>
        <w:rPr>
          <w:rFonts w:asciiTheme="majorHAnsi" w:eastAsiaTheme="majorEastAsia" w:hAnsiTheme="majorHAnsi" w:cstheme="majorBidi"/>
          <w:color w:val="1A1A1A" w:themeColor="accent1" w:themeShade="BF"/>
        </w:rPr>
      </w:pPr>
      <w:r w:rsidRPr="008F64A0">
        <w:br w:type="page"/>
      </w:r>
    </w:p>
    <w:p w14:paraId="6C69C48F" w14:textId="4F89F701" w:rsidR="002C4096" w:rsidRDefault="00977C1C" w:rsidP="002869D5">
      <w:pPr>
        <w:pStyle w:val="Virsraksts1"/>
      </w:pPr>
      <w:bookmarkStart w:id="9" w:name="_Toc193371299"/>
      <w:r w:rsidRPr="008F64A0">
        <w:lastRenderedPageBreak/>
        <w:t>SUMMARY</w:t>
      </w:r>
      <w:bookmarkEnd w:id="9"/>
    </w:p>
    <w:p w14:paraId="1D4FF459" w14:textId="77777777" w:rsidR="00943AFB" w:rsidRDefault="00943AFB" w:rsidP="00943AFB">
      <w:r w:rsidRPr="008F64A0">
        <w:rPr>
          <w:b/>
          <w:color w:val="600074" w:themeColor="accent6" w:themeShade="BF"/>
        </w:rPr>
        <w:t>EFFECTIVENESS</w:t>
      </w:r>
      <w:r w:rsidRPr="00943AFB">
        <w:t xml:space="preserve"> </w:t>
      </w:r>
    </w:p>
    <w:p w14:paraId="3D547BEA" w14:textId="6A0001BF" w:rsidR="00943AFB" w:rsidRPr="00F022FA" w:rsidRDefault="00943AFB" w:rsidP="00943AFB">
      <w:pPr>
        <w:rPr>
          <w:lang w:val="en-GB"/>
        </w:rPr>
      </w:pPr>
      <w:r w:rsidRPr="00F022FA">
        <w:rPr>
          <w:lang w:val="en-GB"/>
        </w:rPr>
        <w:t xml:space="preserve">The analysis of the results of </w:t>
      </w:r>
      <w:r w:rsidRPr="002C3A99">
        <w:rPr>
          <w:b/>
          <w:bCs/>
          <w:lang w:val="en-GB"/>
        </w:rPr>
        <w:t>the Asylum, Migration and Integration Fund's</w:t>
      </w:r>
      <w:r w:rsidRPr="00F022FA">
        <w:rPr>
          <w:lang w:val="en-GB"/>
        </w:rPr>
        <w:t xml:space="preserve"> national program in Latvia shows uneven performance - out of twelve defined performance indicators, seven have been achieved or exceeded, but five have not reached the planned values. High performance levels are shown by support measures for target groups in the integration field (289%) and providing reintegration assistance to support returnees (152%). The implementation of the program was affected by both restrictions caused by the Covid-19 pandemic and geopolitical changes, but it has promoted significant systemic changes, especially strengthening asylum procedures, improving reception capacity and developing information systems for effective cooperation between institutions.</w:t>
      </w:r>
    </w:p>
    <w:p w14:paraId="6D2297D2" w14:textId="77777777" w:rsidR="00943AFB" w:rsidRPr="00F022FA" w:rsidRDefault="00943AFB" w:rsidP="00943AFB">
      <w:pPr>
        <w:rPr>
          <w:lang w:val="en-GB"/>
        </w:rPr>
      </w:pPr>
      <w:r w:rsidRPr="00F022FA">
        <w:rPr>
          <w:lang w:val="en-GB"/>
        </w:rPr>
        <w:t>The Asylum, Migration and Integration Fund program has made a significant contribution in several areas: improved asylum seekers' reception infrastructure and service quality, established a "one-stop agency" system in five Latvian cities, provided language integration measures for third-country nationals, and implemented voluntary return programs and forced expulsion measures. Expert assessment particularly highlights the improvement of inter-institutional cooperation, the development of staff professional competence, and the enhancement of information systems, which has significantly reduced administrative burden and improved data exchange between the institutions involved.</w:t>
      </w:r>
    </w:p>
    <w:p w14:paraId="63274EFE" w14:textId="77777777" w:rsidR="00943AFB" w:rsidRPr="00F022FA" w:rsidRDefault="00943AFB" w:rsidP="00943AFB">
      <w:pPr>
        <w:rPr>
          <w:lang w:val="en-GB"/>
        </w:rPr>
      </w:pPr>
      <w:r w:rsidRPr="00F022FA">
        <w:rPr>
          <w:lang w:val="en-GB"/>
        </w:rPr>
        <w:t xml:space="preserve">The evaluation of the effectiveness of </w:t>
      </w:r>
      <w:r w:rsidRPr="00AF7CA7">
        <w:rPr>
          <w:b/>
          <w:bCs/>
          <w:lang w:val="en-GB"/>
        </w:rPr>
        <w:t>the Internal Security Fund's financial support instrument for external borders and visas</w:t>
      </w:r>
      <w:r w:rsidRPr="00F022FA">
        <w:rPr>
          <w:lang w:val="en-GB"/>
        </w:rPr>
        <w:t xml:space="preserve"> reveals differentiated performance of result indicators. Of the nine defined performance indicators, five have achieved the set values, with four of them exceeding the initially planned values. Particularly </w:t>
      </w:r>
      <w:proofErr w:type="gramStart"/>
      <w:r w:rsidRPr="00F022FA">
        <w:rPr>
          <w:lang w:val="en-GB"/>
        </w:rPr>
        <w:t>high performance</w:t>
      </w:r>
      <w:proofErr w:type="gramEnd"/>
      <w:r w:rsidRPr="00F022FA">
        <w:rPr>
          <w:lang w:val="en-GB"/>
        </w:rPr>
        <w:t xml:space="preserve"> levels were shown by the development of state border surveillance infrastructure within the EUROSUR framework (171%) and the number of implemented training courses (149%). However, four indicators did not reach the planned values, for example, the use of automated border control systems (18%) and the development of border control infrastructure resources (0%).</w:t>
      </w:r>
    </w:p>
    <w:p w14:paraId="760E6247" w14:textId="77777777" w:rsidR="00943AFB" w:rsidRPr="00F022FA" w:rsidRDefault="00943AFB" w:rsidP="00943AFB">
      <w:pPr>
        <w:rPr>
          <w:lang w:val="en-GB"/>
        </w:rPr>
      </w:pPr>
      <w:r w:rsidRPr="00F022FA">
        <w:rPr>
          <w:lang w:val="en-GB"/>
        </w:rPr>
        <w:t>The successful implementation of the program was facilitated by several factors, including international and inter-institutional cooperation, as well as constructive interaction with the responsible authority. The factors hindering implementation were related to Russia's military invasion of Ukraine, procurement procedure complications, and geopolitical changes.</w:t>
      </w:r>
    </w:p>
    <w:p w14:paraId="20DD2F3D" w14:textId="77777777" w:rsidR="00943AFB" w:rsidRPr="00F022FA" w:rsidRDefault="00943AFB" w:rsidP="00943AFB">
      <w:pPr>
        <w:rPr>
          <w:lang w:val="en-GB"/>
        </w:rPr>
      </w:pPr>
      <w:r w:rsidRPr="00F022FA">
        <w:rPr>
          <w:lang w:val="en-GB"/>
        </w:rPr>
        <w:t>The program implemented a comprehensive approach to strengthening border management, covering information system development, provision of specialized training, development of inter-institutional cooperation, and modernization of border control technical means. This set of measures improved border surveillance capacity, ensuring more efficient human resource planning and faster response capacity in case of incidents. As a result of the program, checks on persons at external border control points were improved, while promoting the development of the common visa policy in the context of the European Union. A significant technological solution was the automated border control gates introduced at Riga International Airport, which ensured increased speed and efficiency of border checks. The activities implemented under the program contributed to the development of integrated border management, strengthening Latvia's compliance with European Union standards and improving information exchange with other European Union member states.</w:t>
      </w:r>
    </w:p>
    <w:p w14:paraId="6069EAC9" w14:textId="7A70E54E" w:rsidR="00943AFB" w:rsidRPr="00F022FA" w:rsidRDefault="00943AFB" w:rsidP="00943AFB">
      <w:pPr>
        <w:rPr>
          <w:lang w:val="en-GB"/>
        </w:rPr>
      </w:pPr>
      <w:r w:rsidRPr="00F022FA">
        <w:rPr>
          <w:lang w:val="en-GB"/>
        </w:rPr>
        <w:t xml:space="preserve">The evaluation of the effectiveness </w:t>
      </w:r>
      <w:r w:rsidRPr="00FF3A94">
        <w:rPr>
          <w:b/>
          <w:bCs/>
          <w:lang w:val="en-GB"/>
        </w:rPr>
        <w:t>of the Internal Security Fund's financial support instrument for police cooperation, preventi</w:t>
      </w:r>
      <w:r w:rsidR="002F7949">
        <w:rPr>
          <w:b/>
          <w:bCs/>
          <w:lang w:val="en-GB"/>
        </w:rPr>
        <w:t>ng</w:t>
      </w:r>
      <w:r w:rsidRPr="00FF3A94">
        <w:rPr>
          <w:b/>
          <w:bCs/>
          <w:lang w:val="en-GB"/>
        </w:rPr>
        <w:t xml:space="preserve"> and combat</w:t>
      </w:r>
      <w:r w:rsidR="002F7949">
        <w:rPr>
          <w:b/>
          <w:bCs/>
          <w:lang w:val="en-GB"/>
        </w:rPr>
        <w:t>ing</w:t>
      </w:r>
      <w:r w:rsidR="002F7949" w:rsidRPr="002F7949">
        <w:rPr>
          <w:b/>
          <w:bCs/>
          <w:lang w:val="en-GB"/>
        </w:rPr>
        <w:t xml:space="preserve"> </w:t>
      </w:r>
      <w:r w:rsidR="002F7949" w:rsidRPr="00FF3A94">
        <w:rPr>
          <w:b/>
          <w:bCs/>
          <w:lang w:val="en-GB"/>
        </w:rPr>
        <w:t>crime</w:t>
      </w:r>
      <w:r w:rsidRPr="00FF3A94">
        <w:rPr>
          <w:b/>
          <w:bCs/>
          <w:lang w:val="en-GB"/>
        </w:rPr>
        <w:t>, and crisis management</w:t>
      </w:r>
      <w:r w:rsidRPr="00F022FA">
        <w:rPr>
          <w:lang w:val="en-GB"/>
        </w:rPr>
        <w:t xml:space="preserve"> found uneven performance of result indicators. The analysis reveals that half of the eight defined performance indicators have been achieved, with three of these indicators exceeding the initially planned values. Particularly </w:t>
      </w:r>
      <w:proofErr w:type="gramStart"/>
      <w:r w:rsidRPr="00F022FA">
        <w:rPr>
          <w:lang w:val="en-GB"/>
        </w:rPr>
        <w:t>high performance</w:t>
      </w:r>
      <w:proofErr w:type="gramEnd"/>
      <w:r w:rsidRPr="00F022FA">
        <w:rPr>
          <w:lang w:val="en-GB"/>
        </w:rPr>
        <w:t xml:space="preserve"> indicators are observed in the field of crime prevention, where the financial value of projects </w:t>
      </w:r>
      <w:r w:rsidRPr="00F022FA">
        <w:rPr>
          <w:lang w:val="en-GB"/>
        </w:rPr>
        <w:lastRenderedPageBreak/>
        <w:t xml:space="preserve">reached 223% of the planned amount, and the number of projects in this area reached 167% of the planned volume. However, four indicators did not reach the planned values, including the organization of training for law enforcement officials (0%) and the organization of expert meetings, seminars, and conferences (0%). The non-fulfillment of results is explained by the State </w:t>
      </w:r>
      <w:proofErr w:type="gramStart"/>
      <w:r w:rsidRPr="00F022FA">
        <w:rPr>
          <w:lang w:val="en-GB"/>
        </w:rPr>
        <w:t>Police's</w:t>
      </w:r>
      <w:proofErr w:type="gramEnd"/>
      <w:r w:rsidRPr="00F022FA">
        <w:rPr>
          <w:lang w:val="en-GB"/>
        </w:rPr>
        <w:t xml:space="preserve"> limited overall capacity in implementing various projects and these measures not being prioritized as key activities.</w:t>
      </w:r>
    </w:p>
    <w:p w14:paraId="5A6100A0" w14:textId="77777777" w:rsidR="00943AFB" w:rsidRPr="00F022FA" w:rsidRDefault="00943AFB" w:rsidP="00943AFB">
      <w:pPr>
        <w:rPr>
          <w:lang w:val="en-GB"/>
        </w:rPr>
      </w:pPr>
      <w:r w:rsidRPr="00F022FA">
        <w:rPr>
          <w:lang w:val="en-GB"/>
        </w:rPr>
        <w:t>Factors that contributed to the successful implementation of the program included previous project management experience, pre-checks of procurements, and a flexible approach to fund reallocation. Among the hindering factors were Russia's military invasion of Ukraine, which caused price increases and supply chain disruptions, as well as various complications in procurement procedures.</w:t>
      </w:r>
    </w:p>
    <w:p w14:paraId="5661F1A2" w14:textId="77777777" w:rsidR="00943AFB" w:rsidRPr="00F022FA" w:rsidRDefault="00943AFB" w:rsidP="00943AFB">
      <w:pPr>
        <w:rPr>
          <w:lang w:val="en-GB"/>
        </w:rPr>
      </w:pPr>
      <w:r w:rsidRPr="00F022FA">
        <w:rPr>
          <w:lang w:val="en-GB"/>
        </w:rPr>
        <w:t>Several strategically important improvements were implemented within the program to strengthen the capacity of law enforcement agencies in combating international cross-border and organized crime. Special attention was paid to improving the field of forensic examinations, modernizing equipment, and training personnel. A quality management system for crime scene inspection processes was introduced, and cybercrime prevention and combat capabilities were improved.</w:t>
      </w:r>
    </w:p>
    <w:p w14:paraId="067FC931" w14:textId="77777777" w:rsidR="00943AFB" w:rsidRPr="00F022FA" w:rsidRDefault="00943AFB" w:rsidP="00943AFB">
      <w:pPr>
        <w:rPr>
          <w:lang w:val="en-GB"/>
        </w:rPr>
      </w:pPr>
      <w:r w:rsidRPr="00F022FA">
        <w:rPr>
          <w:lang w:val="en-GB"/>
        </w:rPr>
        <w:t>Significant results were achieved in crisis management, establishing specialized training infrastructure for chemical, biological, radiological, nuclear threat and explosive crisis training, as well as developing the capabilities of the "OMEGA" anti-terrorism unit. The program promoted the capacity building of anti-terrorism units and their involvement in the ATLAS network. In addition, modern equipment was provided for the elimination of chemical incident consequences. The established training infrastructure provides a significant contribution to effective crisis and risk management, while also strengthening international cooperation in this field.</w:t>
      </w:r>
    </w:p>
    <w:p w14:paraId="44BD74B6" w14:textId="77777777" w:rsidR="008A380B" w:rsidRPr="00F022FA" w:rsidRDefault="008A380B" w:rsidP="008A380B">
      <w:pPr>
        <w:spacing w:before="0" w:line="259" w:lineRule="auto"/>
        <w:rPr>
          <w:b/>
          <w:color w:val="600074" w:themeColor="accent6" w:themeShade="BF"/>
          <w:lang w:val="en-GB"/>
        </w:rPr>
      </w:pPr>
      <w:r w:rsidRPr="00F022FA">
        <w:rPr>
          <w:b/>
          <w:color w:val="600074" w:themeColor="accent6" w:themeShade="BF"/>
          <w:lang w:val="en-GB"/>
        </w:rPr>
        <w:t>EFFICIENCY</w:t>
      </w:r>
    </w:p>
    <w:p w14:paraId="3A0DE854" w14:textId="4982DDE2" w:rsidR="00AF4C5C" w:rsidRPr="00F022FA" w:rsidRDefault="00AF4C5C" w:rsidP="008A380B">
      <w:pPr>
        <w:spacing w:before="0" w:line="259" w:lineRule="auto"/>
        <w:rPr>
          <w:b/>
          <w:color w:val="82009B" w:themeColor="accent6"/>
          <w:lang w:val="en-GB"/>
        </w:rPr>
      </w:pPr>
      <w:r w:rsidRPr="00F022FA">
        <w:rPr>
          <w:color w:val="82009B" w:themeColor="accent6"/>
          <w:lang w:val="en-GB"/>
        </w:rPr>
        <w:t>Funding Absorption</w:t>
      </w:r>
    </w:p>
    <w:p w14:paraId="12D13A39" w14:textId="77777777" w:rsidR="008A380B" w:rsidRPr="00F022FA" w:rsidRDefault="008A380B" w:rsidP="008A380B">
      <w:pPr>
        <w:rPr>
          <w:lang w:val="en-GB"/>
        </w:rPr>
      </w:pPr>
      <w:r w:rsidRPr="005F0046">
        <w:rPr>
          <w:b/>
          <w:bCs/>
          <w:lang w:val="en-GB"/>
        </w:rPr>
        <w:t>Asylum, Migration and Integration Fund</w:t>
      </w:r>
      <w:r w:rsidRPr="00F022FA">
        <w:rPr>
          <w:lang w:val="en-GB"/>
        </w:rPr>
        <w:t xml:space="preserve"> demonstrates high funding absorption - of the allocated 18.9 million euros, 17.4 million or 92% were absorbed, and almost all planned performance indicators were achieved or even exceeded. Funding recipients positively evaluate the adequacy of available funding, with 79% of respondents confirming complete alignment with needs. In the context of program implementation, external factors must be </w:t>
      </w:r>
      <w:proofErr w:type="gramStart"/>
      <w:r w:rsidRPr="00F022FA">
        <w:rPr>
          <w:lang w:val="en-GB"/>
        </w:rPr>
        <w:t>taken into account</w:t>
      </w:r>
      <w:proofErr w:type="gramEnd"/>
      <w:r w:rsidRPr="00F022FA">
        <w:rPr>
          <w:lang w:val="en-GB"/>
        </w:rPr>
        <w:t xml:space="preserve"> - the war in Ukraine and related geopolitical changes, which caused both price increases and increased migration flows. The cost-benefit analysis conducted for two projects within the evaluation indicates predicted positive economic returns for support measures for asylum seekers and Latvian language training projects. However, it must be emphasized that these indicators are closely linked to employment opportunities for target groups and the overall employment policy in the country.</w:t>
      </w:r>
    </w:p>
    <w:p w14:paraId="7FB3543A" w14:textId="77777777" w:rsidR="008A380B" w:rsidRPr="00F022FA" w:rsidRDefault="008A380B" w:rsidP="008A380B">
      <w:pPr>
        <w:rPr>
          <w:lang w:val="en-GB"/>
        </w:rPr>
      </w:pPr>
      <w:r w:rsidRPr="005F0046">
        <w:rPr>
          <w:b/>
          <w:bCs/>
          <w:lang w:val="en-GB"/>
        </w:rPr>
        <w:t xml:space="preserve">The Internal Security Fund's financial support instrument for external borders and visas </w:t>
      </w:r>
      <w:r w:rsidRPr="00F022FA">
        <w:rPr>
          <w:lang w:val="en-GB"/>
        </w:rPr>
        <w:t>program funding absorption reached 24.7 million euros, or 76% of the available funding of 32.7 million euros. Absorption indicators were affected by delays in the development of European Union central systems, which in turn limited the possibilities for developing interoperability systems. Funding recipients positively evaluate the available funding - 75% of respondents confirm its complete adequacy, while 17% indicate partial adequacy. Results of cost-benefit analyses for two projects show that the economic benefits of the projects outweigh the costs incurred within the project. In the development of the Entry/Exit System, each euro invested generates a 1.5 times higher economic benefit, while the benefits of border surveillance system improvement measures exceed costs if response capabilities improve by at least 15%.</w:t>
      </w:r>
    </w:p>
    <w:p w14:paraId="1DB325C4" w14:textId="3BFC7576" w:rsidR="008A380B" w:rsidRPr="00F022FA" w:rsidRDefault="008A380B" w:rsidP="008A380B">
      <w:pPr>
        <w:rPr>
          <w:lang w:val="en-GB"/>
        </w:rPr>
      </w:pPr>
      <w:r w:rsidRPr="005F0046">
        <w:rPr>
          <w:b/>
          <w:bCs/>
          <w:lang w:val="en-GB"/>
        </w:rPr>
        <w:t>The</w:t>
      </w:r>
      <w:r w:rsidRPr="00F022FA">
        <w:rPr>
          <w:lang w:val="en-GB"/>
        </w:rPr>
        <w:t xml:space="preserve"> </w:t>
      </w:r>
      <w:r w:rsidR="005F0046" w:rsidRPr="00FF3A94">
        <w:rPr>
          <w:b/>
          <w:bCs/>
          <w:lang w:val="en-GB"/>
        </w:rPr>
        <w:t>Internal Security Fund's financial support instrument for police cooperation, preventi</w:t>
      </w:r>
      <w:r w:rsidR="005F0046">
        <w:rPr>
          <w:b/>
          <w:bCs/>
          <w:lang w:val="en-GB"/>
        </w:rPr>
        <w:t>ng</w:t>
      </w:r>
      <w:r w:rsidR="005F0046" w:rsidRPr="00FF3A94">
        <w:rPr>
          <w:b/>
          <w:bCs/>
          <w:lang w:val="en-GB"/>
        </w:rPr>
        <w:t xml:space="preserve"> and combat</w:t>
      </w:r>
      <w:r w:rsidR="005F0046">
        <w:rPr>
          <w:b/>
          <w:bCs/>
          <w:lang w:val="en-GB"/>
        </w:rPr>
        <w:t>ing</w:t>
      </w:r>
      <w:r w:rsidR="005F0046" w:rsidRPr="002F7949">
        <w:rPr>
          <w:b/>
          <w:bCs/>
          <w:lang w:val="en-GB"/>
        </w:rPr>
        <w:t xml:space="preserve"> </w:t>
      </w:r>
      <w:r w:rsidR="005F0046" w:rsidRPr="00FF3A94">
        <w:rPr>
          <w:b/>
          <w:bCs/>
          <w:lang w:val="en-GB"/>
        </w:rPr>
        <w:t>crime, and crisis management</w:t>
      </w:r>
      <w:r w:rsidRPr="00F022FA">
        <w:rPr>
          <w:lang w:val="en-GB"/>
        </w:rPr>
        <w:t xml:space="preserve"> program achieved excellent financial absorption rates - </w:t>
      </w:r>
      <w:r w:rsidRPr="00F022FA">
        <w:rPr>
          <w:lang w:val="en-GB"/>
        </w:rPr>
        <w:lastRenderedPageBreak/>
        <w:t>19,138,492 euros or 99% of the total available funding. Funding recipients positively evaluated the adequacy of available funding for achieving the objectives set for the projects, while pointing to the impact of geopolitical changes and the consequences of Russia's war in Ukraine on costs. The cost-benefit analysis conducted for the State Police special intervention unit training center and the State Fire and Rescue Service CBRNE response capability projects showed positive economic returns exceeding the initial investments. In addition to quantitative benefits, the projects have made a significant qualitative contribution to raising the level of public safety and improving staff working conditions.</w:t>
      </w:r>
    </w:p>
    <w:p w14:paraId="1C021FD4" w14:textId="77777777" w:rsidR="00D65DF0" w:rsidRPr="00F022FA" w:rsidRDefault="00D65DF0" w:rsidP="00D65DF0">
      <w:pPr>
        <w:spacing w:before="0" w:line="259" w:lineRule="auto"/>
        <w:rPr>
          <w:color w:val="82009B" w:themeColor="accent6"/>
          <w:lang w:val="en-GB"/>
        </w:rPr>
      </w:pPr>
      <w:r w:rsidRPr="00F022FA">
        <w:rPr>
          <w:color w:val="82009B" w:themeColor="accent6"/>
          <w:lang w:val="en-GB"/>
        </w:rPr>
        <w:t>Administrative Burden</w:t>
      </w:r>
    </w:p>
    <w:p w14:paraId="188BB99F" w14:textId="77777777" w:rsidR="00D65DF0" w:rsidRPr="00F022FA" w:rsidRDefault="00D65DF0" w:rsidP="00D65DF0">
      <w:pPr>
        <w:rPr>
          <w:lang w:val="en-GB"/>
        </w:rPr>
      </w:pPr>
      <w:r w:rsidRPr="00F022FA">
        <w:rPr>
          <w:lang w:val="en-GB"/>
        </w:rPr>
        <w:t>Funding recipients' assessment of the administrative burden across all funds reveals certain trends and challenges. Using a 5-point rating scale, where 1 represents a very high administrative burden, respondents rated it as rather high - with an average rating of 2.26 in Asylum, Migration and Integration Fund projects and 2.33 in Internal Security Fund projects. When analyzing processes that significantly impact project implementation, funding recipients primarily highlight the complexity of procurement procedures, the cumbersome nature of the project amendment process, requirements for frequent and detailed report submissions, as well as the lack of a unified electronic project monitoring system. At the same time, the transition to electronic document circulation and the introduction of pre-procurement checks were positively evaluated, which has contributed to reducing the number of non-compliances.</w:t>
      </w:r>
    </w:p>
    <w:p w14:paraId="435CC5AE" w14:textId="77777777" w:rsidR="00D65DF0" w:rsidRPr="00F022FA" w:rsidRDefault="00D65DF0" w:rsidP="00D65DF0">
      <w:pPr>
        <w:rPr>
          <w:lang w:val="en-GB"/>
        </w:rPr>
      </w:pPr>
      <w:r w:rsidRPr="00F022FA">
        <w:rPr>
          <w:lang w:val="en-GB"/>
        </w:rPr>
        <w:t>Certain differences in the main challenges exist between different funds. In the Internal Security Fund's financial support instrument for external borders and visas projects, complex procurement technical specifications and difficulties in attracting suppliers for specific equipment were particularly emphasized. Meanwhile, in the Internal Security Fund's financial support instrument for police cooperation, crime prevention and combat, and crisis management projects, problems related to geopolitical changes and the fulfillment of procurement contracts were more frequently mentioned. In the Asylum, Migration and Integration Fund's delegated authority projects, the main challenge identified was the length of competition evaluation, which reduced the actual project implementation time.</w:t>
      </w:r>
    </w:p>
    <w:p w14:paraId="59187189" w14:textId="77777777" w:rsidR="00D65DF0" w:rsidRPr="00F022FA" w:rsidRDefault="00D65DF0" w:rsidP="00D65DF0">
      <w:pPr>
        <w:rPr>
          <w:lang w:val="en-GB"/>
        </w:rPr>
      </w:pPr>
      <w:r w:rsidRPr="00F022FA">
        <w:rPr>
          <w:lang w:val="en-GB"/>
        </w:rPr>
        <w:t>Comparing planning periods, the 2014-2020 period is assessed as having a lower administrative burden than the previous 2007-2013 planning period. These improvements are based on reduced documentation volume and less detailed checks. Regarding the 2021-2027 period, opinions differ - delegated authority project implementers point to an increase in administrative burden related to the introduction of simplified costs, while responsible authority project implementers note several improvements, including electronic document circulation and less frequent report submissions.</w:t>
      </w:r>
    </w:p>
    <w:p w14:paraId="64272A82" w14:textId="5418D6B4" w:rsidR="00B87C3A" w:rsidRPr="00070DB9" w:rsidRDefault="00B87C3A" w:rsidP="00B87C3A">
      <w:pPr>
        <w:rPr>
          <w:b/>
          <w:bCs/>
          <w:color w:val="600074" w:themeColor="accent6" w:themeShade="BF"/>
          <w:lang w:val="en-GB"/>
        </w:rPr>
      </w:pPr>
      <w:r w:rsidRPr="00070DB9">
        <w:rPr>
          <w:b/>
          <w:bCs/>
          <w:color w:val="600074" w:themeColor="accent6" w:themeShade="BF"/>
          <w:lang w:val="en-GB"/>
        </w:rPr>
        <w:t>RELEVANCE</w:t>
      </w:r>
    </w:p>
    <w:p w14:paraId="4D96B2B7" w14:textId="77777777" w:rsidR="00B87C3A" w:rsidRPr="00F022FA" w:rsidRDefault="00B87C3A" w:rsidP="00B87C3A">
      <w:pPr>
        <w:rPr>
          <w:lang w:val="en-GB"/>
        </w:rPr>
      </w:pPr>
      <w:r w:rsidRPr="00070DB9">
        <w:rPr>
          <w:b/>
          <w:bCs/>
          <w:lang w:val="en-GB"/>
        </w:rPr>
        <w:t>The Asylum, Migration and Integration Fund</w:t>
      </w:r>
      <w:r w:rsidRPr="00F022FA">
        <w:rPr>
          <w:lang w:val="en-GB"/>
        </w:rPr>
        <w:t xml:space="preserve"> funded measures demonstrate alignment with sector priorities and addressed current needs. The fund's implementation mechanisms provided sufficient flexibility to adequately respond to changing external circumstances, such as the migration crisis, COVID-19 pandemic, and war in Ukraine. However, it should be noted that adaptation opportunities for projects implemented within open competitions were relatively limited. Although project amendment implementation processes were sometimes administratively complex, </w:t>
      </w:r>
      <w:proofErr w:type="gramStart"/>
      <w:r w:rsidRPr="00F022FA">
        <w:rPr>
          <w:lang w:val="en-GB"/>
        </w:rPr>
        <w:t>overall</w:t>
      </w:r>
      <w:proofErr w:type="gramEnd"/>
      <w:r w:rsidRPr="00F022FA">
        <w:rPr>
          <w:lang w:val="en-GB"/>
        </w:rPr>
        <w:t xml:space="preserve"> the program maintained its functional effectiveness and demonstrated the ability to adapt to changing needs, including reallocating funding between objectives and modifying initially planned activities according to new circumstances.</w:t>
      </w:r>
    </w:p>
    <w:p w14:paraId="2952E921" w14:textId="77777777" w:rsidR="00B87C3A" w:rsidRPr="00F022FA" w:rsidRDefault="00B87C3A" w:rsidP="00B87C3A">
      <w:pPr>
        <w:rPr>
          <w:lang w:val="en-GB"/>
        </w:rPr>
      </w:pPr>
      <w:r w:rsidRPr="00070DB9">
        <w:rPr>
          <w:b/>
          <w:bCs/>
          <w:lang w:val="en-GB"/>
        </w:rPr>
        <w:t>The Internal Security Fund's financial support instrument for external borders and visas</w:t>
      </w:r>
      <w:r w:rsidRPr="00F022FA">
        <w:rPr>
          <w:lang w:val="en-GB"/>
        </w:rPr>
        <w:t xml:space="preserve"> funded measures show consistent alignment with sector priorities and current needs. Funding recipients particularly appreciate the opportunity to implement strategically significant activities that would otherwise have limited funding available, such as REIS modernization and implementation of EUROSUR requirements. Although the program is generally assessed as sufficiently flexible (average rating 3.5 on a </w:t>
      </w:r>
      <w:r w:rsidRPr="00F022FA">
        <w:rPr>
          <w:lang w:val="en-GB"/>
        </w:rPr>
        <w:lastRenderedPageBreak/>
        <w:t>scale from 1 to 5), challenges still exist regarding the length of amendment coordination processes and administrative resource limitations. Latvia has implemented several targeted measures to adapt to changing needs, including financial resource replanning, addressing challenges created by the COVID-19 pandemic, and responding to cost increases in the context of the ongoing military activities in Ukraine. Regularly organized Monitoring Committee and Project Monitoring Board meetings have facilitated the prompt implementation of necessary changes, thus ensuring program flexibility and effectiveness in changing circumstances.</w:t>
      </w:r>
    </w:p>
    <w:p w14:paraId="78757DD8" w14:textId="0DC3CFD6" w:rsidR="00B87C3A" w:rsidRPr="00F022FA" w:rsidRDefault="00B87C3A" w:rsidP="00D65DF0">
      <w:pPr>
        <w:rPr>
          <w:lang w:val="en-GB"/>
        </w:rPr>
      </w:pPr>
      <w:r w:rsidRPr="00070DB9">
        <w:rPr>
          <w:b/>
          <w:bCs/>
          <w:lang w:val="en-GB"/>
        </w:rPr>
        <w:t>The</w:t>
      </w:r>
      <w:r w:rsidRPr="00F022FA">
        <w:rPr>
          <w:lang w:val="en-GB"/>
        </w:rPr>
        <w:t xml:space="preserve"> </w:t>
      </w:r>
      <w:r w:rsidRPr="00070DB9">
        <w:rPr>
          <w:b/>
          <w:bCs/>
          <w:lang w:val="en-GB"/>
        </w:rPr>
        <w:t xml:space="preserve">Internal Security Fund's financial support instrument for police cooperation, </w:t>
      </w:r>
      <w:r w:rsidR="00070DB9" w:rsidRPr="00FF3A94">
        <w:rPr>
          <w:b/>
          <w:bCs/>
          <w:lang w:val="en-GB"/>
        </w:rPr>
        <w:t>preventi</w:t>
      </w:r>
      <w:r w:rsidR="00070DB9">
        <w:rPr>
          <w:b/>
          <w:bCs/>
          <w:lang w:val="en-GB"/>
        </w:rPr>
        <w:t>ng</w:t>
      </w:r>
      <w:r w:rsidR="00070DB9" w:rsidRPr="00FF3A94">
        <w:rPr>
          <w:b/>
          <w:bCs/>
          <w:lang w:val="en-GB"/>
        </w:rPr>
        <w:t xml:space="preserve"> and combat</w:t>
      </w:r>
      <w:r w:rsidR="00070DB9">
        <w:rPr>
          <w:b/>
          <w:bCs/>
          <w:lang w:val="en-GB"/>
        </w:rPr>
        <w:t>ing</w:t>
      </w:r>
      <w:r w:rsidR="00070DB9" w:rsidRPr="002F7949">
        <w:rPr>
          <w:b/>
          <w:bCs/>
          <w:lang w:val="en-GB"/>
        </w:rPr>
        <w:t xml:space="preserve"> </w:t>
      </w:r>
      <w:r w:rsidR="00070DB9" w:rsidRPr="00FF3A94">
        <w:rPr>
          <w:b/>
          <w:bCs/>
          <w:lang w:val="en-GB"/>
        </w:rPr>
        <w:t>crime</w:t>
      </w:r>
      <w:r w:rsidRPr="00070DB9">
        <w:rPr>
          <w:b/>
          <w:bCs/>
          <w:lang w:val="en-GB"/>
        </w:rPr>
        <w:t>, and crisis management</w:t>
      </w:r>
      <w:r w:rsidRPr="00F022FA">
        <w:rPr>
          <w:lang w:val="en-GB"/>
        </w:rPr>
        <w:t xml:space="preserve"> has been relevant to the sector's needs and has provided the opportunity to implement important activities for which the availability of alternative funding sources is limited. The program's level of flexibility is assessed as sufficient (average rating 3.5 on a scale from 1 to 5), however challenges exist related to the length of amendment coordination processes and administrative resource limitations. The program's ability to adapt to changing external environment requirements, such as circumstances caused by the COVID-19 pandemic and Ukraine's military activities, as well as to make necessary changes, is positively evaluated. Latvia's successfully implemented cross-border projects in various law enforcement fields confirm the relevance of the objectives and priorities set out in the Union's annual action programs to the current needs of the law enforcement field.</w:t>
      </w:r>
    </w:p>
    <w:p w14:paraId="2B035F97" w14:textId="3B69077F" w:rsidR="00624EBC" w:rsidRPr="00070DB9" w:rsidRDefault="00624EBC" w:rsidP="00624EBC">
      <w:pPr>
        <w:rPr>
          <w:b/>
          <w:bCs/>
          <w:color w:val="600074" w:themeColor="accent6" w:themeShade="BF"/>
          <w:lang w:val="en-GB"/>
        </w:rPr>
      </w:pPr>
      <w:r w:rsidRPr="00070DB9">
        <w:rPr>
          <w:b/>
          <w:bCs/>
          <w:color w:val="600074" w:themeColor="accent6" w:themeShade="BF"/>
          <w:lang w:val="en-GB"/>
        </w:rPr>
        <w:t>COHERENCE</w:t>
      </w:r>
      <w:r w:rsidR="00944537" w:rsidRPr="00070DB9">
        <w:rPr>
          <w:b/>
          <w:bCs/>
          <w:color w:val="600074" w:themeColor="accent6" w:themeShade="BF"/>
          <w:lang w:val="en-GB"/>
        </w:rPr>
        <w:t xml:space="preserve"> </w:t>
      </w:r>
    </w:p>
    <w:p w14:paraId="3B76FFB8" w14:textId="5006105E" w:rsidR="00624EBC" w:rsidRPr="00F022FA" w:rsidRDefault="00624EBC" w:rsidP="00624EBC">
      <w:pPr>
        <w:rPr>
          <w:lang w:val="en-GB"/>
        </w:rPr>
      </w:pPr>
      <w:r w:rsidRPr="00F022FA">
        <w:rPr>
          <w:lang w:val="en-GB"/>
        </w:rPr>
        <w:t xml:space="preserve">Although all funds were characterized by the implementation of specific objectives for which support was not widely available under other financial instruments, coherence with other instruments was identified for all funds. The activities of the Asylum, Migration and Integration Fund were consistent with European Social Fund projects aimed at integrating asylum seekers and refugees. The activities of the Internal Security Fund's financial support instrument for external borders and visas program were consistent with the European Economic Area Financial Instrument's 2014-2021 period program "International Police Cooperation and Crime Fighting," and the Latvia-Russia and Latvia-Lithuania-Belarus cross-border cooperation 2014-2020 programs. Meanwhile, </w:t>
      </w:r>
      <w:r w:rsidR="00070DB9" w:rsidRPr="00070DB9">
        <w:rPr>
          <w:lang w:val="en-GB"/>
        </w:rPr>
        <w:t xml:space="preserve">Internal Security Fund's financial support instrument for police cooperation, preventing and combating crime, and crisis management </w:t>
      </w:r>
      <w:r w:rsidRPr="00F022FA">
        <w:rPr>
          <w:lang w:val="en-GB"/>
        </w:rPr>
        <w:t>program has been consistent with the European Economic Area Financial Instrument's 2014-2021 period program "International Police Cooperation and Crime Fighting" and the Latvia-Lithuania cross-border cooperation 2014-2020 programs.</w:t>
      </w:r>
    </w:p>
    <w:p w14:paraId="5F3D03D8" w14:textId="77777777" w:rsidR="00624EBC" w:rsidRPr="00070DB9" w:rsidRDefault="00624EBC" w:rsidP="00624EBC">
      <w:pPr>
        <w:rPr>
          <w:b/>
          <w:bCs/>
          <w:color w:val="600074" w:themeColor="accent6" w:themeShade="BF"/>
          <w:lang w:val="en-GB"/>
        </w:rPr>
      </w:pPr>
      <w:r w:rsidRPr="00F022FA">
        <w:rPr>
          <w:lang w:val="en-GB"/>
        </w:rPr>
        <w:t xml:space="preserve">In the implementation of all fund programs, coherence with other EU-funded instruments was ensured </w:t>
      </w:r>
      <w:proofErr w:type="gramStart"/>
      <w:r w:rsidRPr="00F022FA">
        <w:rPr>
          <w:lang w:val="en-GB"/>
        </w:rPr>
        <w:t>through the use of</w:t>
      </w:r>
      <w:proofErr w:type="gramEnd"/>
      <w:r w:rsidRPr="00F022FA">
        <w:rPr>
          <w:lang w:val="en-GB"/>
        </w:rPr>
        <w:t xml:space="preserve"> the Monitoring Committee and the Project Monitoring Board. Mechanisms were established for institutions under the supervision of the Ministry of Interior that prevented overlapping activities and promoted coherence. Coherence with other instruments was systematically evaluated in the project planning and selection process by requiring funding recipients to provide information about other i</w:t>
      </w:r>
      <w:r w:rsidRPr="00070DB9">
        <w:rPr>
          <w:lang w:val="en-GB"/>
        </w:rPr>
        <w:t>mplemented projects.</w:t>
      </w:r>
    </w:p>
    <w:p w14:paraId="42C952AE" w14:textId="57F19773" w:rsidR="00624EBC" w:rsidRPr="00070DB9" w:rsidRDefault="00624EBC" w:rsidP="00624EBC">
      <w:pPr>
        <w:rPr>
          <w:b/>
          <w:bCs/>
          <w:color w:val="600074" w:themeColor="accent6" w:themeShade="BF"/>
          <w:lang w:val="en-GB"/>
        </w:rPr>
      </w:pPr>
      <w:r w:rsidRPr="00070DB9">
        <w:rPr>
          <w:b/>
          <w:bCs/>
          <w:color w:val="600074" w:themeColor="accent6" w:themeShade="BF"/>
          <w:lang w:val="en-GB"/>
        </w:rPr>
        <w:t>COMPLEMENTARITY</w:t>
      </w:r>
    </w:p>
    <w:p w14:paraId="4075B58D" w14:textId="77777777" w:rsidR="00624EBC" w:rsidRPr="00F022FA" w:rsidRDefault="00624EBC" w:rsidP="00624EBC">
      <w:pPr>
        <w:rPr>
          <w:lang w:val="en-GB"/>
        </w:rPr>
      </w:pPr>
      <w:r w:rsidRPr="00F022FA">
        <w:rPr>
          <w:lang w:val="en-GB"/>
        </w:rPr>
        <w:t>The Asylum, Migration and Integration Fund and the Internal Security Fund's financial support instruments form a strategic and coherent approach to addressing migration, border management, asylum, integration, and internal security issues. The development and implementation of these instruments has taken place by creating close links with national policy planning documents, thus ensuring the complementarity of various activities and preventing their duplication.</w:t>
      </w:r>
    </w:p>
    <w:p w14:paraId="7EC2C1FA" w14:textId="77777777" w:rsidR="00624EBC" w:rsidRPr="00F022FA" w:rsidRDefault="00624EBC" w:rsidP="00624EBC">
      <w:pPr>
        <w:rPr>
          <w:lang w:val="en-GB"/>
        </w:rPr>
      </w:pPr>
      <w:r w:rsidRPr="00F022FA">
        <w:rPr>
          <w:lang w:val="en-GB"/>
        </w:rPr>
        <w:t xml:space="preserve">The analyzed funds are integrated into Latvia's interior sector strategic planning documents, such as the Ministry of Interior's operational strategies, and are aligned with the development planning documents of other involved institutions (State Border Guard, Office of Citizenship and Migration Affairs, etc.). These </w:t>
      </w:r>
      <w:r w:rsidRPr="00F022FA">
        <w:rPr>
          <w:lang w:val="en-GB"/>
        </w:rPr>
        <w:lastRenderedPageBreak/>
        <w:t>financial instruments have also contributed to the implementation of national planning documents, for example, achieving the goals of the State Border Integrated Management Concept and Migration Policy Implementation plans.</w:t>
      </w:r>
    </w:p>
    <w:p w14:paraId="10989945" w14:textId="77777777" w:rsidR="00624EBC" w:rsidRPr="00F022FA" w:rsidRDefault="00624EBC" w:rsidP="00624EBC">
      <w:pPr>
        <w:rPr>
          <w:lang w:val="en-GB"/>
        </w:rPr>
      </w:pPr>
      <w:r w:rsidRPr="00F022FA">
        <w:rPr>
          <w:lang w:val="en-GB"/>
        </w:rPr>
        <w:t>During the development of the funds, a careful analysis of other measures was carried out to ensure their compliance with both national and European Union planning documents. Representatives from various ministries were involved in the program coordination process, thereby preventing possible risks of activity overlap. In addition, various monitoring mechanisms were introduced within all funds, including the Monitoring Committee and the Project Monitoring Board, which provided unified strategic oversight and evaluated the non-overlap of projects with other financial instruments. Funding recipients were required to provide information about other implemented projects and to prove that double funding was not received for the same activities.</w:t>
      </w:r>
    </w:p>
    <w:p w14:paraId="4B69359D" w14:textId="77777777" w:rsidR="002840E6" w:rsidRPr="0089144D" w:rsidRDefault="002840E6" w:rsidP="002840E6">
      <w:pPr>
        <w:rPr>
          <w:b/>
          <w:bCs/>
          <w:color w:val="600074" w:themeColor="accent6" w:themeShade="BF"/>
          <w:lang w:val="en-GB"/>
        </w:rPr>
      </w:pPr>
      <w:r w:rsidRPr="0089144D">
        <w:rPr>
          <w:b/>
          <w:bCs/>
          <w:color w:val="600074" w:themeColor="accent6" w:themeShade="BF"/>
          <w:lang w:val="en-GB"/>
        </w:rPr>
        <w:t>EU ADDED VALUE</w:t>
      </w:r>
    </w:p>
    <w:p w14:paraId="1E3A9956" w14:textId="77777777" w:rsidR="002840E6" w:rsidRPr="00F022FA" w:rsidRDefault="002840E6" w:rsidP="002840E6">
      <w:pPr>
        <w:rPr>
          <w:lang w:val="en-GB"/>
        </w:rPr>
      </w:pPr>
      <w:r w:rsidRPr="00F022FA">
        <w:rPr>
          <w:b/>
          <w:bCs/>
          <w:lang w:val="en-GB"/>
        </w:rPr>
        <w:t>The Asylum, Migration and Integration Fund</w:t>
      </w:r>
      <w:r w:rsidRPr="00F022FA">
        <w:rPr>
          <w:lang w:val="en-GB"/>
        </w:rPr>
        <w:t xml:space="preserve"> support has significantly contributed to the development of the asylum, migration, and integration system in Latvia, ensuring the improvement of regulations, strengthening institutional capacity, and expanding service availability, including in the regions. European Union funding has facilitated the integration of various target groups and improved support mechanisms. Without the Program's financial support, many activities would not have been possible or would have been significantly limited, creating negative consequences for both service quality and the migrant integration process. Overall, European Union funding has helped Latvia achieve higher standards in asylum and migration policy, strengthening security and development at both national and European Union levels.</w:t>
      </w:r>
    </w:p>
    <w:p w14:paraId="49192ECA" w14:textId="77777777" w:rsidR="002840E6" w:rsidRPr="00F022FA" w:rsidRDefault="002840E6" w:rsidP="002840E6">
      <w:pPr>
        <w:rPr>
          <w:lang w:val="en-GB"/>
        </w:rPr>
      </w:pPr>
      <w:r w:rsidRPr="00F022FA">
        <w:rPr>
          <w:b/>
          <w:bCs/>
          <w:lang w:val="en-GB"/>
        </w:rPr>
        <w:t>The Internal Security Fund's financial support instrument for external borders and visas</w:t>
      </w:r>
      <w:r w:rsidRPr="00F022FA">
        <w:rPr>
          <w:lang w:val="en-GB"/>
        </w:rPr>
        <w:t xml:space="preserve"> support has significantly contributed to strengthening Latvia's external border security and modernizing the visa system. Thanks to this funding, modern surveillance systems have been implemented that allow real-time remote border monitoring, quick incident identification, and prompt response, thus reducing "blind zones" and optimizing border guards' work by focusing on strategically important locations. Additionally, the development of IT systems and improvement of material and technical provisions has enhanced the operational capacity of institutions and ensured more efficient information exchange between European Union member states, promoting compliance with European Union requirements and standards.</w:t>
      </w:r>
    </w:p>
    <w:p w14:paraId="6624DE36" w14:textId="77777777" w:rsidR="002840E6" w:rsidRPr="00F022FA" w:rsidRDefault="002840E6" w:rsidP="002840E6">
      <w:pPr>
        <w:rPr>
          <w:lang w:val="en-GB"/>
        </w:rPr>
      </w:pPr>
      <w:r w:rsidRPr="00F022FA">
        <w:rPr>
          <w:lang w:val="en-GB"/>
        </w:rPr>
        <w:t>These improvements would not have been possible without the financial support of European Union funds, as state budget resources are limited and would not be able to cover such extensive modernization projects. Funding recipients indicate that without program support, only some activities would have been implemented, but some would not have been realized at all. Discontinuation of fund support could create significant risks in border management, increasing the possibility of illegal migration and smuggling, as well as hindering alignment with European Union security standards and reducing institutional capacity.</w:t>
      </w:r>
    </w:p>
    <w:p w14:paraId="2F6DADDC" w14:textId="27B0DBA7" w:rsidR="002840E6" w:rsidRPr="00F022FA" w:rsidRDefault="002840E6" w:rsidP="002840E6">
      <w:pPr>
        <w:rPr>
          <w:lang w:val="en-GB"/>
        </w:rPr>
      </w:pPr>
      <w:r w:rsidRPr="00F022FA">
        <w:rPr>
          <w:b/>
          <w:bCs/>
          <w:lang w:val="en-GB"/>
        </w:rPr>
        <w:t>The Internal Security Fund's financial support instrument for police cooperation, preventi</w:t>
      </w:r>
      <w:r w:rsidR="0089144D">
        <w:rPr>
          <w:b/>
          <w:bCs/>
          <w:lang w:val="en-GB"/>
        </w:rPr>
        <w:t>ng</w:t>
      </w:r>
      <w:r w:rsidRPr="00F022FA">
        <w:rPr>
          <w:b/>
          <w:bCs/>
          <w:lang w:val="en-GB"/>
        </w:rPr>
        <w:t xml:space="preserve"> and combat</w:t>
      </w:r>
      <w:r w:rsidR="00BB686C">
        <w:rPr>
          <w:b/>
          <w:bCs/>
          <w:lang w:val="en-GB"/>
        </w:rPr>
        <w:t>ing crime</w:t>
      </w:r>
      <w:r w:rsidRPr="00F022FA">
        <w:rPr>
          <w:b/>
          <w:bCs/>
          <w:lang w:val="en-GB"/>
        </w:rPr>
        <w:t>, and crisis management</w:t>
      </w:r>
      <w:r w:rsidRPr="00F022FA">
        <w:rPr>
          <w:lang w:val="en-GB"/>
        </w:rPr>
        <w:t xml:space="preserve"> has significantly contributed to the modernization of Latvia's internal security sector. This funding has provided the opportunity to implement significant development projects that would not have been possible within the state budget. The fund has played a crucial role in implementing several strategically important initiatives that strengthen the country's internal security at both national and international levels. A significant achievement is the implementation of the first program specifically aimed at developing the State Police operations. Several improvements have been implemented within the program: IT system development, strengthening the capacity of the Forensic Department, establishing modern training infrastructure, and acquiring specialized equipment. These investments have strengthened both local and international cooperation opportunities, promoting more effective </w:t>
      </w:r>
      <w:proofErr w:type="gramStart"/>
      <w:r w:rsidRPr="00F022FA">
        <w:rPr>
          <w:lang w:val="en-GB"/>
        </w:rPr>
        <w:t>crisis situation</w:t>
      </w:r>
      <w:proofErr w:type="gramEnd"/>
      <w:r w:rsidRPr="00F022FA">
        <w:rPr>
          <w:lang w:val="en-GB"/>
        </w:rPr>
        <w:t xml:space="preserve"> management.</w:t>
      </w:r>
    </w:p>
    <w:p w14:paraId="1DB3AE82" w14:textId="77777777" w:rsidR="002840E6" w:rsidRPr="00F022FA" w:rsidRDefault="002840E6" w:rsidP="002840E6">
      <w:pPr>
        <w:rPr>
          <w:lang w:val="en-GB"/>
        </w:rPr>
      </w:pPr>
      <w:r w:rsidRPr="00F022FA">
        <w:rPr>
          <w:lang w:val="en-GB"/>
        </w:rPr>
        <w:lastRenderedPageBreak/>
        <w:t>In parallel, the State Fire and Rescue Service, thanks to fund support, has significantly improved its CBRNE (chemical, biological, radiological, nuclear materials, and explosives) risk management capacity. The Service has supplemented its material and technical base with specialized vehicles and established the first specialized training ground in the service's history, including a multifunctional tactical house. This new infrastructure provides opportunities for developing practical skills, inter-institutional cooperation training, and strengthening operational readiness for effective CBRNE crisis resolution.</w:t>
      </w:r>
    </w:p>
    <w:p w14:paraId="64A85B6D" w14:textId="77777777" w:rsidR="00693CE2" w:rsidRPr="00E3512D" w:rsidRDefault="00693CE2" w:rsidP="00693CE2">
      <w:pPr>
        <w:rPr>
          <w:b/>
          <w:bCs/>
          <w:color w:val="600074" w:themeColor="accent6" w:themeShade="BF"/>
          <w:lang w:val="en-GB"/>
        </w:rPr>
      </w:pPr>
      <w:r w:rsidRPr="00E3512D">
        <w:rPr>
          <w:b/>
          <w:bCs/>
          <w:color w:val="600074" w:themeColor="accent6" w:themeShade="BF"/>
          <w:lang w:val="en-GB"/>
        </w:rPr>
        <w:t>SUSTAINABILITY</w:t>
      </w:r>
    </w:p>
    <w:p w14:paraId="29C863C1" w14:textId="7680BFB6" w:rsidR="00693CE2" w:rsidRPr="00693CE2" w:rsidRDefault="00693CE2" w:rsidP="00693CE2">
      <w:pPr>
        <w:rPr>
          <w:lang w:val="en-GB"/>
        </w:rPr>
      </w:pPr>
      <w:r w:rsidRPr="00693CE2">
        <w:rPr>
          <w:lang w:val="en-GB"/>
        </w:rPr>
        <w:t xml:space="preserve">The assessment of sustainability for projects supported by the </w:t>
      </w:r>
      <w:r w:rsidR="00C17A8B">
        <w:rPr>
          <w:lang w:val="en-GB"/>
        </w:rPr>
        <w:t>Home</w:t>
      </w:r>
      <w:r w:rsidRPr="00693CE2">
        <w:rPr>
          <w:lang w:val="en-GB"/>
        </w:rPr>
        <w:t xml:space="preserve"> Affairs Funds shows an overall positive trend in terms of result durability. Among funding recipients, the prevailing opinion is that the achieved results are rather sustainable, while a smaller portion of respondents evaluate them as very sustainable. Several factors are significant in the context of sustainability: ensuring project continuity between different planning periods, maintenance of material and technical resources after the formal completion of projects, as well as strengthening human resource capacity.</w:t>
      </w:r>
    </w:p>
    <w:p w14:paraId="07A79FF5" w14:textId="77777777" w:rsidR="00693CE2" w:rsidRPr="00693CE2" w:rsidRDefault="00693CE2" w:rsidP="00693CE2">
      <w:pPr>
        <w:rPr>
          <w:lang w:val="en-GB"/>
        </w:rPr>
      </w:pPr>
      <w:r w:rsidRPr="00693CE2">
        <w:rPr>
          <w:lang w:val="en-GB"/>
        </w:rPr>
        <w:t>A positively valued practice is when services initiated within projects become a permanent component of the system, subsequently financed from state budget resources. An example of this is the provision of medical services to asylum seekers, which was initiated within projects funded by the Asylum, Migration and Integration Fund, but later integrated into the permanent service structure.</w:t>
      </w:r>
    </w:p>
    <w:p w14:paraId="44B0405D" w14:textId="77777777" w:rsidR="00693CE2" w:rsidRPr="00693CE2" w:rsidRDefault="00693CE2" w:rsidP="00693CE2">
      <w:pPr>
        <w:rPr>
          <w:lang w:val="en-GB"/>
        </w:rPr>
      </w:pPr>
      <w:r w:rsidRPr="00693CE2">
        <w:rPr>
          <w:lang w:val="en-GB"/>
        </w:rPr>
        <w:t>Sustainability challenges are similar across all funds - insufficient financial resources for maintaining results and lack of human resources. Additional risks have been identified in specific areas: for IT systems, it is the rapid pace of technological development, which requires regular system adaptations and updates, while material and technical resources are characterized by the risk of depreciation. In the field of asylum, migration, and integration measures, a significant challenge is funding interruptions between planning periods, which threaten the continuity of integration services and support provided to asylum seekers.</w:t>
      </w:r>
    </w:p>
    <w:p w14:paraId="38A1F8C4" w14:textId="77777777" w:rsidR="00693CE2" w:rsidRPr="00693CE2" w:rsidRDefault="00693CE2" w:rsidP="00693CE2">
      <w:pPr>
        <w:rPr>
          <w:lang w:val="en-GB"/>
        </w:rPr>
      </w:pPr>
      <w:r w:rsidRPr="00693CE2">
        <w:rPr>
          <w:lang w:val="en-GB"/>
        </w:rPr>
        <w:t xml:space="preserve">Several mechanisms are used to promote sustainability, which are similar across all funds. These include requirements for planning sustainability measures already at the project application evaluation stage, as well as grant agreement conditions that prohibit the transfer of resources acquired within the project to third parties for a specific </w:t>
      </w:r>
      <w:proofErr w:type="gramStart"/>
      <w:r w:rsidRPr="00693CE2">
        <w:rPr>
          <w:lang w:val="en-GB"/>
        </w:rPr>
        <w:t>period of time</w:t>
      </w:r>
      <w:proofErr w:type="gramEnd"/>
      <w:r w:rsidRPr="00693CE2">
        <w:rPr>
          <w:lang w:val="en-GB"/>
        </w:rPr>
        <w:t>. These periods are differentiated depending on the type of resource: 3 years for ICT equipment, 5 years for other technical equipment, and 10 years for buildings and real estate. However, additional checks after the end of project implementation are not carried out, relying on the responsibility of funding recipients to comply with the requirements included in grant agreements.</w:t>
      </w:r>
    </w:p>
    <w:p w14:paraId="2F1E05BB" w14:textId="0FD18F75" w:rsidR="00693CE2" w:rsidRDefault="00693CE2" w:rsidP="002840E6">
      <w:pPr>
        <w:rPr>
          <w:lang w:val="en-GB"/>
        </w:rPr>
      </w:pPr>
      <w:r w:rsidRPr="00693CE2">
        <w:rPr>
          <w:lang w:val="en-GB"/>
        </w:rPr>
        <w:t>Different funds are characterized by different sustainability challenges - in the field of asylum and integration, service continuity and funding succession are critically important, whereas in Internal Security Fund projects, the main challenges are the risk of technology obsolescence and the availability of human resources with specific knowledge. A positive aspect is the use of funding from the 2021-2027 planning period for further development and expansion of previously achieved results, thus strengthening the sustainability of previously achieved results and projects.</w:t>
      </w:r>
    </w:p>
    <w:p w14:paraId="240645DB" w14:textId="77777777" w:rsidR="00A83D6F" w:rsidRPr="00C17A8B" w:rsidRDefault="00A83D6F" w:rsidP="00A83D6F">
      <w:pPr>
        <w:rPr>
          <w:b/>
          <w:bCs/>
          <w:color w:val="600074" w:themeColor="accent6" w:themeShade="BF"/>
          <w:lang w:val="en-GB"/>
        </w:rPr>
      </w:pPr>
      <w:r w:rsidRPr="00C17A8B">
        <w:rPr>
          <w:b/>
          <w:bCs/>
          <w:color w:val="600074" w:themeColor="accent6" w:themeShade="BF"/>
          <w:lang w:val="en-GB"/>
        </w:rPr>
        <w:t>SIMPLIFICATION AND REDUCTION OF ADMINISTRATIVE BURDEN</w:t>
      </w:r>
    </w:p>
    <w:p w14:paraId="1FB2A240" w14:textId="77777777" w:rsidR="00A83D6F" w:rsidRPr="00F022FA" w:rsidRDefault="00A83D6F" w:rsidP="00A83D6F">
      <w:pPr>
        <w:rPr>
          <w:lang w:val="en-GB"/>
        </w:rPr>
      </w:pPr>
      <w:r w:rsidRPr="00F022FA">
        <w:rPr>
          <w:lang w:val="en-GB"/>
        </w:rPr>
        <w:t>In the 2014-2020 planning period, several measures were implemented to reduce the administrative burden of Home Affairs funds programs. Among the most significant improvements were the transition to electronic document circulation and the introduction of a more flexible approach to project amendments. Efficiency was also enhanced by the newly introduced possibility to pre-coordinate report content with supervisory authorities, which resulted in faster processing.</w:t>
      </w:r>
    </w:p>
    <w:p w14:paraId="230733DD" w14:textId="77777777" w:rsidR="00A83D6F" w:rsidRPr="00F022FA" w:rsidRDefault="00A83D6F" w:rsidP="00A83D6F">
      <w:pPr>
        <w:rPr>
          <w:lang w:val="en-GB"/>
        </w:rPr>
      </w:pPr>
      <w:r w:rsidRPr="00F022FA">
        <w:rPr>
          <w:lang w:val="en-GB"/>
        </w:rPr>
        <w:t xml:space="preserve">At the strategic level, a significant improvement was provided by the introduction of multi-annual programs, which created prerequisites for more flexible and strategically oriented project planning. This approach </w:t>
      </w:r>
      <w:r w:rsidRPr="00F022FA">
        <w:rPr>
          <w:lang w:val="en-GB"/>
        </w:rPr>
        <w:lastRenderedPageBreak/>
        <w:t>allowed for the implementation of projects over a longer term with broader impact. Despite these positive aspects, it should be noted that in the 2014-2020 planning period, no significant innovations were identified that would radically simplify administrative processes for funding recipients.</w:t>
      </w:r>
    </w:p>
    <w:p w14:paraId="665D6B1E" w14:textId="77777777" w:rsidR="00A83D6F" w:rsidRPr="00F022FA" w:rsidRDefault="00A83D6F" w:rsidP="00A83D6F">
      <w:pPr>
        <w:rPr>
          <w:lang w:val="en-GB"/>
        </w:rPr>
      </w:pPr>
      <w:r w:rsidRPr="00F022FA">
        <w:rPr>
          <w:lang w:val="en-GB"/>
        </w:rPr>
        <w:t>Compared to the previous 2014-2020 planning period, the current 2021-2027 planning period shows even more significant improvements in reducing administrative burden. Among these are several mutually complementary measures: the introduction of more flexible procedures for project amendments, reducing requirements for the volume of supporting documentation, as well as the creation of a unified electronic platform for document uploading. Consultation opportunities with supervisory authorities have also been expanded, helping funding recipients avoid procedural errors. However, within the Asylum, Migration and Integration Fund, an increase in administrative burden has been observed in projects supervised by the delegated authority. This is related to the introduction of simplified cost procedures which, contrary to the initial goal, have created additional administrative requirements. This situation indicates the need to carefully evaluate each administrative burden reduction initiative by analyzing its actual impact on the effectiveness of project implementation.</w:t>
      </w:r>
    </w:p>
    <w:p w14:paraId="31D1D31A" w14:textId="77777777" w:rsidR="0061765C" w:rsidRPr="00C17A8B" w:rsidRDefault="0061765C" w:rsidP="0061765C">
      <w:pPr>
        <w:rPr>
          <w:b/>
          <w:bCs/>
          <w:color w:val="600074" w:themeColor="accent6" w:themeShade="BF"/>
          <w:lang w:val="en-GB"/>
        </w:rPr>
      </w:pPr>
      <w:r w:rsidRPr="00C17A8B">
        <w:rPr>
          <w:b/>
          <w:bCs/>
          <w:color w:val="600074" w:themeColor="accent6" w:themeShade="BF"/>
          <w:lang w:val="en-GB"/>
        </w:rPr>
        <w:t>CONCLUSIONS AND KEY FINDINGS</w:t>
      </w:r>
    </w:p>
    <w:p w14:paraId="599C599F" w14:textId="77777777" w:rsidR="0061765C" w:rsidRPr="00F022FA" w:rsidRDefault="0061765C" w:rsidP="0061765C">
      <w:pPr>
        <w:rPr>
          <w:lang w:val="en-GB"/>
        </w:rPr>
      </w:pPr>
      <w:r w:rsidRPr="00C17A8B">
        <w:rPr>
          <w:b/>
          <w:bCs/>
          <w:lang w:val="en-GB"/>
        </w:rPr>
        <w:t>The Asylum, Migration and Integration Fund</w:t>
      </w:r>
      <w:r w:rsidRPr="00F022FA">
        <w:rPr>
          <w:lang w:val="en-GB"/>
        </w:rPr>
        <w:t xml:space="preserve"> program implementation results show high effectiveness, which is manifested in both quantitative and qualitative indicators. Within the fund, 62 projects were implemented with an excellent funding absorption level, reaching 92% of the available funding. These projects have successfully contributed to strengthening the asylum system, implementing support measures for legal migration, and improving the integration processes of third-country nationals in Latvian society. Among the most significant achievements are the improvement of the asylum system, the introduction of the "one-stop agency" principle in the field of integration service provision, as well as providing coordinated support for voluntary return measures.</w:t>
      </w:r>
    </w:p>
    <w:p w14:paraId="5E27060C" w14:textId="77777777" w:rsidR="0061765C" w:rsidRPr="00F022FA" w:rsidRDefault="0061765C" w:rsidP="0061765C">
      <w:pPr>
        <w:rPr>
          <w:lang w:val="en-GB"/>
        </w:rPr>
      </w:pPr>
      <w:r w:rsidRPr="00F022FA">
        <w:rPr>
          <w:lang w:val="en-GB"/>
        </w:rPr>
        <w:t>The importance of European Union financial support in this context was crucial. The evaluation results indicate that without this support, Latvia would have faced serious difficulties in implementing the European Union's common policy in the field of asylum and migration management. The fund's resources have served as an effective catalyst for systemic changes and strengthening institutional capacity, especially in the context of several external challenges - the 2015 European migration crisis, the increased migration pressure on the Latvia-Belarus border, as well as the mass flow of Ukrainian refugees.</w:t>
      </w:r>
    </w:p>
    <w:p w14:paraId="1A1FD9AC" w14:textId="77777777" w:rsidR="0061765C" w:rsidRPr="00F022FA" w:rsidRDefault="0061765C" w:rsidP="0061765C">
      <w:pPr>
        <w:rPr>
          <w:lang w:val="en-GB"/>
        </w:rPr>
      </w:pPr>
      <w:r w:rsidRPr="00F022FA">
        <w:rPr>
          <w:lang w:val="en-GB"/>
        </w:rPr>
        <w:t xml:space="preserve">At the same time, it should be emphasized that to ensure the sustainability of the implemented measures, especially in the field of asylum and integration, it is critically important to maintain the continuity of available financial support. The research results indicate that funding interruptions between planning periods can significantly threaten the sustainability of the achieved results and the functionality of the </w:t>
      </w:r>
      <w:proofErr w:type="gramStart"/>
      <w:r w:rsidRPr="00F022FA">
        <w:rPr>
          <w:lang w:val="en-GB"/>
        </w:rPr>
        <w:t>system as a whole</w:t>
      </w:r>
      <w:proofErr w:type="gramEnd"/>
      <w:r w:rsidRPr="00F022FA">
        <w:rPr>
          <w:lang w:val="en-GB"/>
        </w:rPr>
        <w:t>. Therefore, in future planning periods, special attention should be paid to the management of transition phases and ensuring funding continuity to maintain and develop the established institutional structures and service systems.</w:t>
      </w:r>
    </w:p>
    <w:p w14:paraId="52EE50C2" w14:textId="77777777" w:rsidR="0061765C" w:rsidRPr="00F022FA" w:rsidRDefault="0061765C" w:rsidP="0061765C">
      <w:pPr>
        <w:rPr>
          <w:lang w:val="en-GB"/>
        </w:rPr>
      </w:pPr>
      <w:r w:rsidRPr="00C17A8B">
        <w:rPr>
          <w:b/>
          <w:bCs/>
          <w:lang w:val="en-GB"/>
        </w:rPr>
        <w:t>The Internal Security Fund's financial support instrument for external borders and visas</w:t>
      </w:r>
      <w:r w:rsidRPr="00F022FA">
        <w:rPr>
          <w:lang w:val="en-GB"/>
        </w:rPr>
        <w:t xml:space="preserve"> implemented 24 projects with 76% funding absorption. These projects primarily focused on two significant priorities - the implementation of the common European Union visa policy and the improvement of the integrated border management system.</w:t>
      </w:r>
    </w:p>
    <w:p w14:paraId="1B9D01F0" w14:textId="77777777" w:rsidR="0061765C" w:rsidRPr="00F022FA" w:rsidRDefault="0061765C" w:rsidP="0061765C">
      <w:pPr>
        <w:rPr>
          <w:lang w:val="en-GB"/>
        </w:rPr>
      </w:pPr>
      <w:r w:rsidRPr="00F022FA">
        <w:rPr>
          <w:lang w:val="en-GB"/>
        </w:rPr>
        <w:t xml:space="preserve">Among the most significant achievements is the improved data exchange system between European Union member states, which provides more operational and accurate information flow in the context of border management. Similarly, the functionality of the State Border Guard's border control system has been </w:t>
      </w:r>
      <w:proofErr w:type="gramStart"/>
      <w:r w:rsidRPr="00F022FA">
        <w:rPr>
          <w:lang w:val="en-GB"/>
        </w:rPr>
        <w:t>improved</w:t>
      </w:r>
      <w:proofErr w:type="gramEnd"/>
      <w:r w:rsidRPr="00F022FA">
        <w:rPr>
          <w:lang w:val="en-GB"/>
        </w:rPr>
        <w:t xml:space="preserve"> and the modernization of information technology systems has been implemented.</w:t>
      </w:r>
    </w:p>
    <w:p w14:paraId="71601765" w14:textId="77777777" w:rsidR="0061765C" w:rsidRPr="00F022FA" w:rsidRDefault="0061765C" w:rsidP="0061765C">
      <w:pPr>
        <w:rPr>
          <w:lang w:val="en-GB"/>
        </w:rPr>
      </w:pPr>
      <w:r w:rsidRPr="00F022FA">
        <w:rPr>
          <w:lang w:val="en-GB"/>
        </w:rPr>
        <w:lastRenderedPageBreak/>
        <w:t>During the implementation of projects, several challenges were identified that hindered the implementation of planned activities. Among the most significant obstacles were delays in the development of European Union central information systems and the complexity of procurement procedures.</w:t>
      </w:r>
    </w:p>
    <w:p w14:paraId="0E6E7B46" w14:textId="77777777" w:rsidR="0061765C" w:rsidRPr="00F022FA" w:rsidRDefault="0061765C" w:rsidP="0061765C">
      <w:pPr>
        <w:rPr>
          <w:lang w:val="en-GB"/>
        </w:rPr>
      </w:pPr>
      <w:r w:rsidRPr="00F022FA">
        <w:rPr>
          <w:lang w:val="en-GB"/>
        </w:rPr>
        <w:t xml:space="preserve">European Union financial support in this field is assessed as critically important in the context of strengthening Latvia's external border security, as without </w:t>
      </w:r>
      <w:proofErr w:type="gramStart"/>
      <w:r w:rsidRPr="00F022FA">
        <w:rPr>
          <w:lang w:val="en-GB"/>
        </w:rPr>
        <w:t>it</w:t>
      </w:r>
      <w:proofErr w:type="gramEnd"/>
      <w:r w:rsidRPr="00F022FA">
        <w:rPr>
          <w:lang w:val="en-GB"/>
        </w:rPr>
        <w:t xml:space="preserve"> Latvia would not have been able to implement extensive and technologically complex projects necessary for ensuring border management.</w:t>
      </w:r>
    </w:p>
    <w:p w14:paraId="3F7BF064" w14:textId="77777777" w:rsidR="0061765C" w:rsidRPr="00F022FA" w:rsidRDefault="0061765C" w:rsidP="0061765C">
      <w:pPr>
        <w:rPr>
          <w:lang w:val="en-GB"/>
        </w:rPr>
      </w:pPr>
      <w:r w:rsidRPr="00F022FA">
        <w:rPr>
          <w:lang w:val="en-GB"/>
        </w:rPr>
        <w:t xml:space="preserve">Looking at </w:t>
      </w:r>
      <w:proofErr w:type="gramStart"/>
      <w:r w:rsidRPr="00F022FA">
        <w:rPr>
          <w:lang w:val="en-GB"/>
        </w:rPr>
        <w:t>future prospects</w:t>
      </w:r>
      <w:proofErr w:type="gramEnd"/>
      <w:r w:rsidRPr="00F022FA">
        <w:rPr>
          <w:lang w:val="en-GB"/>
        </w:rPr>
        <w:t>, based on current geopolitical changes in the region and the rapid pace of technological development in the field of border control, it is predictable that the importance of European Union funds in strengthening external border management will continue to grow. This trend is determined by two interrelated factors: the stable upward dynamics of industry needs, which is reinforced by both the increasing complexity of security challenges and the pace of technological solution development, and at the same time limited state budget resources, which are not sufficient to fully meet these growing needs without additional funding sources.</w:t>
      </w:r>
    </w:p>
    <w:p w14:paraId="72320957" w14:textId="6CCF8107" w:rsidR="00BC4ECB" w:rsidRPr="00F022FA" w:rsidRDefault="00BC4ECB" w:rsidP="00BC4ECB">
      <w:pPr>
        <w:rPr>
          <w:lang w:val="en-GB"/>
        </w:rPr>
      </w:pPr>
      <w:r w:rsidRPr="00F022FA">
        <w:rPr>
          <w:b/>
          <w:bCs/>
          <w:lang w:val="en-GB"/>
        </w:rPr>
        <w:t>The Internal Security Fund's financial support instrument for police cooperation, preventin</w:t>
      </w:r>
      <w:r w:rsidR="00C17A8B">
        <w:rPr>
          <w:b/>
          <w:bCs/>
          <w:lang w:val="en-GB"/>
        </w:rPr>
        <w:t>g</w:t>
      </w:r>
      <w:r w:rsidRPr="00F022FA">
        <w:rPr>
          <w:b/>
          <w:bCs/>
          <w:lang w:val="en-GB"/>
        </w:rPr>
        <w:t xml:space="preserve"> and combat</w:t>
      </w:r>
      <w:r w:rsidR="00C17A8B">
        <w:rPr>
          <w:b/>
          <w:bCs/>
          <w:lang w:val="en-GB"/>
        </w:rPr>
        <w:t>ing</w:t>
      </w:r>
      <w:r w:rsidR="00C17A8B" w:rsidRPr="00C17A8B">
        <w:rPr>
          <w:b/>
          <w:bCs/>
          <w:lang w:val="en-GB"/>
        </w:rPr>
        <w:t xml:space="preserve"> </w:t>
      </w:r>
      <w:r w:rsidR="00C17A8B" w:rsidRPr="00F022FA">
        <w:rPr>
          <w:b/>
          <w:bCs/>
          <w:lang w:val="en-GB"/>
        </w:rPr>
        <w:t>crime</w:t>
      </w:r>
      <w:r w:rsidRPr="00F022FA">
        <w:rPr>
          <w:b/>
          <w:bCs/>
          <w:lang w:val="en-GB"/>
        </w:rPr>
        <w:t>, and crisis management</w:t>
      </w:r>
      <w:r w:rsidRPr="00F022FA">
        <w:rPr>
          <w:lang w:val="en-GB"/>
        </w:rPr>
        <w:t xml:space="preserve"> implemented 11 projects with an excellent funding absorption indicator, achieving almost complete (99%) use of the available funding. These projects were focused on crime prevention measures, development of counter-terrorism capabilities, and improvement of crisis management mechanisms.</w:t>
      </w:r>
    </w:p>
    <w:p w14:paraId="049D485E" w14:textId="77777777" w:rsidR="00BC4ECB" w:rsidRPr="00F022FA" w:rsidRDefault="00BC4ECB" w:rsidP="00BC4ECB">
      <w:pPr>
        <w:rPr>
          <w:lang w:val="en-GB"/>
        </w:rPr>
      </w:pPr>
      <w:r w:rsidRPr="00F022FA">
        <w:rPr>
          <w:lang w:val="en-GB"/>
        </w:rPr>
        <w:t>Among the most significant achievements, several improvements should be highlighted. Projects implemented in the field of forensic examinations have significantly increased the quality and efficiency of investigation processes, providing a modern technological base for evidence collection and analysis. The enhancement of cybercrime combating capabilities has also made a significant contribution to strengthening the capacity of Latvia's law enforcement institutions in the fight against increasing cybercrimes. Significant results have been achieved in improving response capabilities to chemical, biological, radiological, nuclear and explosive (CBRNE) threats, as well as strengthening the operational capacity of counter-terrorism units.</w:t>
      </w:r>
    </w:p>
    <w:p w14:paraId="20EDF812" w14:textId="77777777" w:rsidR="00BC4ECB" w:rsidRPr="00F022FA" w:rsidRDefault="00BC4ECB" w:rsidP="00BC4ECB">
      <w:pPr>
        <w:rPr>
          <w:lang w:val="en-GB"/>
        </w:rPr>
      </w:pPr>
      <w:r w:rsidRPr="00F022FA">
        <w:rPr>
          <w:lang w:val="en-GB"/>
        </w:rPr>
        <w:t xml:space="preserve">The implementation of projects was influenced by geopolitical changes in the region, especially the war started by Russia in Ukraine. These external environment changes created both additional challenges for project implementation </w:t>
      </w:r>
      <w:proofErr w:type="gramStart"/>
      <w:r w:rsidRPr="00F022FA">
        <w:rPr>
          <w:lang w:val="en-GB"/>
        </w:rPr>
        <w:t>and also</w:t>
      </w:r>
      <w:proofErr w:type="gramEnd"/>
      <w:r w:rsidRPr="00F022FA">
        <w:rPr>
          <w:lang w:val="en-GB"/>
        </w:rPr>
        <w:t xml:space="preserve"> highlighted the need for accelerated strengthening of security capabilities, adapting to new threats and risk scenarios.</w:t>
      </w:r>
    </w:p>
    <w:p w14:paraId="64528DAC" w14:textId="77777777" w:rsidR="00BC4ECB" w:rsidRPr="00F022FA" w:rsidRDefault="00BC4ECB" w:rsidP="00BC4ECB">
      <w:pPr>
        <w:rPr>
          <w:lang w:val="en-GB"/>
        </w:rPr>
      </w:pPr>
      <w:r w:rsidRPr="00F022FA">
        <w:rPr>
          <w:lang w:val="en-GB"/>
        </w:rPr>
        <w:t>European Union fund financing has been a significant factor in the modernization process of Latvia's internal security sector. Particularly significant support was provided in the development of State Police IT systems, the establishment of modern training infrastructure, as well as strengthening the capacity of the Forensic Department.</w:t>
      </w:r>
    </w:p>
    <w:p w14:paraId="13403AF4" w14:textId="2CAD5A82" w:rsidR="00624EBC" w:rsidRPr="00F022FA" w:rsidRDefault="00BC4ECB" w:rsidP="00D65DF0">
      <w:pPr>
        <w:rPr>
          <w:lang w:val="en-GB"/>
        </w:rPr>
      </w:pPr>
      <w:r w:rsidRPr="00F022FA">
        <w:rPr>
          <w:lang w:val="en-GB"/>
        </w:rPr>
        <w:t>The evaluation results demonstrate that without the European Union's targeted financial support, the implementation of such volume and complexity projects would not be possible within the limited resources of the state budget. Furthermore, the analysis shows that a potential discontinuation of fund support in the future would create serious limitations for the further modernization process in security institutions, which in turn would negatively affect not only Latvia's national security but also the European Union's common security space, considering Latvia's geopolitical location and role in protecting the European Union's external border.</w:t>
      </w:r>
    </w:p>
    <w:p w14:paraId="57B602F5" w14:textId="77777777" w:rsidR="00D65DF0" w:rsidRPr="00F022FA" w:rsidRDefault="00D65DF0" w:rsidP="008A380B">
      <w:pPr>
        <w:rPr>
          <w:lang w:val="en-GB"/>
        </w:rPr>
      </w:pPr>
    </w:p>
    <w:p w14:paraId="4491E71F" w14:textId="5F4DEF88" w:rsidR="00BA7951" w:rsidRPr="008F64A0" w:rsidRDefault="00BA7951" w:rsidP="008A380B">
      <w:r w:rsidRPr="008A380B">
        <w:br w:type="page"/>
      </w:r>
    </w:p>
    <w:p w14:paraId="5D696E74" w14:textId="06BC2E62" w:rsidR="00F1233E" w:rsidRPr="008F64A0" w:rsidRDefault="00D00BA0" w:rsidP="003C3B13">
      <w:pPr>
        <w:pStyle w:val="Virsraksts1"/>
      </w:pPr>
      <w:bookmarkStart w:id="10" w:name="_Toc193371300"/>
      <w:r w:rsidRPr="008F64A0">
        <w:lastRenderedPageBreak/>
        <w:t>IEVADS</w:t>
      </w:r>
      <w:bookmarkEnd w:id="10"/>
    </w:p>
    <w:p w14:paraId="5B8E52D4" w14:textId="65DDA327" w:rsidR="00DC21FE" w:rsidRPr="00DC21FE" w:rsidRDefault="00533873" w:rsidP="00CB5406">
      <w:r w:rsidRPr="0055514D">
        <w:t>Eiropas Savienības (turpmāk – ES) Iekšlietu fondu – Patvēruma, migrācijas un integrācijas fonda un Iekšējās drošības fonda</w:t>
      </w:r>
      <w:r w:rsidR="00B56522">
        <w:rPr>
          <w:rStyle w:val="Vresatsauce"/>
        </w:rPr>
        <w:footnoteReference w:id="2"/>
      </w:r>
      <w:r w:rsidR="00B56522">
        <w:t xml:space="preserve"> —</w:t>
      </w:r>
      <w:r w:rsidRPr="0055514D">
        <w:t xml:space="preserve"> 2014.-2020. gada plānošanas perioda nacionālo programmu</w:t>
      </w:r>
      <w:r w:rsidR="00DC21FE">
        <w:t xml:space="preserve"> (turpmāk — Iekšlietu fondu programmas)</w:t>
      </w:r>
      <w:r w:rsidRPr="0055514D">
        <w:t xml:space="preserve"> pēcpārbaudes ietekmes (</w:t>
      </w:r>
      <w:r w:rsidRPr="0055514D">
        <w:rPr>
          <w:i/>
        </w:rPr>
        <w:t>ex-post</w:t>
      </w:r>
      <w:r w:rsidRPr="0055514D">
        <w:t>) izvērtējum</w:t>
      </w:r>
      <w:r>
        <w:t>s tika veikt</w:t>
      </w:r>
      <w:r w:rsidR="00F86C8E">
        <w:t>s</w:t>
      </w:r>
      <w:r>
        <w:t xml:space="preserve"> a</w:t>
      </w:r>
      <w:r w:rsidR="009951BD">
        <w:t xml:space="preserve">tbilstoši 03.01.2025. noslēgtajam pakalpojuma līgumam </w:t>
      </w:r>
      <w:r w:rsidR="00386D59">
        <w:t>starp Iekšlietu ministriju un SIA “Civitta Latvija”</w:t>
      </w:r>
      <w:r>
        <w:t xml:space="preserve">. </w:t>
      </w:r>
      <w:r w:rsidR="00DC21FE" w:rsidRPr="00DC21FE">
        <w:t>Izvērtējuma mērķi</w:t>
      </w:r>
      <w:r w:rsidR="00DC21FE">
        <w:t xml:space="preserve"> </w:t>
      </w:r>
      <w:r w:rsidR="00DC21FE" w:rsidRPr="00DC21FE">
        <w:t>ir</w:t>
      </w:r>
      <w:r w:rsidR="00DC21FE">
        <w:t xml:space="preserve"> sekojoši</w:t>
      </w:r>
      <w:r w:rsidR="00DC21FE" w:rsidRPr="00DC21FE">
        <w:t>:</w:t>
      </w:r>
      <w:r w:rsidR="00DC21FE" w:rsidRPr="00DC21FE">
        <w:rPr>
          <w:lang w:val="en-US"/>
        </w:rPr>
        <w:t> </w:t>
      </w:r>
    </w:p>
    <w:p w14:paraId="7E0C840D" w14:textId="20E850B2" w:rsidR="00DC21FE" w:rsidRPr="00DC21FE" w:rsidRDefault="00DC21FE" w:rsidP="00F86C8E">
      <w:pPr>
        <w:numPr>
          <w:ilvl w:val="0"/>
          <w:numId w:val="36"/>
        </w:numPr>
        <w:spacing w:before="0" w:after="0" w:line="259" w:lineRule="auto"/>
        <w:rPr>
          <w:lang w:val="en-US"/>
        </w:rPr>
      </w:pPr>
      <w:r w:rsidRPr="00DC21FE">
        <w:t xml:space="preserve">izvērtēt </w:t>
      </w:r>
      <w:r w:rsidR="00383498">
        <w:t>Iekšlietu f</w:t>
      </w:r>
      <w:r w:rsidRPr="00DC21FE">
        <w:t>ondu</w:t>
      </w:r>
      <w:r w:rsidR="00383498">
        <w:t xml:space="preserve"> </w:t>
      </w:r>
      <w:r w:rsidRPr="00DC21FE">
        <w:t>programmu darbību ietekmes atbilstību efektivitātes, lietderīguma, atbilstības, saskanības, papildināmības, ES pievienotās vērtības, ilgtspējības un administratīvā sloga vienkāršošanas un samazināšanas vērtēšanas kritērijiem</w:t>
      </w:r>
      <w:r w:rsidR="00383498">
        <w:rPr>
          <w:rStyle w:val="Vresatsauce"/>
        </w:rPr>
        <w:footnoteReference w:id="3"/>
      </w:r>
      <w:r w:rsidR="00A27E89">
        <w:t>.</w:t>
      </w:r>
      <w:r w:rsidRPr="00DC21FE">
        <w:rPr>
          <w:lang w:val="en-US"/>
        </w:rPr>
        <w:t> </w:t>
      </w:r>
    </w:p>
    <w:p w14:paraId="4132DC49" w14:textId="0B6C7A7C" w:rsidR="00DC21FE" w:rsidRPr="00DC21FE" w:rsidRDefault="00DC21FE" w:rsidP="00F86C8E">
      <w:pPr>
        <w:numPr>
          <w:ilvl w:val="0"/>
          <w:numId w:val="37"/>
        </w:numPr>
        <w:spacing w:before="0" w:after="0" w:line="259" w:lineRule="auto"/>
        <w:rPr>
          <w:lang w:val="en-US"/>
        </w:rPr>
      </w:pPr>
      <w:r w:rsidRPr="00DC21FE">
        <w:t xml:space="preserve">pārbaudīt, cik lielā mērā </w:t>
      </w:r>
      <w:r w:rsidR="00383498">
        <w:t>Iekšlietu f</w:t>
      </w:r>
      <w:r w:rsidR="00383498" w:rsidRPr="00DC21FE">
        <w:t>ondu</w:t>
      </w:r>
      <w:r w:rsidR="00383498">
        <w:t xml:space="preserve"> </w:t>
      </w:r>
      <w:r w:rsidR="00383498" w:rsidRPr="00DC21FE">
        <w:t>programm</w:t>
      </w:r>
      <w:r w:rsidR="00383498">
        <w:t>a</w:t>
      </w:r>
      <w:r w:rsidRPr="00DC21FE">
        <w:t>s ir veicinājušas pārmaiņas un Fondos noteikto mērķu sasniegšan</w:t>
      </w:r>
      <w:r w:rsidR="004B5910">
        <w:t>u</w:t>
      </w:r>
      <w:r w:rsidR="00A27E89">
        <w:t>.</w:t>
      </w:r>
      <w:r w:rsidRPr="00DC21FE">
        <w:rPr>
          <w:lang w:val="en-US"/>
        </w:rPr>
        <w:t> </w:t>
      </w:r>
    </w:p>
    <w:p w14:paraId="5739B635" w14:textId="5BA394E7" w:rsidR="00DC21FE" w:rsidRPr="00DC21FE" w:rsidRDefault="00DC21FE" w:rsidP="00F86C8E">
      <w:pPr>
        <w:numPr>
          <w:ilvl w:val="0"/>
          <w:numId w:val="38"/>
        </w:numPr>
        <w:spacing w:before="0" w:after="0" w:line="259" w:lineRule="auto"/>
        <w:rPr>
          <w:lang w:val="en-US"/>
        </w:rPr>
      </w:pPr>
      <w:r w:rsidRPr="00DC21FE">
        <w:t>izveidot sinerģiju (papildināmību) ar ES Iekšlietu fondu 2021.-2027. gada plānošanas perioda programmu vidusposma izvērtējumu</w:t>
      </w:r>
      <w:r w:rsidR="00A27E89">
        <w:t>.</w:t>
      </w:r>
    </w:p>
    <w:p w14:paraId="5C0FF95A" w14:textId="3D3895AA" w:rsidR="00DC21FE" w:rsidRDefault="00DC21FE" w:rsidP="00712B6F">
      <w:pPr>
        <w:numPr>
          <w:ilvl w:val="0"/>
          <w:numId w:val="39"/>
        </w:numPr>
        <w:spacing w:before="0" w:line="259" w:lineRule="auto"/>
        <w:ind w:left="714" w:hanging="357"/>
        <w:rPr>
          <w:lang w:val="en-US"/>
        </w:rPr>
      </w:pPr>
      <w:r w:rsidRPr="00DC21FE">
        <w:t xml:space="preserve">informēt ES politikas ciklu par to, kas </w:t>
      </w:r>
      <w:r w:rsidR="00E8620B">
        <w:t>Iekšlietu fondu p</w:t>
      </w:r>
      <w:r w:rsidRPr="00DC21FE">
        <w:t>rogrammu ietvaros ir ieviests/nav ieviests veiksmīgi, saskaņā ar plānoto. </w:t>
      </w:r>
      <w:r w:rsidRPr="00DC21FE">
        <w:rPr>
          <w:lang w:val="en-US"/>
        </w:rPr>
        <w:t> </w:t>
      </w:r>
    </w:p>
    <w:p w14:paraId="0FC95270" w14:textId="77777777" w:rsidR="00CB5406" w:rsidRPr="00CB5406" w:rsidRDefault="001C1ED6" w:rsidP="00CB5406">
      <w:r w:rsidRPr="00CB5406">
        <w:t>SIA “Civitta Latvija”</w:t>
      </w:r>
      <w:r w:rsidR="00712B6F" w:rsidRPr="00CB5406">
        <w:t xml:space="preserve"> ir neatkarīgs, publiskā iepirkuma procedūras rezultātā izraudzīts </w:t>
      </w:r>
      <w:r w:rsidR="007C2C2E" w:rsidRPr="00CB5406">
        <w:t>pakalpojuma sniedzējs. Ne uzņēmums, ne izvērtējuma veikšanā iesaistītie eksperti nav bijuši iesaistīt Iekšlietu fondu programmu plānošana, uzraudzībā vai projektu īstenošanā.</w:t>
      </w:r>
    </w:p>
    <w:p w14:paraId="42826CFB" w14:textId="73ACC48C" w:rsidR="00D136E9" w:rsidRDefault="00BB74ED" w:rsidP="00CB5406">
      <w:r w:rsidRPr="00BB74ED">
        <w:t xml:space="preserve">Izvērtējumā tika izmantotas gan kvalitatīvās, gan kvantitatīvās pētniecības metodes, kas nodrošināja datu triangulāciju – vienas metodes ietvaros iegūtie dati tika papildināti ar citu metožu rezultātiem, sniedzot daudzpusīgu un padziļinātu izpratni par izvērtējuma kritērijiem un rezultātu </w:t>
      </w:r>
      <w:r w:rsidRPr="005E73C2">
        <w:t>sasniegšanu</w:t>
      </w:r>
      <w:r w:rsidR="00E254FF" w:rsidRPr="005E73C2">
        <w:t>.</w:t>
      </w:r>
      <w:r w:rsidR="00E254FF" w:rsidRPr="005E73C2">
        <w:rPr>
          <w:rFonts w:ascii="Calibri" w:eastAsia="Calibri" w:hAnsi="Calibri" w:cs="Calibri"/>
          <w:color w:val="000000"/>
          <w:vertAlign w:val="superscript"/>
        </w:rPr>
        <w:footnoteReference w:id="4"/>
      </w:r>
      <w:r w:rsidR="00242C2B" w:rsidRPr="005E73C2">
        <w:t xml:space="preserve"> </w:t>
      </w:r>
      <w:r w:rsidR="00967A57" w:rsidRPr="005E73C2">
        <w:t xml:space="preserve">Izvērtējuma veikšanai izmantotas </w:t>
      </w:r>
      <w:r w:rsidR="00242C2B" w:rsidRPr="005E73C2">
        <w:t>šādas</w:t>
      </w:r>
      <w:r w:rsidR="003070BE" w:rsidRPr="005E73C2">
        <w:t xml:space="preserve"> pētniecības metodes (detalizētu izmantoto metožu aprakstu skatīt </w:t>
      </w:r>
      <w:r w:rsidR="005E73C2" w:rsidRPr="005E73C2">
        <w:t xml:space="preserve">6. </w:t>
      </w:r>
      <w:r w:rsidR="003070BE" w:rsidRPr="005E73C2">
        <w:t>Pielikumā):</w:t>
      </w:r>
      <w:r w:rsidR="002D4C1E" w:rsidRPr="00337B08">
        <w:t xml:space="preserve"> </w:t>
      </w:r>
    </w:p>
    <w:p w14:paraId="068307B3" w14:textId="49AF009A" w:rsidR="002F299B" w:rsidRDefault="002F299B" w:rsidP="003070BE">
      <w:pPr>
        <w:pStyle w:val="Sarakstarindkopa"/>
        <w:numPr>
          <w:ilvl w:val="0"/>
          <w:numId w:val="40"/>
        </w:numPr>
        <w:spacing w:before="0" w:after="0" w:line="259" w:lineRule="auto"/>
      </w:pPr>
      <w:r w:rsidRPr="0092778C">
        <w:rPr>
          <w:b/>
          <w:bCs/>
          <w:color w:val="82009B" w:themeColor="accent6"/>
        </w:rPr>
        <w:t>Dokumentu analīze</w:t>
      </w:r>
      <w:r w:rsidRPr="0092778C">
        <w:rPr>
          <w:color w:val="82009B" w:themeColor="accent6"/>
        </w:rPr>
        <w:t xml:space="preserve"> </w:t>
      </w:r>
      <w:r w:rsidRPr="002F299B">
        <w:t>aptvēra normatīvos dokumentus un ar Iekšlietu fondu īstenošanu saistītos dokumentus. Šī analīze sniedza informāciju par fondu programmu mērķiem, īstenošanas ietvaru, ieviešanas progresu, kā arī par projektu mērķiem, aktivitātēm un sasniegtajiem rezultātiem.</w:t>
      </w:r>
    </w:p>
    <w:p w14:paraId="5CDDF5BF" w14:textId="263F5890" w:rsidR="00D33A2F" w:rsidRDefault="00003916" w:rsidP="003070BE">
      <w:pPr>
        <w:pStyle w:val="Sarakstarindkopa"/>
        <w:numPr>
          <w:ilvl w:val="0"/>
          <w:numId w:val="40"/>
        </w:numPr>
        <w:spacing w:before="0" w:after="0" w:line="259" w:lineRule="auto"/>
      </w:pPr>
      <w:r w:rsidRPr="0092778C">
        <w:rPr>
          <w:b/>
          <w:bCs/>
          <w:color w:val="82009B" w:themeColor="accent6"/>
        </w:rPr>
        <w:t>Zinātniski pētnieciskās un “pelēkās” literatūras analīze</w:t>
      </w:r>
      <w:r w:rsidR="00122D9F" w:rsidRPr="0092778C">
        <w:rPr>
          <w:color w:val="82009B" w:themeColor="accent6"/>
        </w:rPr>
        <w:t xml:space="preserve"> </w:t>
      </w:r>
      <w:r w:rsidR="0092778C" w:rsidRPr="0092778C">
        <w:t>ietvēra</w:t>
      </w:r>
      <w:r w:rsidR="0092778C">
        <w:t xml:space="preserve"> dažādus literatūras avotus un pētījumus, kā </w:t>
      </w:r>
      <w:r w:rsidR="00336DD7">
        <w:t>piemēram</w:t>
      </w:r>
      <w:r w:rsidR="0092778C">
        <w:t>,</w:t>
      </w:r>
      <w:r w:rsidR="0092778C" w:rsidRPr="0092778C">
        <w:t xml:space="preserve"> Iekšlietu fondu programmu vidusposma izvērtējumus un starptautiskus pētījumus par līdzīgu intervenču efektivitāti, piemēram, pētījumu par EUROSUR ieviešanas efektivitāti</w:t>
      </w:r>
      <w:r w:rsidR="0092778C" w:rsidRPr="0092778C">
        <w:rPr>
          <w:vertAlign w:val="superscript"/>
        </w:rPr>
        <w:t xml:space="preserve"> </w:t>
      </w:r>
      <w:r w:rsidR="00DA37C2">
        <w:rPr>
          <w:rStyle w:val="Vresatsauce"/>
        </w:rPr>
        <w:footnoteReference w:id="5"/>
      </w:r>
      <w:r w:rsidR="00DA37C2">
        <w:t>.</w:t>
      </w:r>
      <w:r w:rsidR="00CF26BF">
        <w:t xml:space="preserve"> </w:t>
      </w:r>
      <w:r w:rsidR="00E26A26">
        <w:t xml:space="preserve"> </w:t>
      </w:r>
      <w:r w:rsidR="0092778C">
        <w:t>Š</w:t>
      </w:r>
      <w:r w:rsidR="00EF5822">
        <w:t>o</w:t>
      </w:r>
      <w:r w:rsidR="0092778C">
        <w:t xml:space="preserve"> p</w:t>
      </w:r>
      <w:r w:rsidR="00E26A26">
        <w:t>ētījum</w:t>
      </w:r>
      <w:r w:rsidR="00EF5822">
        <w:t xml:space="preserve">u secinājumi </w:t>
      </w:r>
      <w:r w:rsidR="00E26A26">
        <w:t xml:space="preserve">ir integrēti </w:t>
      </w:r>
      <w:r w:rsidR="0092778C">
        <w:t xml:space="preserve"> kopējā analīzē, tai skaitā </w:t>
      </w:r>
      <w:r w:rsidR="00E26A26">
        <w:t>gadījum</w:t>
      </w:r>
      <w:r w:rsidR="006F7197">
        <w:t>u</w:t>
      </w:r>
      <w:r w:rsidR="00E26A26">
        <w:t xml:space="preserve"> izpē</w:t>
      </w:r>
      <w:r w:rsidR="006F7197">
        <w:t>tes</w:t>
      </w:r>
      <w:r w:rsidR="00E26A26">
        <w:t xml:space="preserve"> </w:t>
      </w:r>
      <w:r w:rsidR="00243558">
        <w:t>ietvaros</w:t>
      </w:r>
      <w:r w:rsidR="00E26A26">
        <w:t xml:space="preserve"> veiktajā </w:t>
      </w:r>
      <w:r w:rsidR="00F235A5">
        <w:t>IIA</w:t>
      </w:r>
      <w:r w:rsidR="00E26A26">
        <w:t xml:space="preserve">. </w:t>
      </w:r>
    </w:p>
    <w:p w14:paraId="46909A4C" w14:textId="39D3A851" w:rsidR="00CC3736" w:rsidRDefault="00593FF1" w:rsidP="003070BE">
      <w:pPr>
        <w:pStyle w:val="Sarakstarindkopa"/>
        <w:numPr>
          <w:ilvl w:val="0"/>
          <w:numId w:val="40"/>
        </w:numPr>
        <w:spacing w:before="0" w:after="0" w:line="259" w:lineRule="auto"/>
      </w:pPr>
      <w:r w:rsidRPr="005D7E19">
        <w:rPr>
          <w:b/>
          <w:bCs/>
          <w:color w:val="82009B" w:themeColor="accent6"/>
        </w:rPr>
        <w:t>Intervijas</w:t>
      </w:r>
      <w:r>
        <w:t xml:space="preserve"> tika veiktas ar finansējuma saņēmējiem</w:t>
      </w:r>
      <w:r w:rsidR="005B5ECE">
        <w:t xml:space="preserve">, </w:t>
      </w:r>
      <w:r w:rsidR="00CC3736">
        <w:t>atbildīgo iestādi, deleģēto iestādi</w:t>
      </w:r>
      <w:r w:rsidR="005B5ECE">
        <w:t xml:space="preserve"> un </w:t>
      </w:r>
      <w:r w:rsidR="00CC3736">
        <w:t>revīzijas iestādi</w:t>
      </w:r>
      <w:r w:rsidR="00533F02">
        <w:t xml:space="preserve">. </w:t>
      </w:r>
      <w:r w:rsidR="00C7382D">
        <w:t>Kopā bija 15 intervijas.</w:t>
      </w:r>
      <w:r w:rsidR="00533F02">
        <w:t xml:space="preserve"> </w:t>
      </w:r>
      <w:r w:rsidR="005D7E19" w:rsidRPr="005D7E19">
        <w:t>Intervijās tika iegūta kvalitatīva informācija par izvērtējuma kritērijiem, tostarp par plānoto rezultātu sasniegšanu</w:t>
      </w:r>
      <w:r w:rsidR="00927103">
        <w:t xml:space="preserve"> un ar to saistītajiem izaicinājumiem</w:t>
      </w:r>
      <w:r w:rsidR="005D7E19" w:rsidRPr="005D7E19">
        <w:t>, programmu atbilstību vajadzībām, administratīvajām prasībām, labajām praksēm, rezultātu ietekmi un ilgtspēju.</w:t>
      </w:r>
      <w:r w:rsidR="003851AC">
        <w:t xml:space="preserve"> </w:t>
      </w:r>
    </w:p>
    <w:p w14:paraId="0E960DC3" w14:textId="57C650D9" w:rsidR="00E26A26" w:rsidRDefault="006314C3" w:rsidP="003070BE">
      <w:pPr>
        <w:pStyle w:val="Sarakstarindkopa"/>
        <w:numPr>
          <w:ilvl w:val="0"/>
          <w:numId w:val="40"/>
        </w:numPr>
        <w:spacing w:before="0" w:after="0" w:line="259" w:lineRule="auto"/>
      </w:pPr>
      <w:r w:rsidRPr="009442DC">
        <w:rPr>
          <w:b/>
          <w:bCs/>
          <w:color w:val="82009B" w:themeColor="accent6"/>
        </w:rPr>
        <w:lastRenderedPageBreak/>
        <w:t>Fokusgrupas intervija</w:t>
      </w:r>
      <w:r w:rsidRPr="009442DC">
        <w:rPr>
          <w:color w:val="82009B" w:themeColor="accent6"/>
        </w:rPr>
        <w:t xml:space="preserve"> </w:t>
      </w:r>
      <w:r w:rsidR="009442DC" w:rsidRPr="009442DC">
        <w:t xml:space="preserve">tika organizēta ar abu fondu </w:t>
      </w:r>
      <w:r w:rsidR="00BD64B3">
        <w:t>UK</w:t>
      </w:r>
      <w:r w:rsidR="009442DC" w:rsidRPr="009442DC">
        <w:t xml:space="preserve"> pārstāvjiem. Tās laikā tika iegūta informācija par programmu īstenošanu, sasniegtajiem mērķiem un rezultātiem, to pievienoto vērtību un ilgtspējas potenciālu, kā arī saskaņotību un papildināmību ar citām ES programmām un nacionālajām iniciatīvām.</w:t>
      </w:r>
    </w:p>
    <w:p w14:paraId="349DACAE" w14:textId="72B7E849" w:rsidR="003F6536" w:rsidRDefault="003F6536" w:rsidP="003070BE">
      <w:pPr>
        <w:pStyle w:val="Sarakstarindkopa"/>
        <w:numPr>
          <w:ilvl w:val="0"/>
          <w:numId w:val="40"/>
        </w:numPr>
        <w:spacing w:before="0" w:after="0" w:line="259" w:lineRule="auto"/>
      </w:pPr>
      <w:r w:rsidRPr="009C0855">
        <w:rPr>
          <w:b/>
          <w:bCs/>
          <w:color w:val="82009B" w:themeColor="accent6"/>
        </w:rPr>
        <w:t>Fi</w:t>
      </w:r>
      <w:r w:rsidR="00835BFE" w:rsidRPr="009C0855">
        <w:rPr>
          <w:b/>
          <w:bCs/>
          <w:color w:val="82009B" w:themeColor="accent6"/>
        </w:rPr>
        <w:t>nansējuma saņēmēju aptauja</w:t>
      </w:r>
      <w:r w:rsidR="00835BFE" w:rsidRPr="009C0855">
        <w:rPr>
          <w:color w:val="82009B" w:themeColor="accent6"/>
        </w:rPr>
        <w:t xml:space="preserve"> </w:t>
      </w:r>
      <w:r w:rsidR="009C0855" w:rsidRPr="009C0855">
        <w:t>tika veikta, lai iegūtu kvantitatīvu pārskatu par finansējuma saņēmēju viedokli attiecībā uz projektu īstenošanu, sasniegtajiem rezultātiem, to pievienoto vērtību un ilgtspējas potenciālu. Aptaujā piedalījās 23 respondenti no 17 dažādām iestādēm</w:t>
      </w:r>
      <w:r w:rsidR="001F22D0">
        <w:t xml:space="preserve">. </w:t>
      </w:r>
      <w:r w:rsidR="009C0855" w:rsidRPr="009C0855">
        <w:t>Rezultāti tika analizēti, nodalot PMIF un IDF finansējuma saņēmēju sniegtās atbildes.</w:t>
      </w:r>
    </w:p>
    <w:p w14:paraId="09A46ED7" w14:textId="41E91746" w:rsidR="009C0855" w:rsidRDefault="009C0855" w:rsidP="003070BE">
      <w:pPr>
        <w:pStyle w:val="Sarakstarindkopa"/>
        <w:numPr>
          <w:ilvl w:val="0"/>
          <w:numId w:val="40"/>
        </w:numPr>
        <w:spacing w:before="0" w:after="0" w:line="259" w:lineRule="auto"/>
      </w:pPr>
      <w:r w:rsidRPr="009C0855">
        <w:rPr>
          <w:b/>
          <w:bCs/>
          <w:color w:val="82009B" w:themeColor="accent6"/>
        </w:rPr>
        <w:t>Ekspertu paneļi</w:t>
      </w:r>
      <w:r w:rsidRPr="009C0855">
        <w:rPr>
          <w:color w:val="82009B" w:themeColor="accent6"/>
        </w:rPr>
        <w:t xml:space="preserve"> </w:t>
      </w:r>
      <w:r w:rsidRPr="009C0855">
        <w:t xml:space="preserve">tika organizēti atsevišķi par IDF un PMIF jautājumiem, lai noskaidrotu jomas ekspertu un rezultātu izmantošanā iesaistīto iestāžu viedokli par </w:t>
      </w:r>
      <w:r>
        <w:t>Iekšlietu fondu programmu īstenošanas rezultātā</w:t>
      </w:r>
      <w:r w:rsidRPr="009C0855">
        <w:t xml:space="preserve"> novērotajām pārmaiņām un uzlabojumiem. </w:t>
      </w:r>
    </w:p>
    <w:p w14:paraId="043621E0" w14:textId="14571A74" w:rsidR="002344DA" w:rsidRDefault="002344DA" w:rsidP="003070BE">
      <w:pPr>
        <w:pStyle w:val="Sarakstarindkopa"/>
        <w:numPr>
          <w:ilvl w:val="0"/>
          <w:numId w:val="40"/>
        </w:numPr>
        <w:spacing w:before="0" w:after="0" w:line="259" w:lineRule="auto"/>
      </w:pPr>
      <w:r w:rsidRPr="002344DA">
        <w:rPr>
          <w:b/>
          <w:bCs/>
          <w:color w:val="82009B" w:themeColor="accent6"/>
        </w:rPr>
        <w:t>Gadījuma izpēte</w:t>
      </w:r>
      <w:r w:rsidRPr="002344DA">
        <w:rPr>
          <w:color w:val="82009B" w:themeColor="accent6"/>
        </w:rPr>
        <w:t xml:space="preserve"> </w:t>
      </w:r>
      <w:r w:rsidRPr="002344DA">
        <w:t>tika veiktas sešiem projektiem, padziļināti analizējot projektu mērķu un rezultātu sasniegšanu, izmantoto resursu efektivitāti un citus izvērtējuma kritērijos iekļautos aspektus.</w:t>
      </w:r>
      <w:r>
        <w:t xml:space="preserve"> Visiem gadījuma izpētē ietvertajiem projektiem </w:t>
      </w:r>
      <w:r w:rsidR="005F26DB">
        <w:t xml:space="preserve">tika veiktas intervijas ar finansējuma saņēmējiem un </w:t>
      </w:r>
      <w:r w:rsidR="00F235A5">
        <w:t>IIA</w:t>
      </w:r>
      <w:r>
        <w:t xml:space="preserve">. </w:t>
      </w:r>
    </w:p>
    <w:p w14:paraId="37D8CAD2" w14:textId="43429C4A" w:rsidR="00341DC1" w:rsidRDefault="00341DC1" w:rsidP="003070BE">
      <w:pPr>
        <w:pStyle w:val="Sarakstarindkopa"/>
        <w:numPr>
          <w:ilvl w:val="0"/>
          <w:numId w:val="40"/>
        </w:numPr>
        <w:spacing w:before="0" w:after="0" w:line="259" w:lineRule="auto"/>
      </w:pPr>
      <w:r w:rsidRPr="0051144E">
        <w:rPr>
          <w:b/>
          <w:bCs/>
          <w:color w:val="82009B" w:themeColor="accent6"/>
        </w:rPr>
        <w:t>Izmaksu-ieguvuma analīze</w:t>
      </w:r>
      <w:r w:rsidRPr="0051144E">
        <w:rPr>
          <w:color w:val="82009B" w:themeColor="accent6"/>
        </w:rPr>
        <w:t xml:space="preserve"> </w:t>
      </w:r>
      <w:r w:rsidR="0051144E" w:rsidRPr="0051144E">
        <w:t>tika īstenota gadījuma izpētē iekļautajiem projektiem, vērtējot, vai projektu ietvaros īstenotie pasākumi un ar to ieviešanu saistītie ieguldījumi ir radījuši monetārus ieguvumus, kas pārsnie</w:t>
      </w:r>
      <w:r w:rsidR="00CD2259">
        <w:t>gtu</w:t>
      </w:r>
      <w:r w:rsidR="0051144E" w:rsidRPr="0051144E">
        <w:t xml:space="preserve"> projektu izmaksas.</w:t>
      </w:r>
    </w:p>
    <w:p w14:paraId="0EF211AA" w14:textId="26DBF5A6" w:rsidR="00D949C2" w:rsidRDefault="00D949C2" w:rsidP="003070BE">
      <w:pPr>
        <w:pStyle w:val="Sarakstarindkopa"/>
        <w:numPr>
          <w:ilvl w:val="0"/>
          <w:numId w:val="40"/>
        </w:numPr>
        <w:spacing w:before="0" w:after="0" w:line="259" w:lineRule="auto"/>
      </w:pPr>
      <w:r w:rsidRPr="0051144E">
        <w:rPr>
          <w:b/>
          <w:bCs/>
          <w:color w:val="82009B" w:themeColor="accent6"/>
        </w:rPr>
        <w:t>Datu statistiskā analīze</w:t>
      </w:r>
      <w:r w:rsidRPr="0051144E">
        <w:rPr>
          <w:color w:val="82009B" w:themeColor="accent6"/>
        </w:rPr>
        <w:t xml:space="preserve"> </w:t>
      </w:r>
      <w:r w:rsidR="00A1456E" w:rsidRPr="00A1456E">
        <w:t>ietvēra datus par Iekšlietu fondu programmās paredzēto rezultatīvo indikatoru sasniegšanu, finansējuma apguvi, finansējuma saņēmēju aptaujas rezultātiem</w:t>
      </w:r>
      <w:r w:rsidR="00A1456E">
        <w:t xml:space="preserve">. Papildu tika veikta </w:t>
      </w:r>
      <w:r w:rsidR="00443FF8">
        <w:t xml:space="preserve">citu uz Iekšlietu fondu programmām attiecināmo </w:t>
      </w:r>
      <w:r w:rsidR="00A1456E">
        <w:t>publiski pieejamo statistikas datu analīze</w:t>
      </w:r>
      <w:r w:rsidR="00443FF8">
        <w:t xml:space="preserve">, lai papildinātu izvērtējuma ietvaros veikto analīzi. </w:t>
      </w:r>
    </w:p>
    <w:p w14:paraId="40E3840A" w14:textId="648B2455" w:rsidR="00443FF8" w:rsidRDefault="00F50945" w:rsidP="00F50945">
      <w:r>
        <w:t>Izvērtējuma veikšanu ietekmēja vairāki ierobežoj</w:t>
      </w:r>
      <w:r w:rsidR="00136CC6">
        <w:t>umi:</w:t>
      </w:r>
      <w:r>
        <w:t xml:space="preserve"> </w:t>
      </w:r>
    </w:p>
    <w:p w14:paraId="571AD231" w14:textId="2FF47726" w:rsidR="00657C01" w:rsidRDefault="00236D12" w:rsidP="00236D12">
      <w:pPr>
        <w:pStyle w:val="Sarakstarindkopa"/>
        <w:numPr>
          <w:ilvl w:val="0"/>
          <w:numId w:val="41"/>
        </w:numPr>
      </w:pPr>
      <w:r w:rsidRPr="001122A1">
        <w:rPr>
          <w:b/>
          <w:bCs/>
          <w:color w:val="82009B" w:themeColor="accent6"/>
        </w:rPr>
        <w:t>Ierobežotas pieeja</w:t>
      </w:r>
      <w:r w:rsidR="00AE6819" w:rsidRPr="001122A1">
        <w:rPr>
          <w:b/>
          <w:bCs/>
          <w:color w:val="82009B" w:themeColor="accent6"/>
        </w:rPr>
        <w:t>mības</w:t>
      </w:r>
      <w:r w:rsidRPr="001122A1">
        <w:rPr>
          <w:b/>
          <w:bCs/>
          <w:color w:val="82009B" w:themeColor="accent6"/>
        </w:rPr>
        <w:t xml:space="preserve"> informācija</w:t>
      </w:r>
      <w:r w:rsidR="00515898" w:rsidRPr="001122A1">
        <w:rPr>
          <w:b/>
          <w:bCs/>
          <w:color w:val="82009B" w:themeColor="accent6"/>
        </w:rPr>
        <w:t>.</w:t>
      </w:r>
      <w:r w:rsidR="00515898" w:rsidRPr="001122A1">
        <w:rPr>
          <w:color w:val="82009B" w:themeColor="accent6"/>
        </w:rPr>
        <w:t xml:space="preserve"> </w:t>
      </w:r>
      <w:r w:rsidR="00493745">
        <w:t>I</w:t>
      </w:r>
      <w:r w:rsidR="001122A1" w:rsidRPr="001122A1">
        <w:t>zvērtējuma tvērum</w:t>
      </w:r>
      <w:r w:rsidR="00493745">
        <w:t>ā netika iekļauts</w:t>
      </w:r>
      <w:r w:rsidR="001122A1" w:rsidRPr="001122A1">
        <w:t xml:space="preserve"> IDF projekts</w:t>
      </w:r>
      <w:r w:rsidR="00493745">
        <w:t xml:space="preserve"> ar</w:t>
      </w:r>
      <w:r w:rsidR="001122A1" w:rsidRPr="001122A1">
        <w:t xml:space="preserve"> ierobežotas pieejamības status</w:t>
      </w:r>
      <w:r w:rsidR="0053123A">
        <w:t>u</w:t>
      </w:r>
      <w:r w:rsidR="001122A1" w:rsidRPr="001122A1">
        <w:t>. Vienlaikus gadījuma izpētē ietvert</w:t>
      </w:r>
      <w:r w:rsidR="00F063EE">
        <w:t>ā</w:t>
      </w:r>
      <w:r w:rsidR="001122A1" w:rsidRPr="001122A1">
        <w:t xml:space="preserve"> </w:t>
      </w:r>
      <w:r w:rsidR="008F375F">
        <w:t>VP</w:t>
      </w:r>
      <w:r w:rsidR="001122A1" w:rsidRPr="001122A1">
        <w:t xml:space="preserve"> projekt</w:t>
      </w:r>
      <w:r w:rsidR="00F063EE">
        <w:t>a</w:t>
      </w:r>
      <w:r w:rsidR="00812354">
        <w:t xml:space="preserve"> Nr. </w:t>
      </w:r>
      <w:r w:rsidR="009511AF" w:rsidRPr="009511AF">
        <w:t>VP/IDF/2019/7</w:t>
      </w:r>
      <w:r w:rsidR="009511AF">
        <w:t xml:space="preserve"> “</w:t>
      </w:r>
      <w:r w:rsidR="00553516" w:rsidRPr="00553516">
        <w:t>Speciālās intervences vienības mācību centra izveidošana</w:t>
      </w:r>
      <w:r w:rsidR="009511AF">
        <w:t>”</w:t>
      </w:r>
      <w:r w:rsidR="001122A1" w:rsidRPr="001122A1">
        <w:t xml:space="preserve"> </w:t>
      </w:r>
      <w:r w:rsidR="00F063EE">
        <w:t xml:space="preserve">analīze </w:t>
      </w:r>
      <w:r w:rsidR="00F063EE" w:rsidRPr="001122A1">
        <w:t>nav ie</w:t>
      </w:r>
      <w:r w:rsidR="00A16F03">
        <w:t>kļauta</w:t>
      </w:r>
      <w:r w:rsidR="00F063EE" w:rsidRPr="001122A1">
        <w:t xml:space="preserve"> publiskojamajā ziņojuma saturā </w:t>
      </w:r>
      <w:r w:rsidR="001122A1" w:rsidRPr="001122A1">
        <w:t>ierobežotas</w:t>
      </w:r>
      <w:r w:rsidR="00F063EE">
        <w:t xml:space="preserve"> informācijas</w:t>
      </w:r>
      <w:r w:rsidR="001122A1" w:rsidRPr="001122A1">
        <w:t xml:space="preserve"> pieejamības statusa dēļ. </w:t>
      </w:r>
    </w:p>
    <w:p w14:paraId="684399A7" w14:textId="08F3FE7A" w:rsidR="00236D12" w:rsidRDefault="00012705" w:rsidP="00236D12">
      <w:pPr>
        <w:pStyle w:val="Sarakstarindkopa"/>
        <w:numPr>
          <w:ilvl w:val="0"/>
          <w:numId w:val="41"/>
        </w:numPr>
      </w:pPr>
      <w:r>
        <w:rPr>
          <w:b/>
          <w:bCs/>
          <w:color w:val="82009B" w:themeColor="accent6"/>
        </w:rPr>
        <w:t>Nepietiekama d</w:t>
      </w:r>
      <w:r w:rsidR="00657C01">
        <w:rPr>
          <w:b/>
          <w:bCs/>
          <w:color w:val="82009B" w:themeColor="accent6"/>
        </w:rPr>
        <w:t>atu pieejamība.</w:t>
      </w:r>
      <w:r w:rsidR="00657C01">
        <w:t xml:space="preserve"> </w:t>
      </w:r>
      <w:r w:rsidR="00F235A5">
        <w:t>IIA</w:t>
      </w:r>
      <w:r w:rsidR="001122A1" w:rsidRPr="005539A8">
        <w:t xml:space="preserve"> veikšanai </w:t>
      </w:r>
      <w:r w:rsidR="00824570">
        <w:t xml:space="preserve">vairākos </w:t>
      </w:r>
      <w:r w:rsidR="009A11A0" w:rsidRPr="005539A8">
        <w:t>projektos</w:t>
      </w:r>
      <w:r w:rsidR="001122A1" w:rsidRPr="005539A8">
        <w:t xml:space="preserve"> nebija </w:t>
      </w:r>
      <w:r w:rsidR="00900F6E">
        <w:t>iespējams iegūt pilnvērtīgus</w:t>
      </w:r>
      <w:r w:rsidR="001122A1" w:rsidRPr="005539A8">
        <w:t xml:space="preserve"> statistikas dat</w:t>
      </w:r>
      <w:r w:rsidR="00A178D7">
        <w:t>us</w:t>
      </w:r>
      <w:r w:rsidR="009A11A0" w:rsidRPr="005539A8">
        <w:t xml:space="preserve"> </w:t>
      </w:r>
      <w:r w:rsidR="00CC3205">
        <w:t>to</w:t>
      </w:r>
      <w:r w:rsidR="009A11A0" w:rsidRPr="005539A8">
        <w:t xml:space="preserve"> </w:t>
      </w:r>
      <w:r w:rsidR="00CC3205" w:rsidRPr="005539A8">
        <w:t>konfidenciali</w:t>
      </w:r>
      <w:r w:rsidR="00CC3205">
        <w:t>tātes vai neesamības dēļ</w:t>
      </w:r>
      <w:r w:rsidR="009A11A0" w:rsidRPr="005539A8">
        <w:t xml:space="preserve">. </w:t>
      </w:r>
      <w:r w:rsidR="009A11A0">
        <w:t>T</w:t>
      </w:r>
      <w:r w:rsidR="001122A1" w:rsidRPr="001122A1">
        <w:t xml:space="preserve">ādēļ analīze </w:t>
      </w:r>
      <w:r w:rsidR="00816056">
        <w:t xml:space="preserve"> balstās</w:t>
      </w:r>
      <w:r w:rsidR="001122A1" w:rsidRPr="001122A1">
        <w:t xml:space="preserve"> uz pieņēmumiem, kas izstrādāti, </w:t>
      </w:r>
      <w:r w:rsidR="000F0439">
        <w:t>izmantojot</w:t>
      </w:r>
      <w:r w:rsidR="001122A1" w:rsidRPr="001122A1">
        <w:t xml:space="preserve"> līdzvērtīg</w:t>
      </w:r>
      <w:r w:rsidR="000F0439">
        <w:t>us</w:t>
      </w:r>
      <w:r w:rsidR="001122A1" w:rsidRPr="001122A1">
        <w:t xml:space="preserve"> </w:t>
      </w:r>
      <w:r w:rsidR="009A11A0">
        <w:t>starptautisk</w:t>
      </w:r>
      <w:r w:rsidR="003557C8">
        <w:t>us</w:t>
      </w:r>
      <w:r w:rsidR="001122A1" w:rsidRPr="001122A1">
        <w:t xml:space="preserve"> pētījum</w:t>
      </w:r>
      <w:r w:rsidR="003557C8">
        <w:t>us</w:t>
      </w:r>
      <w:r w:rsidR="00144F6A">
        <w:t xml:space="preserve"> </w:t>
      </w:r>
      <w:r w:rsidR="00891823">
        <w:t>ar</w:t>
      </w:r>
      <w:r w:rsidR="00144F6A">
        <w:t xml:space="preserve"> atbilstošām korekcijām </w:t>
      </w:r>
      <w:r w:rsidR="005539A8" w:rsidRPr="005539A8">
        <w:t xml:space="preserve">Latvijas </w:t>
      </w:r>
      <w:r w:rsidR="00336F4A">
        <w:t>kontekstam (</w:t>
      </w:r>
      <w:r w:rsidR="00144F6A">
        <w:t xml:space="preserve">piemēram, izmantojot </w:t>
      </w:r>
      <w:r w:rsidR="005A37F3">
        <w:t>PPP</w:t>
      </w:r>
      <w:r w:rsidR="005539A8" w:rsidRPr="005539A8">
        <w:t xml:space="preserve"> indeksu</w:t>
      </w:r>
      <w:r w:rsidR="00336F4A">
        <w:t>)</w:t>
      </w:r>
      <w:r w:rsidR="005539A8" w:rsidRPr="005539A8">
        <w:t>.</w:t>
      </w:r>
    </w:p>
    <w:p w14:paraId="5E0061C7" w14:textId="2057FF8F" w:rsidR="00D20A45" w:rsidRDefault="00343A8D" w:rsidP="00236D12">
      <w:pPr>
        <w:pStyle w:val="Sarakstarindkopa"/>
        <w:numPr>
          <w:ilvl w:val="0"/>
          <w:numId w:val="41"/>
        </w:numPr>
      </w:pPr>
      <w:r>
        <w:rPr>
          <w:b/>
          <w:bCs/>
          <w:color w:val="82009B" w:themeColor="accent6"/>
        </w:rPr>
        <w:t>P</w:t>
      </w:r>
      <w:r w:rsidR="00515898" w:rsidRPr="00914233">
        <w:rPr>
          <w:b/>
          <w:bCs/>
          <w:color w:val="82009B" w:themeColor="accent6"/>
        </w:rPr>
        <w:t>lānošanas period</w:t>
      </w:r>
      <w:r w:rsidR="00A56BAE" w:rsidRPr="00914233">
        <w:rPr>
          <w:b/>
          <w:bCs/>
          <w:color w:val="82009B" w:themeColor="accent6"/>
        </w:rPr>
        <w:t>u</w:t>
      </w:r>
      <w:r w:rsidR="00515898" w:rsidRPr="00914233">
        <w:rPr>
          <w:b/>
          <w:bCs/>
          <w:color w:val="82009B" w:themeColor="accent6"/>
        </w:rPr>
        <w:t xml:space="preserve"> pārklāšanās</w:t>
      </w:r>
      <w:r w:rsidR="00515898">
        <w:t>.</w:t>
      </w:r>
      <w:r w:rsidR="0062636C" w:rsidRPr="0062636C">
        <w:t xml:space="preserve"> </w:t>
      </w:r>
      <w:r w:rsidR="00914233" w:rsidRPr="00914233">
        <w:t>2014.–2020. gada plānošanas perioda Iekšlietu fondu projekt</w:t>
      </w:r>
      <w:r w:rsidR="006267B7">
        <w:t>i</w:t>
      </w:r>
      <w:r w:rsidR="00914233" w:rsidRPr="00914233">
        <w:t xml:space="preserve"> </w:t>
      </w:r>
      <w:r w:rsidR="006E0000">
        <w:t>dažos gadījumos</w:t>
      </w:r>
      <w:r w:rsidR="00914233" w:rsidRPr="00914233">
        <w:t xml:space="preserve"> turpinājās </w:t>
      </w:r>
      <w:r w:rsidR="006E0000">
        <w:t>vienlaikus ar</w:t>
      </w:r>
      <w:r w:rsidR="00914233" w:rsidRPr="00914233">
        <w:t xml:space="preserve"> 2021.–2027. gada plānošanas perioda projekt</w:t>
      </w:r>
      <w:r w:rsidR="006E0000">
        <w:t>iem</w:t>
      </w:r>
      <w:r w:rsidR="00914233" w:rsidRPr="00914233">
        <w:t xml:space="preserve">. Šī </w:t>
      </w:r>
      <w:r w:rsidR="004D4554">
        <w:t>pārklāšanās apgrūtināja</w:t>
      </w:r>
      <w:r w:rsidR="00914233" w:rsidRPr="00914233">
        <w:t xml:space="preserve"> projektu īstenotājiem</w:t>
      </w:r>
      <w:r w:rsidR="00F26EE3">
        <w:t xml:space="preserve"> spēju precīzi nošķirt </w:t>
      </w:r>
      <w:r w:rsidR="00914233" w:rsidRPr="00914233">
        <w:t>administratīv</w:t>
      </w:r>
      <w:r w:rsidR="00B86F44">
        <w:t>ā</w:t>
      </w:r>
      <w:r w:rsidR="00914233" w:rsidRPr="00914233">
        <w:t xml:space="preserve"> slog</w:t>
      </w:r>
      <w:r w:rsidR="00B86F44">
        <w:t>a</w:t>
      </w:r>
      <w:r w:rsidR="00914233" w:rsidRPr="00914233">
        <w:t xml:space="preserve"> un projektu vadības proces</w:t>
      </w:r>
      <w:r w:rsidR="00A643BD">
        <w:t xml:space="preserve">u </w:t>
      </w:r>
      <w:r w:rsidR="00914233" w:rsidRPr="00914233">
        <w:t>aspektus, kas attiecas tikai uz iepriekšējo plānošanas periodu</w:t>
      </w:r>
      <w:r w:rsidR="00BB2A35">
        <w:t>.</w:t>
      </w:r>
      <w:r w:rsidR="00914233" w:rsidRPr="00914233">
        <w:t xml:space="preserve"> </w:t>
      </w:r>
      <w:r w:rsidR="001E12F3">
        <w:t xml:space="preserve">Rezultātā </w:t>
      </w:r>
      <w:r w:rsidR="00914233" w:rsidRPr="00914233">
        <w:t>iegūt</w:t>
      </w:r>
      <w:r w:rsidR="001E12F3">
        <w:t>ie</w:t>
      </w:r>
      <w:r w:rsidR="00914233" w:rsidRPr="00914233">
        <w:t xml:space="preserve"> viedokļ</w:t>
      </w:r>
      <w:r w:rsidR="001E12F3">
        <w:t>i</w:t>
      </w:r>
      <w:r w:rsidR="00914233" w:rsidRPr="00914233">
        <w:t xml:space="preserve"> atspoguļoja abu plānošanas periodu </w:t>
      </w:r>
      <w:r w:rsidR="009D426D">
        <w:t xml:space="preserve">kombinētu </w:t>
      </w:r>
      <w:r w:rsidR="00914233" w:rsidRPr="00914233">
        <w:t>pieredzi</w:t>
      </w:r>
      <w:r w:rsidR="00E8227D">
        <w:t>, kas</w:t>
      </w:r>
      <w:r w:rsidR="00914233" w:rsidRPr="00914233">
        <w:t xml:space="preserve"> prasīja rūpīgu interpretāciju, lai precīzi identificētu </w:t>
      </w:r>
      <w:r w:rsidR="00914233">
        <w:t>iepriekšējā</w:t>
      </w:r>
      <w:r w:rsidR="00914233" w:rsidRPr="00914233">
        <w:t xml:space="preserve"> perioda specifiku, bet no otras puses, ļāva iegūt vērtīgu salīdzinošo perspektīvu par abu periodu praksi.</w:t>
      </w:r>
    </w:p>
    <w:p w14:paraId="34954C74" w14:textId="2823CCBA" w:rsidR="002F33AC" w:rsidRPr="00914233" w:rsidRDefault="006B58E0" w:rsidP="00914233">
      <w:pPr>
        <w:spacing w:before="0" w:after="0" w:line="259" w:lineRule="auto"/>
        <w:rPr>
          <w:lang w:val="en-US"/>
        </w:rPr>
      </w:pPr>
      <w:r w:rsidRPr="006B58E0">
        <w:t xml:space="preserve">Izvērtējuma </w:t>
      </w:r>
      <w:r w:rsidR="00914233">
        <w:t>konstatējumi</w:t>
      </w:r>
      <w:r w:rsidRPr="006B58E0">
        <w:t xml:space="preserve"> ir uzskatāmi par noturīgiem. Izstrādātās rekomendācijas ņem vērā gan 2021.–2027. gada Iekšlietu fondu programmu vidusposma izvērtējumā jau sniegtās rekomendācijas, gan jaunajā fondu periodā īstenotās izmaiņas, tostarp administratīvo prasību pilnveidojumus. Vienlaikus izvērtējuma rezultāti atspoguļo </w:t>
      </w:r>
      <w:r w:rsidR="00E27778">
        <w:t>arī to</w:t>
      </w:r>
      <w:r w:rsidRPr="006B58E0">
        <w:t xml:space="preserve"> aktivitāšu progresu jaunajā plānošanas periodā</w:t>
      </w:r>
      <w:r w:rsidR="00E27778">
        <w:t>, kuru rezultāti</w:t>
      </w:r>
      <w:r w:rsidRPr="006B58E0">
        <w:t xml:space="preserve"> iepriekšējā periodā</w:t>
      </w:r>
      <w:r w:rsidR="00C94AEB">
        <w:t xml:space="preserve"> netika pilnībā sasniegti</w:t>
      </w:r>
      <w:r w:rsidRPr="006B58E0">
        <w:t xml:space="preserve">. </w:t>
      </w:r>
    </w:p>
    <w:p w14:paraId="3C5A589F" w14:textId="6153D7E9" w:rsidR="00F919F4" w:rsidRPr="008F64A0" w:rsidRDefault="00F919F4" w:rsidP="00646205">
      <w:pPr>
        <w:adjustRightInd w:val="0"/>
        <w:snapToGrid w:val="0"/>
        <w:sectPr w:rsidR="00F919F4" w:rsidRPr="008F64A0" w:rsidSect="008960A4">
          <w:footerReference w:type="default" r:id="rId11"/>
          <w:pgSz w:w="11906" w:h="16838"/>
          <w:pgMar w:top="1474" w:right="822" w:bottom="1474" w:left="822" w:header="709" w:footer="709" w:gutter="0"/>
          <w:cols w:space="708"/>
          <w:docGrid w:linePitch="360"/>
        </w:sectPr>
      </w:pPr>
    </w:p>
    <w:p w14:paraId="4589BD97" w14:textId="1B4D8F4F" w:rsidR="00143135" w:rsidRPr="008F64A0" w:rsidRDefault="000E1671" w:rsidP="00143135">
      <w:pPr>
        <w:pStyle w:val="Virsraksts1"/>
      </w:pPr>
      <w:bookmarkStart w:id="11" w:name="_Toc193371301"/>
      <w:r>
        <w:lastRenderedPageBreak/>
        <w:t>1</w:t>
      </w:r>
      <w:r w:rsidR="00143135" w:rsidRPr="008F64A0">
        <w:t>. Patvēruma, migrācijas un integrācijas fonds</w:t>
      </w:r>
      <w:bookmarkEnd w:id="11"/>
    </w:p>
    <w:p w14:paraId="165F199E" w14:textId="59D8B07E" w:rsidR="00143135" w:rsidRPr="008F64A0" w:rsidRDefault="00143135" w:rsidP="000E1671">
      <w:pPr>
        <w:pStyle w:val="Virsraksts2"/>
        <w:numPr>
          <w:ilvl w:val="1"/>
          <w:numId w:val="42"/>
        </w:numPr>
      </w:pPr>
      <w:bookmarkStart w:id="12" w:name="_Toc193371302"/>
      <w:r w:rsidRPr="008F64A0">
        <w:t xml:space="preserve">Pārskats par PMIF ieviešanu </w:t>
      </w:r>
      <w:r w:rsidR="00607318">
        <w:t>un intervences loģika</w:t>
      </w:r>
      <w:bookmarkEnd w:id="12"/>
    </w:p>
    <w:p w14:paraId="6C4265CA" w14:textId="30928124" w:rsidR="00745A95" w:rsidRPr="008F64A0" w:rsidRDefault="00FC491D" w:rsidP="00745A95">
      <w:r w:rsidRPr="008F64A0">
        <w:t>PMIF ir izveidots atbilstoši ES Regulai Nr. 51</w:t>
      </w:r>
      <w:r w:rsidR="00C22165" w:rsidRPr="008F64A0">
        <w:t>4/2014</w:t>
      </w:r>
      <w:r w:rsidR="00AA2604" w:rsidRPr="008F64A0">
        <w:t>,</w:t>
      </w:r>
      <w:r w:rsidR="00C22165" w:rsidRPr="008F64A0">
        <w:t xml:space="preserve"> un tā </w:t>
      </w:r>
      <w:r w:rsidR="00745A95" w:rsidRPr="008F64A0">
        <w:t xml:space="preserve">vispārīgais mērķis ir dot ieguldījumu migrācijas plūsmu efektīvā pārvaldībā un kopējās politikas patvēruma, alternatīvās aizsardzības un pagaidu aizsardzības jomā un kopējās migrācijas politikas īstenošanā, stiprināšanā un attīstībā, vienlaikus pilnībā ievērojot tiesības un principus, kas noteikti </w:t>
      </w:r>
      <w:r w:rsidR="00C0699A">
        <w:t>ES</w:t>
      </w:r>
      <w:r w:rsidR="00745A95" w:rsidRPr="008F64A0">
        <w:t xml:space="preserve"> Pamattiesību hartā.</w:t>
      </w:r>
      <w:r w:rsidR="00AA2604" w:rsidRPr="008F64A0">
        <w:t xml:space="preserve"> Vienlaikus regulā ir izvirzīti četri specifiskie mērķi</w:t>
      </w:r>
      <w:r w:rsidR="00672912">
        <w:t xml:space="preserve"> (</w:t>
      </w:r>
      <w:r w:rsidR="00AA2604" w:rsidRPr="008F64A0">
        <w:fldChar w:fldCharType="begin"/>
      </w:r>
      <w:r w:rsidR="00AA2604" w:rsidRPr="008F64A0">
        <w:instrText xml:space="preserve"> REF _Ref189651199 \h </w:instrText>
      </w:r>
      <w:r w:rsidR="00AA2604" w:rsidRPr="008F64A0">
        <w:fldChar w:fldCharType="separate"/>
      </w:r>
      <w:r w:rsidR="000523B6" w:rsidRPr="008F64A0">
        <w:t xml:space="preserve">Tabula </w:t>
      </w:r>
      <w:r w:rsidR="000523B6">
        <w:rPr>
          <w:noProof/>
        </w:rPr>
        <w:t>1</w:t>
      </w:r>
      <w:r w:rsidR="00AA2604" w:rsidRPr="008F64A0">
        <w:fldChar w:fldCharType="end"/>
      </w:r>
      <w:r w:rsidR="00672912">
        <w:t>)</w:t>
      </w:r>
      <w:r w:rsidR="00AA2604" w:rsidRPr="008F64A0">
        <w:t>.</w:t>
      </w:r>
    </w:p>
    <w:p w14:paraId="270795A1" w14:textId="3AA57807" w:rsidR="008844CA" w:rsidRPr="008F64A0" w:rsidRDefault="00AA2604" w:rsidP="00745A95">
      <w:r w:rsidRPr="008F64A0">
        <w:t xml:space="preserve">Atbilstoši ES Regulas Nr. 514/2014 </w:t>
      </w:r>
      <w:r w:rsidR="008A312F" w:rsidRPr="008F64A0">
        <w:t>14.pantam ti</w:t>
      </w:r>
      <w:r w:rsidR="0069432F" w:rsidRPr="008F64A0">
        <w:t xml:space="preserve">ka izstrādāta </w:t>
      </w:r>
      <w:r w:rsidR="005A37F3">
        <w:t>PMIF</w:t>
      </w:r>
      <w:r w:rsidR="0069432F" w:rsidRPr="008F64A0">
        <w:t xml:space="preserve"> (2014.-2020. gadam) Latvijas nacionālā programma</w:t>
      </w:r>
      <w:r w:rsidR="004932D2" w:rsidRPr="008F64A0">
        <w:t xml:space="preserve"> (turpmāk — PMIF nacionālā programma)</w:t>
      </w:r>
      <w:r w:rsidR="0069432F" w:rsidRPr="008F64A0">
        <w:t xml:space="preserve">, kuras sākotnējo versiju </w:t>
      </w:r>
      <w:r w:rsidR="00777E7E">
        <w:t>EK</w:t>
      </w:r>
      <w:r w:rsidR="0069432F" w:rsidRPr="008F64A0">
        <w:t xml:space="preserve"> </w:t>
      </w:r>
      <w:r w:rsidR="00B37AB4" w:rsidRPr="008F64A0">
        <w:t>apstiprināja</w:t>
      </w:r>
      <w:r w:rsidR="0069432F" w:rsidRPr="008F64A0">
        <w:t xml:space="preserve"> </w:t>
      </w:r>
      <w:r w:rsidR="00181743" w:rsidRPr="008F64A0">
        <w:t>2015. gada 21. martā</w:t>
      </w:r>
      <w:r w:rsidR="0069432F" w:rsidRPr="008F64A0">
        <w:t>.</w:t>
      </w:r>
      <w:r w:rsidR="00CE555B" w:rsidRPr="008F64A0">
        <w:rPr>
          <w:rStyle w:val="Vresatsauce"/>
        </w:rPr>
        <w:footnoteReference w:id="6"/>
      </w:r>
      <w:r w:rsidR="0069432F" w:rsidRPr="008F64A0">
        <w:t xml:space="preserve"> </w:t>
      </w:r>
      <w:r w:rsidR="00B37AB4" w:rsidRPr="008F64A0">
        <w:t>PMIF n</w:t>
      </w:r>
      <w:r w:rsidR="004932D2" w:rsidRPr="008F64A0">
        <w:t>acionālajā</w:t>
      </w:r>
      <w:r w:rsidR="00B37AB4" w:rsidRPr="008F64A0">
        <w:t xml:space="preserve"> programmā atbilstoši ES Regulas Nr.</w:t>
      </w:r>
      <w:r w:rsidR="004932D2" w:rsidRPr="008F64A0">
        <w:t xml:space="preserve"> </w:t>
      </w:r>
      <w:r w:rsidR="00B37AB4" w:rsidRPr="008F64A0">
        <w:t>514/2014 noteiktajiem specifiskajiem mērķiem tika definētas konkrētas aktivitātes šo mērķu sasniegšanai (</w:t>
      </w:r>
      <w:r w:rsidR="00B37AB4" w:rsidRPr="008F64A0">
        <w:fldChar w:fldCharType="begin"/>
      </w:r>
      <w:r w:rsidR="00B37AB4" w:rsidRPr="008F64A0">
        <w:instrText xml:space="preserve"> REF _Ref189651199 \h </w:instrText>
      </w:r>
      <w:r w:rsidR="00B37AB4" w:rsidRPr="008F64A0">
        <w:fldChar w:fldCharType="separate"/>
      </w:r>
      <w:r w:rsidR="000523B6" w:rsidRPr="008F64A0">
        <w:t xml:space="preserve">Tabula </w:t>
      </w:r>
      <w:r w:rsidR="000523B6">
        <w:rPr>
          <w:noProof/>
        </w:rPr>
        <w:t>1</w:t>
      </w:r>
      <w:r w:rsidR="00B37AB4" w:rsidRPr="008F64A0">
        <w:fldChar w:fldCharType="end"/>
      </w:r>
      <w:r w:rsidR="00B37AB4" w:rsidRPr="008F64A0">
        <w:t xml:space="preserve">). </w:t>
      </w:r>
      <w:r w:rsidR="001821DC" w:rsidRPr="008F64A0">
        <w:t>Programmas īstenošanas gaitā</w:t>
      </w:r>
      <w:r w:rsidR="00B37AB4" w:rsidRPr="008F64A0">
        <w:t xml:space="preserve"> PMIF nacionālā programm</w:t>
      </w:r>
      <w:r w:rsidR="00587310">
        <w:t>a</w:t>
      </w:r>
      <w:r w:rsidR="00B37AB4" w:rsidRPr="008F64A0">
        <w:t xml:space="preserve"> piecas reizes tiku</w:t>
      </w:r>
      <w:r w:rsidR="00587310">
        <w:t>si</w:t>
      </w:r>
      <w:r w:rsidR="00B37AB4" w:rsidRPr="008F64A0">
        <w:t xml:space="preserve"> grozī</w:t>
      </w:r>
      <w:r w:rsidR="00587310">
        <w:t>ta</w:t>
      </w:r>
      <w:r w:rsidR="00B37AB4" w:rsidRPr="008F64A0">
        <w:t xml:space="preserve">, </w:t>
      </w:r>
      <w:r w:rsidR="005D3806" w:rsidRPr="008F64A0">
        <w:t xml:space="preserve">t.sk. mainot sākotnēji </w:t>
      </w:r>
      <w:r w:rsidR="00754CAB">
        <w:t>noteiktās</w:t>
      </w:r>
      <w:r w:rsidR="00754CAB" w:rsidRPr="008F64A0">
        <w:t xml:space="preserve"> </w:t>
      </w:r>
      <w:r w:rsidR="005D3806" w:rsidRPr="008F64A0">
        <w:t>aktivitātes</w:t>
      </w:r>
      <w:r w:rsidR="00D406EE">
        <w:t xml:space="preserve">, </w:t>
      </w:r>
      <w:r w:rsidR="005D3806" w:rsidRPr="008F64A0">
        <w:t>paredzēt</w:t>
      </w:r>
      <w:r w:rsidR="004A2650" w:rsidRPr="008F64A0">
        <w:t xml:space="preserve">o </w:t>
      </w:r>
      <w:r w:rsidR="005D3806" w:rsidRPr="008F64A0">
        <w:t>budžet</w:t>
      </w:r>
      <w:r w:rsidR="004A2650" w:rsidRPr="008F64A0">
        <w:t>u un</w:t>
      </w:r>
      <w:r w:rsidR="00333CE6" w:rsidRPr="008F64A0">
        <w:t xml:space="preserve"> tā</w:t>
      </w:r>
      <w:r w:rsidR="005D3806" w:rsidRPr="008F64A0">
        <w:t xml:space="preserve"> sadalījumu. </w:t>
      </w:r>
      <w:r w:rsidR="0063775A">
        <w:fldChar w:fldCharType="begin"/>
      </w:r>
      <w:r w:rsidR="0063775A">
        <w:instrText xml:space="preserve"> REF _Ref189651199 \h </w:instrText>
      </w:r>
      <w:r w:rsidR="0063775A">
        <w:fldChar w:fldCharType="separate"/>
      </w:r>
      <w:r w:rsidR="000523B6" w:rsidRPr="008F64A0">
        <w:t>Tabul</w:t>
      </w:r>
      <w:r w:rsidR="007775FB">
        <w:t>ā</w:t>
      </w:r>
      <w:r w:rsidR="000523B6" w:rsidRPr="008F64A0">
        <w:t xml:space="preserve"> </w:t>
      </w:r>
      <w:r w:rsidR="00570881">
        <w:t xml:space="preserve">nr. </w:t>
      </w:r>
      <w:r w:rsidR="000523B6">
        <w:rPr>
          <w:noProof/>
        </w:rPr>
        <w:t>1</w:t>
      </w:r>
      <w:r w:rsidR="0063775A">
        <w:fldChar w:fldCharType="end"/>
      </w:r>
      <w:r w:rsidR="00EE18C1">
        <w:t xml:space="preserve"> ietvertā informācija atbilst PMIF nacionālās programmas pēdējai aktuālajai versijai.</w:t>
      </w:r>
    </w:p>
    <w:p w14:paraId="0FB1602D" w14:textId="1671251F" w:rsidR="00AA2604" w:rsidRPr="008F64A0" w:rsidRDefault="00AA2604" w:rsidP="00AA2604">
      <w:pPr>
        <w:pStyle w:val="TableTitle"/>
      </w:pPr>
      <w:bookmarkStart w:id="13" w:name="_Ref189651199"/>
      <w:bookmarkStart w:id="14" w:name="_Ref191388492"/>
      <w:r w:rsidRPr="008F64A0">
        <w:t xml:space="preserve">Tabula </w:t>
      </w:r>
      <w:r w:rsidRPr="008F64A0">
        <w:fldChar w:fldCharType="begin"/>
      </w:r>
      <w:r w:rsidRPr="008F64A0">
        <w:instrText xml:space="preserve"> SEQ Tabula \* ARABIC </w:instrText>
      </w:r>
      <w:r w:rsidRPr="008F64A0">
        <w:fldChar w:fldCharType="separate"/>
      </w:r>
      <w:r w:rsidR="000523B6">
        <w:t>1</w:t>
      </w:r>
      <w:r w:rsidRPr="008F64A0">
        <w:fldChar w:fldCharType="end"/>
      </w:r>
      <w:bookmarkEnd w:id="13"/>
      <w:r w:rsidR="00321062">
        <w:t>.</w:t>
      </w:r>
      <w:r w:rsidRPr="008F64A0">
        <w:t xml:space="preserve"> Nacionālajā programmā paredzētās aktivitātes atbilstoši PMIF specifiskajiem mērķiem</w:t>
      </w:r>
      <w:bookmarkEnd w:id="14"/>
    </w:p>
    <w:tbl>
      <w:tblPr>
        <w:tblStyle w:val="Reatabula"/>
        <w:tblW w:w="10343" w:type="dxa"/>
        <w:tblLook w:val="04A0" w:firstRow="1" w:lastRow="0" w:firstColumn="1" w:lastColumn="0" w:noHBand="0" w:noVBand="1"/>
      </w:tblPr>
      <w:tblGrid>
        <w:gridCol w:w="3681"/>
        <w:gridCol w:w="6662"/>
      </w:tblGrid>
      <w:tr w:rsidR="00ED65AD" w:rsidRPr="008F64A0" w14:paraId="5B6407A8" w14:textId="77777777" w:rsidTr="00ED65AD">
        <w:trPr>
          <w:trHeight w:val="610"/>
        </w:trPr>
        <w:tc>
          <w:tcPr>
            <w:tcW w:w="3681" w:type="dxa"/>
            <w:shd w:val="clear" w:color="auto" w:fill="40004D" w:themeFill="accent6" w:themeFillShade="80"/>
          </w:tcPr>
          <w:p w14:paraId="720A4C4A" w14:textId="77777777" w:rsidR="00ED65AD" w:rsidRPr="008F64A0" w:rsidRDefault="00ED65AD" w:rsidP="00A239D8">
            <w:pPr>
              <w:rPr>
                <w:b/>
                <w:bCs/>
              </w:rPr>
            </w:pPr>
            <w:r w:rsidRPr="008F64A0">
              <w:rPr>
                <w:b/>
                <w:bCs/>
              </w:rPr>
              <w:t>PMIF specifiskais mērķis</w:t>
            </w:r>
          </w:p>
        </w:tc>
        <w:tc>
          <w:tcPr>
            <w:tcW w:w="6662" w:type="dxa"/>
            <w:shd w:val="clear" w:color="auto" w:fill="40004D" w:themeFill="accent6" w:themeFillShade="80"/>
          </w:tcPr>
          <w:p w14:paraId="101D9EDC" w14:textId="0B5D93DE" w:rsidR="00ED65AD" w:rsidRPr="008F64A0" w:rsidRDefault="00B37AB4" w:rsidP="00A239D8">
            <w:pPr>
              <w:rPr>
                <w:b/>
                <w:bCs/>
              </w:rPr>
            </w:pPr>
            <w:r w:rsidRPr="008F64A0">
              <w:rPr>
                <w:b/>
                <w:bCs/>
              </w:rPr>
              <w:t>PMIF n</w:t>
            </w:r>
            <w:r w:rsidR="00ED65AD" w:rsidRPr="008F64A0">
              <w:rPr>
                <w:b/>
                <w:bCs/>
              </w:rPr>
              <w:t>acionālajā programmā paredzētās aktivitātes</w:t>
            </w:r>
          </w:p>
        </w:tc>
      </w:tr>
      <w:tr w:rsidR="00ED65AD" w:rsidRPr="008F64A0" w14:paraId="3F0A883C" w14:textId="77777777" w:rsidTr="00ED65AD">
        <w:trPr>
          <w:trHeight w:val="687"/>
        </w:trPr>
        <w:tc>
          <w:tcPr>
            <w:tcW w:w="3681" w:type="dxa"/>
            <w:vMerge w:val="restart"/>
          </w:tcPr>
          <w:p w14:paraId="2786988A" w14:textId="37FA39E7" w:rsidR="00ED65AD" w:rsidRPr="008F64A0" w:rsidRDefault="005F07DA" w:rsidP="00031F27">
            <w:pPr>
              <w:spacing w:before="0" w:line="240" w:lineRule="auto"/>
            </w:pPr>
            <w:r w:rsidRPr="008F64A0">
              <w:t xml:space="preserve">SM1. </w:t>
            </w:r>
            <w:r w:rsidR="00ED65AD" w:rsidRPr="008F64A0">
              <w:t>Stiprināt un attīstīt visus kopējās Eiropas patvēruma sistēmas aspektus, tostarp tās ārējo dimensiju</w:t>
            </w:r>
          </w:p>
        </w:tc>
        <w:tc>
          <w:tcPr>
            <w:tcW w:w="6662" w:type="dxa"/>
          </w:tcPr>
          <w:p w14:paraId="7196BE2C" w14:textId="77777777" w:rsidR="00ED65AD" w:rsidRPr="008F64A0" w:rsidRDefault="00ED65AD" w:rsidP="00031F27">
            <w:pPr>
              <w:pStyle w:val="Sarakstarindkopa"/>
              <w:numPr>
                <w:ilvl w:val="0"/>
                <w:numId w:val="21"/>
              </w:numPr>
              <w:spacing w:before="0" w:line="240" w:lineRule="auto"/>
            </w:pPr>
            <w:r w:rsidRPr="008F64A0">
              <w:t>Kopējās Eiropas patvēruma sistēmas ieviešana un administratīvās kapacitātes stiprināšana</w:t>
            </w:r>
          </w:p>
        </w:tc>
      </w:tr>
      <w:tr w:rsidR="00ED65AD" w:rsidRPr="008F64A0" w14:paraId="14BCDAE9" w14:textId="77777777" w:rsidTr="00ED65AD">
        <w:trPr>
          <w:trHeight w:val="288"/>
        </w:trPr>
        <w:tc>
          <w:tcPr>
            <w:tcW w:w="3681" w:type="dxa"/>
            <w:vMerge/>
          </w:tcPr>
          <w:p w14:paraId="12192F28" w14:textId="77777777" w:rsidR="00ED65AD" w:rsidRPr="008F64A0" w:rsidRDefault="00ED65AD" w:rsidP="00031F27">
            <w:pPr>
              <w:spacing w:before="0" w:line="240" w:lineRule="auto"/>
            </w:pPr>
          </w:p>
        </w:tc>
        <w:tc>
          <w:tcPr>
            <w:tcW w:w="6662" w:type="dxa"/>
          </w:tcPr>
          <w:p w14:paraId="6B32BE56" w14:textId="77777777" w:rsidR="00ED65AD" w:rsidRPr="008F64A0" w:rsidRDefault="00ED65AD" w:rsidP="00031F27">
            <w:pPr>
              <w:pStyle w:val="Sarakstarindkopa"/>
              <w:numPr>
                <w:ilvl w:val="0"/>
                <w:numId w:val="21"/>
              </w:numPr>
              <w:spacing w:before="0" w:line="240" w:lineRule="auto"/>
            </w:pPr>
            <w:r w:rsidRPr="008F64A0">
              <w:t>Informācijas un komunikāciju tehnoloģiju risinājumu izstrāde</w:t>
            </w:r>
          </w:p>
        </w:tc>
      </w:tr>
      <w:tr w:rsidR="00ED65AD" w:rsidRPr="008F64A0" w14:paraId="03A67D62" w14:textId="77777777" w:rsidTr="00ED65AD">
        <w:trPr>
          <w:trHeight w:val="451"/>
        </w:trPr>
        <w:tc>
          <w:tcPr>
            <w:tcW w:w="3681" w:type="dxa"/>
            <w:vMerge/>
          </w:tcPr>
          <w:p w14:paraId="2C26E540" w14:textId="77777777" w:rsidR="00ED65AD" w:rsidRPr="008F64A0" w:rsidRDefault="00ED65AD" w:rsidP="00031F27">
            <w:pPr>
              <w:spacing w:before="0" w:line="240" w:lineRule="auto"/>
            </w:pPr>
          </w:p>
        </w:tc>
        <w:tc>
          <w:tcPr>
            <w:tcW w:w="6662" w:type="dxa"/>
          </w:tcPr>
          <w:p w14:paraId="6B35A276" w14:textId="77777777" w:rsidR="00ED65AD" w:rsidRPr="008F64A0" w:rsidRDefault="00ED65AD" w:rsidP="00031F27">
            <w:pPr>
              <w:pStyle w:val="Sarakstarindkopa"/>
              <w:numPr>
                <w:ilvl w:val="0"/>
                <w:numId w:val="21"/>
              </w:numPr>
              <w:spacing w:before="0" w:line="240" w:lineRule="auto"/>
            </w:pPr>
            <w:r w:rsidRPr="008F64A0">
              <w:t>Patvēruma meklētāju izmitināšanas centra attīstība Muceniekos</w:t>
            </w:r>
          </w:p>
        </w:tc>
      </w:tr>
      <w:tr w:rsidR="00ED65AD" w:rsidRPr="008F64A0" w14:paraId="411F8336" w14:textId="77777777" w:rsidTr="00ED65AD">
        <w:trPr>
          <w:trHeight w:val="410"/>
        </w:trPr>
        <w:tc>
          <w:tcPr>
            <w:tcW w:w="3681" w:type="dxa"/>
            <w:vMerge w:val="restart"/>
          </w:tcPr>
          <w:p w14:paraId="2524DD76" w14:textId="63E71EED" w:rsidR="00ED65AD" w:rsidRPr="008F64A0" w:rsidRDefault="005F07DA" w:rsidP="00031F27">
            <w:pPr>
              <w:spacing w:before="0" w:line="240" w:lineRule="auto"/>
            </w:pPr>
            <w:r w:rsidRPr="008F64A0">
              <w:t xml:space="preserve">SM2. </w:t>
            </w:r>
            <w:r w:rsidR="00ED65AD" w:rsidRPr="008F64A0">
              <w:t>Sniegt atbalstu likumīgai migrācijai uz dalībvalstīm saskaņā ar to ekonomiskajām un sociālajām vajadzībām, piemēram, darba tirgus vajadzībām, vienlaikus nodrošinot dalībvalstu imigrācijas sistēmu integritāti, un veicināt trešo valstu valstspiederīgo efektīvu integrāciju</w:t>
            </w:r>
          </w:p>
        </w:tc>
        <w:tc>
          <w:tcPr>
            <w:tcW w:w="6662" w:type="dxa"/>
          </w:tcPr>
          <w:p w14:paraId="1250CEF0" w14:textId="77777777" w:rsidR="00ED65AD" w:rsidRPr="008F64A0" w:rsidRDefault="00ED65AD" w:rsidP="00031F27">
            <w:pPr>
              <w:pStyle w:val="Sarakstarindkopa"/>
              <w:numPr>
                <w:ilvl w:val="0"/>
                <w:numId w:val="21"/>
              </w:numPr>
              <w:spacing w:before="0" w:line="240" w:lineRule="auto"/>
            </w:pPr>
            <w:r w:rsidRPr="008F64A0">
              <w:t>Latviešu valodas kursu izstrāde, pielāgojot dažādām grupām</w:t>
            </w:r>
          </w:p>
        </w:tc>
      </w:tr>
      <w:tr w:rsidR="00ED65AD" w:rsidRPr="008F64A0" w14:paraId="2C9035E4" w14:textId="77777777" w:rsidTr="00ED65AD">
        <w:trPr>
          <w:trHeight w:val="408"/>
        </w:trPr>
        <w:tc>
          <w:tcPr>
            <w:tcW w:w="3681" w:type="dxa"/>
            <w:vMerge/>
          </w:tcPr>
          <w:p w14:paraId="70F98708" w14:textId="77777777" w:rsidR="00ED65AD" w:rsidRPr="008F64A0" w:rsidRDefault="00ED65AD" w:rsidP="00031F27">
            <w:pPr>
              <w:spacing w:before="0" w:line="240" w:lineRule="auto"/>
            </w:pPr>
          </w:p>
        </w:tc>
        <w:tc>
          <w:tcPr>
            <w:tcW w:w="6662" w:type="dxa"/>
          </w:tcPr>
          <w:p w14:paraId="2FBE24A2" w14:textId="77777777" w:rsidR="00ED65AD" w:rsidRPr="008F64A0" w:rsidRDefault="00ED65AD" w:rsidP="00031F27">
            <w:pPr>
              <w:pStyle w:val="Sarakstarindkopa"/>
              <w:numPr>
                <w:ilvl w:val="0"/>
                <w:numId w:val="21"/>
              </w:numPr>
              <w:spacing w:before="0" w:line="240" w:lineRule="auto"/>
            </w:pPr>
            <w:r w:rsidRPr="008F64A0">
              <w:t>Trešo valstu pilsoņu integrācija, iesaistot masu medijus</w:t>
            </w:r>
          </w:p>
        </w:tc>
      </w:tr>
      <w:tr w:rsidR="00ED65AD" w:rsidRPr="008F64A0" w14:paraId="4CD08E4D" w14:textId="77777777" w:rsidTr="00ED65AD">
        <w:trPr>
          <w:trHeight w:val="408"/>
        </w:trPr>
        <w:tc>
          <w:tcPr>
            <w:tcW w:w="3681" w:type="dxa"/>
            <w:vMerge/>
          </w:tcPr>
          <w:p w14:paraId="337039E8" w14:textId="77777777" w:rsidR="00ED65AD" w:rsidRPr="008F64A0" w:rsidRDefault="00ED65AD" w:rsidP="00031F27">
            <w:pPr>
              <w:spacing w:before="0" w:line="240" w:lineRule="auto"/>
            </w:pPr>
          </w:p>
        </w:tc>
        <w:tc>
          <w:tcPr>
            <w:tcW w:w="6662" w:type="dxa"/>
          </w:tcPr>
          <w:p w14:paraId="736A3718" w14:textId="77777777" w:rsidR="00ED65AD" w:rsidRPr="008F64A0" w:rsidRDefault="00ED65AD" w:rsidP="00031F27">
            <w:pPr>
              <w:pStyle w:val="Sarakstarindkopa"/>
              <w:numPr>
                <w:ilvl w:val="0"/>
                <w:numId w:val="21"/>
              </w:numPr>
              <w:spacing w:before="0" w:line="240" w:lineRule="auto"/>
            </w:pPr>
            <w:r w:rsidRPr="008F64A0">
              <w:t>Ievadprogrammas trešo valstu pilsoņiem, ieskaitot mazaizsargātās grupas</w:t>
            </w:r>
          </w:p>
        </w:tc>
      </w:tr>
      <w:tr w:rsidR="00ED65AD" w:rsidRPr="008F64A0" w14:paraId="4DF90027" w14:textId="77777777" w:rsidTr="00ED65AD">
        <w:trPr>
          <w:trHeight w:val="408"/>
        </w:trPr>
        <w:tc>
          <w:tcPr>
            <w:tcW w:w="3681" w:type="dxa"/>
            <w:vMerge/>
          </w:tcPr>
          <w:p w14:paraId="77F0001A" w14:textId="77777777" w:rsidR="00ED65AD" w:rsidRPr="008F64A0" w:rsidRDefault="00ED65AD" w:rsidP="00031F27">
            <w:pPr>
              <w:spacing w:before="0" w:line="240" w:lineRule="auto"/>
            </w:pPr>
          </w:p>
        </w:tc>
        <w:tc>
          <w:tcPr>
            <w:tcW w:w="6662" w:type="dxa"/>
          </w:tcPr>
          <w:p w14:paraId="4D40E75F" w14:textId="77777777" w:rsidR="00ED65AD" w:rsidRPr="008F64A0" w:rsidRDefault="00ED65AD" w:rsidP="00031F27">
            <w:pPr>
              <w:pStyle w:val="Sarakstarindkopa"/>
              <w:numPr>
                <w:ilvl w:val="0"/>
                <w:numId w:val="21"/>
              </w:numPr>
              <w:spacing w:before="0" w:line="240" w:lineRule="auto"/>
            </w:pPr>
            <w:r w:rsidRPr="008F64A0">
              <w:t>Atbalsta pasākumi trešo valstu pilsoņiem un personām, kurām nepieciešama starptautiskā aizsardzība (bēgļiem un personām, kurām piešķirta alternatīvā aizsardzība)</w:t>
            </w:r>
          </w:p>
        </w:tc>
      </w:tr>
      <w:tr w:rsidR="00ED65AD" w:rsidRPr="008F64A0" w14:paraId="05818F1E" w14:textId="77777777" w:rsidTr="00ED65AD">
        <w:trPr>
          <w:trHeight w:val="408"/>
        </w:trPr>
        <w:tc>
          <w:tcPr>
            <w:tcW w:w="3681" w:type="dxa"/>
            <w:vMerge/>
          </w:tcPr>
          <w:p w14:paraId="6487AD6F" w14:textId="77777777" w:rsidR="00ED65AD" w:rsidRPr="008F64A0" w:rsidRDefault="00ED65AD" w:rsidP="00031F27">
            <w:pPr>
              <w:spacing w:before="0" w:line="240" w:lineRule="auto"/>
            </w:pPr>
          </w:p>
        </w:tc>
        <w:tc>
          <w:tcPr>
            <w:tcW w:w="6662" w:type="dxa"/>
          </w:tcPr>
          <w:p w14:paraId="4415704A" w14:textId="77777777" w:rsidR="00ED65AD" w:rsidRPr="008F64A0" w:rsidRDefault="00ED65AD" w:rsidP="00031F27">
            <w:pPr>
              <w:pStyle w:val="Sarakstarindkopa"/>
              <w:numPr>
                <w:ilvl w:val="0"/>
                <w:numId w:val="21"/>
              </w:numPr>
              <w:spacing w:before="0" w:line="240" w:lineRule="auto"/>
            </w:pPr>
            <w:r w:rsidRPr="008F64A0">
              <w:t>Administratīvās kapacitātes stiprināšana saistībā ar migrācijas un naturalizācijas procesu</w:t>
            </w:r>
          </w:p>
        </w:tc>
      </w:tr>
      <w:tr w:rsidR="00ED65AD" w:rsidRPr="008F64A0" w14:paraId="54B34790" w14:textId="77777777" w:rsidTr="00ED65AD">
        <w:trPr>
          <w:trHeight w:val="408"/>
        </w:trPr>
        <w:tc>
          <w:tcPr>
            <w:tcW w:w="3681" w:type="dxa"/>
            <w:vMerge/>
          </w:tcPr>
          <w:p w14:paraId="565C2945" w14:textId="77777777" w:rsidR="00ED65AD" w:rsidRPr="008F64A0" w:rsidRDefault="00ED65AD" w:rsidP="00031F27">
            <w:pPr>
              <w:spacing w:before="0" w:line="240" w:lineRule="auto"/>
            </w:pPr>
          </w:p>
        </w:tc>
        <w:tc>
          <w:tcPr>
            <w:tcW w:w="6662" w:type="dxa"/>
          </w:tcPr>
          <w:p w14:paraId="28A81ED3" w14:textId="77777777" w:rsidR="00ED65AD" w:rsidRPr="008F64A0" w:rsidRDefault="00ED65AD" w:rsidP="00031F27">
            <w:pPr>
              <w:pStyle w:val="Sarakstarindkopa"/>
              <w:numPr>
                <w:ilvl w:val="0"/>
                <w:numId w:val="22"/>
              </w:numPr>
              <w:spacing w:before="0" w:line="240" w:lineRule="auto"/>
              <w:ind w:left="463" w:hanging="463"/>
            </w:pPr>
            <w:r w:rsidRPr="008F64A0">
              <w:t>Nacionāla līmeņa koordinācijas sistēmas izveide trešo valstu pilsoņiem</w:t>
            </w:r>
          </w:p>
        </w:tc>
      </w:tr>
      <w:tr w:rsidR="00ED65AD" w:rsidRPr="008F64A0" w14:paraId="7822A616" w14:textId="77777777" w:rsidTr="00ED65AD">
        <w:trPr>
          <w:trHeight w:val="312"/>
        </w:trPr>
        <w:tc>
          <w:tcPr>
            <w:tcW w:w="3681" w:type="dxa"/>
            <w:vMerge w:val="restart"/>
          </w:tcPr>
          <w:p w14:paraId="7CCD4104" w14:textId="5B96E8F1" w:rsidR="00ED65AD" w:rsidRPr="008F64A0" w:rsidRDefault="005F07DA" w:rsidP="00031F27">
            <w:pPr>
              <w:spacing w:before="0" w:line="240" w:lineRule="auto"/>
            </w:pPr>
            <w:r w:rsidRPr="008F64A0">
              <w:lastRenderedPageBreak/>
              <w:t xml:space="preserve">SM3. </w:t>
            </w:r>
            <w:r w:rsidR="00ED65AD" w:rsidRPr="008F64A0">
              <w:t>Stiprināt taisnīgas un efektīvas atgriešanas stratēģijas dalībvalstīs, kas veicina nelikumīgās imigrācijas apkarošanu, uzsvaru liekot uz atgriešanas ilgtspēju un efektīvu atpakaļuzņemšanu izcelsmes un tranzīta valstīs</w:t>
            </w:r>
          </w:p>
        </w:tc>
        <w:tc>
          <w:tcPr>
            <w:tcW w:w="6662" w:type="dxa"/>
          </w:tcPr>
          <w:p w14:paraId="69443142" w14:textId="77777777" w:rsidR="00ED65AD" w:rsidRPr="008F64A0" w:rsidRDefault="00ED65AD" w:rsidP="00031F27">
            <w:pPr>
              <w:pStyle w:val="Sarakstarindkopa"/>
              <w:numPr>
                <w:ilvl w:val="0"/>
                <w:numId w:val="22"/>
              </w:numPr>
              <w:spacing w:before="0" w:line="240" w:lineRule="auto"/>
              <w:ind w:left="463" w:hanging="429"/>
            </w:pPr>
            <w:r w:rsidRPr="008F64A0">
              <w:t>VRS uzņemšanas spēju attīstība aizturētajiem trešo valstu pilsoņiem</w:t>
            </w:r>
          </w:p>
        </w:tc>
      </w:tr>
      <w:tr w:rsidR="00ED65AD" w:rsidRPr="008F64A0" w14:paraId="1218033C" w14:textId="77777777" w:rsidTr="00ED65AD">
        <w:trPr>
          <w:trHeight w:val="308"/>
        </w:trPr>
        <w:tc>
          <w:tcPr>
            <w:tcW w:w="3681" w:type="dxa"/>
            <w:vMerge/>
          </w:tcPr>
          <w:p w14:paraId="644A9685" w14:textId="77777777" w:rsidR="00ED65AD" w:rsidRPr="008F64A0" w:rsidRDefault="00ED65AD" w:rsidP="00031F27">
            <w:pPr>
              <w:spacing w:before="0" w:line="240" w:lineRule="auto"/>
            </w:pPr>
          </w:p>
        </w:tc>
        <w:tc>
          <w:tcPr>
            <w:tcW w:w="6662" w:type="dxa"/>
          </w:tcPr>
          <w:p w14:paraId="1C7D6853" w14:textId="77777777" w:rsidR="00ED65AD" w:rsidRPr="008F64A0" w:rsidRDefault="00ED65AD" w:rsidP="00031F27">
            <w:pPr>
              <w:pStyle w:val="Sarakstarindkopa"/>
              <w:numPr>
                <w:ilvl w:val="0"/>
                <w:numId w:val="22"/>
              </w:numPr>
              <w:spacing w:before="0" w:line="240" w:lineRule="auto"/>
              <w:ind w:left="463" w:hanging="429"/>
            </w:pPr>
            <w:r w:rsidRPr="008F64A0">
              <w:t>VRS personāla kapacitātes celšana atgriešanas un patvēruma jomā</w:t>
            </w:r>
          </w:p>
        </w:tc>
      </w:tr>
      <w:tr w:rsidR="00ED65AD" w:rsidRPr="008F64A0" w14:paraId="31544D9E" w14:textId="77777777" w:rsidTr="00ED65AD">
        <w:trPr>
          <w:trHeight w:val="308"/>
        </w:trPr>
        <w:tc>
          <w:tcPr>
            <w:tcW w:w="3681" w:type="dxa"/>
            <w:vMerge/>
          </w:tcPr>
          <w:p w14:paraId="3E40C86C" w14:textId="77777777" w:rsidR="00ED65AD" w:rsidRPr="008F64A0" w:rsidRDefault="00ED65AD" w:rsidP="00031F27">
            <w:pPr>
              <w:spacing w:before="0" w:line="240" w:lineRule="auto"/>
            </w:pPr>
          </w:p>
        </w:tc>
        <w:tc>
          <w:tcPr>
            <w:tcW w:w="6662" w:type="dxa"/>
          </w:tcPr>
          <w:p w14:paraId="5655B6D8" w14:textId="77777777" w:rsidR="00ED65AD" w:rsidRPr="008F64A0" w:rsidRDefault="00ED65AD" w:rsidP="00031F27">
            <w:pPr>
              <w:pStyle w:val="Sarakstarindkopa"/>
              <w:numPr>
                <w:ilvl w:val="0"/>
                <w:numId w:val="22"/>
              </w:numPr>
              <w:spacing w:before="0" w:line="240" w:lineRule="auto"/>
              <w:ind w:left="463" w:hanging="429"/>
            </w:pPr>
            <w:r w:rsidRPr="008F64A0">
              <w:t>VRS telpu, materiālās un tehniskās bāzes uzlabošana</w:t>
            </w:r>
          </w:p>
        </w:tc>
      </w:tr>
      <w:tr w:rsidR="00ED65AD" w:rsidRPr="008F64A0" w14:paraId="08C94BA0" w14:textId="77777777" w:rsidTr="00ED65AD">
        <w:trPr>
          <w:trHeight w:val="308"/>
        </w:trPr>
        <w:tc>
          <w:tcPr>
            <w:tcW w:w="3681" w:type="dxa"/>
            <w:vMerge/>
          </w:tcPr>
          <w:p w14:paraId="0A327560" w14:textId="77777777" w:rsidR="00ED65AD" w:rsidRPr="008F64A0" w:rsidRDefault="00ED65AD" w:rsidP="00031F27">
            <w:pPr>
              <w:spacing w:before="0" w:line="240" w:lineRule="auto"/>
            </w:pPr>
          </w:p>
        </w:tc>
        <w:tc>
          <w:tcPr>
            <w:tcW w:w="6662" w:type="dxa"/>
          </w:tcPr>
          <w:p w14:paraId="4CCDA895" w14:textId="77777777" w:rsidR="00ED65AD" w:rsidRPr="008F64A0" w:rsidRDefault="00ED65AD" w:rsidP="00031F27">
            <w:pPr>
              <w:pStyle w:val="Sarakstarindkopa"/>
              <w:numPr>
                <w:ilvl w:val="0"/>
                <w:numId w:val="22"/>
              </w:numPr>
              <w:spacing w:before="0" w:line="240" w:lineRule="auto"/>
              <w:ind w:left="463" w:hanging="429"/>
            </w:pPr>
            <w:r w:rsidRPr="008F64A0">
              <w:t>Efektīva novērošanas procesa ieviešana</w:t>
            </w:r>
          </w:p>
        </w:tc>
      </w:tr>
      <w:tr w:rsidR="00ED65AD" w:rsidRPr="008F64A0" w14:paraId="08D3940C" w14:textId="77777777" w:rsidTr="00ED65AD">
        <w:trPr>
          <w:trHeight w:val="308"/>
        </w:trPr>
        <w:tc>
          <w:tcPr>
            <w:tcW w:w="3681" w:type="dxa"/>
            <w:vMerge/>
          </w:tcPr>
          <w:p w14:paraId="2D66F764" w14:textId="77777777" w:rsidR="00ED65AD" w:rsidRPr="008F64A0" w:rsidRDefault="00ED65AD" w:rsidP="00031F27">
            <w:pPr>
              <w:spacing w:before="0" w:line="240" w:lineRule="auto"/>
            </w:pPr>
          </w:p>
        </w:tc>
        <w:tc>
          <w:tcPr>
            <w:tcW w:w="6662" w:type="dxa"/>
          </w:tcPr>
          <w:p w14:paraId="622D8EFE" w14:textId="77777777" w:rsidR="00ED65AD" w:rsidRPr="008F64A0" w:rsidRDefault="00ED65AD" w:rsidP="00031F27">
            <w:pPr>
              <w:pStyle w:val="Sarakstarindkopa"/>
              <w:numPr>
                <w:ilvl w:val="0"/>
                <w:numId w:val="23"/>
              </w:numPr>
              <w:spacing w:before="0" w:line="240" w:lineRule="auto"/>
              <w:ind w:left="463" w:hanging="425"/>
            </w:pPr>
            <w:r w:rsidRPr="008F64A0">
              <w:t>Vienotās migrācijas informācijas sistēmas uzlabošana saistībā ar atgriešanas procesu</w:t>
            </w:r>
          </w:p>
        </w:tc>
      </w:tr>
      <w:tr w:rsidR="00ED65AD" w:rsidRPr="008F64A0" w14:paraId="1F97BA1B" w14:textId="77777777" w:rsidTr="00ED65AD">
        <w:trPr>
          <w:trHeight w:val="308"/>
        </w:trPr>
        <w:tc>
          <w:tcPr>
            <w:tcW w:w="3681" w:type="dxa"/>
            <w:vMerge/>
          </w:tcPr>
          <w:p w14:paraId="37E347CF" w14:textId="77777777" w:rsidR="00ED65AD" w:rsidRPr="008F64A0" w:rsidRDefault="00ED65AD" w:rsidP="00031F27">
            <w:pPr>
              <w:spacing w:before="0" w:line="240" w:lineRule="auto"/>
            </w:pPr>
          </w:p>
        </w:tc>
        <w:tc>
          <w:tcPr>
            <w:tcW w:w="6662" w:type="dxa"/>
          </w:tcPr>
          <w:p w14:paraId="25469390" w14:textId="77777777" w:rsidR="00ED65AD" w:rsidRPr="008F64A0" w:rsidRDefault="00ED65AD" w:rsidP="00031F27">
            <w:pPr>
              <w:pStyle w:val="Sarakstarindkopa"/>
              <w:numPr>
                <w:ilvl w:val="0"/>
                <w:numId w:val="22"/>
              </w:numPr>
              <w:spacing w:before="0" w:line="240" w:lineRule="auto"/>
              <w:ind w:left="463" w:hanging="425"/>
            </w:pPr>
            <w:r w:rsidRPr="008F64A0">
              <w:t>Atbalsta nodrošināšana piespiedu atgriešanas organizēšanai un uzlabošanai</w:t>
            </w:r>
          </w:p>
        </w:tc>
      </w:tr>
      <w:tr w:rsidR="00ED65AD" w:rsidRPr="008F64A0" w14:paraId="6F32C429" w14:textId="77777777" w:rsidTr="00ED65AD">
        <w:trPr>
          <w:trHeight w:val="308"/>
        </w:trPr>
        <w:tc>
          <w:tcPr>
            <w:tcW w:w="3681" w:type="dxa"/>
            <w:vMerge/>
          </w:tcPr>
          <w:p w14:paraId="1ACB5987" w14:textId="77777777" w:rsidR="00ED65AD" w:rsidRPr="008F64A0" w:rsidRDefault="00ED65AD" w:rsidP="00031F27">
            <w:pPr>
              <w:spacing w:before="0" w:line="240" w:lineRule="auto"/>
            </w:pPr>
          </w:p>
        </w:tc>
        <w:tc>
          <w:tcPr>
            <w:tcW w:w="6662" w:type="dxa"/>
          </w:tcPr>
          <w:p w14:paraId="063660F8" w14:textId="77777777" w:rsidR="00ED65AD" w:rsidRPr="008F64A0" w:rsidRDefault="00ED65AD" w:rsidP="00031F27">
            <w:pPr>
              <w:pStyle w:val="Sarakstarindkopa"/>
              <w:numPr>
                <w:ilvl w:val="0"/>
                <w:numId w:val="22"/>
              </w:numPr>
              <w:spacing w:before="0" w:line="240" w:lineRule="auto"/>
              <w:ind w:left="463" w:hanging="429"/>
            </w:pPr>
            <w:r w:rsidRPr="008F64A0">
              <w:t>Brīvprātīgās atgriešanas un reintegrācijas sistēmas stiprināšana Latvijā</w:t>
            </w:r>
          </w:p>
        </w:tc>
      </w:tr>
      <w:tr w:rsidR="00ED65AD" w:rsidRPr="008F64A0" w14:paraId="5FDC5109" w14:textId="77777777" w:rsidTr="00ED65AD">
        <w:trPr>
          <w:trHeight w:val="1557"/>
        </w:trPr>
        <w:tc>
          <w:tcPr>
            <w:tcW w:w="3681" w:type="dxa"/>
          </w:tcPr>
          <w:p w14:paraId="099C5055" w14:textId="542F78F2" w:rsidR="00ED65AD" w:rsidRPr="008F64A0" w:rsidRDefault="005F07DA" w:rsidP="00031F27">
            <w:pPr>
              <w:spacing w:before="0" w:line="240" w:lineRule="auto"/>
            </w:pPr>
            <w:r w:rsidRPr="008F64A0">
              <w:t xml:space="preserve">SM4. </w:t>
            </w:r>
            <w:r w:rsidR="00ED65AD" w:rsidRPr="008F64A0">
              <w:t>Stiprināt solidaritāti un atbildības dalīšanu starp dalībvalstīm, īpaši ar tām, kuras visvairāk ietekmē migrācijas un patvēruma plūsmas, tostarp īstenojot praktisku sadarbību</w:t>
            </w:r>
          </w:p>
        </w:tc>
        <w:tc>
          <w:tcPr>
            <w:tcW w:w="6662" w:type="dxa"/>
          </w:tcPr>
          <w:p w14:paraId="4CC29509" w14:textId="0275DEC4" w:rsidR="00ED65AD" w:rsidRPr="008F64A0" w:rsidRDefault="00ED65AD" w:rsidP="00031F27">
            <w:pPr>
              <w:spacing w:before="0" w:line="240" w:lineRule="auto"/>
            </w:pPr>
            <w:r w:rsidRPr="008F64A0">
              <w:t>Nacionālajā programmā šī mērķa sasniegšanai aktivitātes nav tikušas paredzētas.</w:t>
            </w:r>
          </w:p>
        </w:tc>
      </w:tr>
      <w:tr w:rsidR="00FA2208" w:rsidRPr="008F64A0" w14:paraId="7DFF5E07" w14:textId="77777777" w:rsidTr="00FA2208">
        <w:trPr>
          <w:trHeight w:val="491"/>
        </w:trPr>
        <w:tc>
          <w:tcPr>
            <w:tcW w:w="3681" w:type="dxa"/>
          </w:tcPr>
          <w:p w14:paraId="1B56412E" w14:textId="1338C258" w:rsidR="00FA2208" w:rsidRPr="008F64A0" w:rsidRDefault="00FA2208" w:rsidP="00031F27">
            <w:pPr>
              <w:spacing w:before="0" w:line="240" w:lineRule="auto"/>
              <w:rPr>
                <w:i/>
                <w:iCs/>
              </w:rPr>
            </w:pPr>
            <w:r w:rsidRPr="008F64A0">
              <w:rPr>
                <w:i/>
                <w:iCs/>
              </w:rPr>
              <w:t>Īpašie gadījumi</w:t>
            </w:r>
          </w:p>
        </w:tc>
        <w:tc>
          <w:tcPr>
            <w:tcW w:w="6662" w:type="dxa"/>
          </w:tcPr>
          <w:p w14:paraId="570F38B5" w14:textId="482034FC" w:rsidR="00FA2208" w:rsidRPr="008F64A0" w:rsidRDefault="00834082" w:rsidP="00031F27">
            <w:pPr>
              <w:spacing w:before="0" w:line="240" w:lineRule="auto"/>
              <w:rPr>
                <w:i/>
                <w:iCs/>
              </w:rPr>
            </w:pPr>
            <w:r w:rsidRPr="008F64A0">
              <w:rPr>
                <w:i/>
                <w:iCs/>
              </w:rPr>
              <w:t>P</w:t>
            </w:r>
            <w:r w:rsidR="00FA2208" w:rsidRPr="008F64A0">
              <w:rPr>
                <w:i/>
                <w:iCs/>
              </w:rPr>
              <w:t>ersonu</w:t>
            </w:r>
            <w:r w:rsidRPr="008F64A0">
              <w:rPr>
                <w:i/>
                <w:iCs/>
              </w:rPr>
              <w:t>, kurām nepieciešama starptautiskā aizsardzība,</w:t>
            </w:r>
            <w:r w:rsidR="00FA2208" w:rsidRPr="008F64A0">
              <w:rPr>
                <w:i/>
                <w:iCs/>
              </w:rPr>
              <w:t xml:space="preserve"> pārvietošana</w:t>
            </w:r>
            <w:r w:rsidRPr="008F64A0">
              <w:rPr>
                <w:i/>
                <w:iCs/>
              </w:rPr>
              <w:t>s pasākumi</w:t>
            </w:r>
            <w:r w:rsidR="00FA2208" w:rsidRPr="008F64A0">
              <w:rPr>
                <w:i/>
                <w:iCs/>
              </w:rPr>
              <w:t xml:space="preserve"> no Itālijas, Grieķijas un Turcijas un uzņemšana Latvijā</w:t>
            </w:r>
          </w:p>
        </w:tc>
      </w:tr>
    </w:tbl>
    <w:p w14:paraId="5FB3D841" w14:textId="754CD636" w:rsidR="00B37AB4" w:rsidRPr="008F64A0" w:rsidRDefault="00B37AB4" w:rsidP="00B37AB4">
      <w:pPr>
        <w:jc w:val="right"/>
        <w:rPr>
          <w:rStyle w:val="Izsmalcintsizclums"/>
        </w:rPr>
      </w:pPr>
      <w:r w:rsidRPr="008F64A0">
        <w:rPr>
          <w:rStyle w:val="Izsmalcintsizclums"/>
        </w:rPr>
        <w:t xml:space="preserve">Avots: </w:t>
      </w:r>
      <w:r w:rsidRPr="00A070AF">
        <w:rPr>
          <w:rStyle w:val="Izsmalcintsizclums"/>
        </w:rPr>
        <w:t>PMIF</w:t>
      </w:r>
      <w:r w:rsidRPr="008F64A0">
        <w:rPr>
          <w:rStyle w:val="Izsmalcintsizclums"/>
        </w:rPr>
        <w:t xml:space="preserve"> nacionālā programma</w:t>
      </w:r>
    </w:p>
    <w:p w14:paraId="6440968D" w14:textId="7C219ED0" w:rsidR="00AA2604" w:rsidRPr="008F64A0" w:rsidRDefault="001A43E3" w:rsidP="00745A95">
      <w:r w:rsidRPr="008F64A0">
        <w:t>PMIF nacionālā</w:t>
      </w:r>
      <w:r w:rsidR="003822E5">
        <w:t>s</w:t>
      </w:r>
      <w:r w:rsidRPr="008F64A0">
        <w:t xml:space="preserve"> programm</w:t>
      </w:r>
      <w:r w:rsidR="003822E5">
        <w:t>as ietvaros tika realizēts plašs projektu kopums.</w:t>
      </w:r>
      <w:r w:rsidRPr="008F64A0">
        <w:t xml:space="preserve"> </w:t>
      </w:r>
      <w:r w:rsidR="003822E5">
        <w:t xml:space="preserve">Programmas </w:t>
      </w:r>
      <w:r w:rsidR="00874728">
        <w:t xml:space="preserve">īstenošanā iesaistījās </w:t>
      </w:r>
      <w:r w:rsidR="00874728" w:rsidRPr="008F64A0">
        <w:t>19 dažādas iestādes un organizācijas</w:t>
      </w:r>
      <w:r w:rsidR="00874728">
        <w:t xml:space="preserve">, </w:t>
      </w:r>
      <w:r w:rsidRPr="008F64A0">
        <w:t>k</w:t>
      </w:r>
      <w:r w:rsidR="00F352C5" w:rsidRPr="008F64A0">
        <w:t>opumā īsteno</w:t>
      </w:r>
      <w:r w:rsidR="00874728">
        <w:t>jo</w:t>
      </w:r>
      <w:r w:rsidR="00F352C5" w:rsidRPr="008F64A0">
        <w:t xml:space="preserve">t </w:t>
      </w:r>
      <w:r w:rsidR="005C4A5E" w:rsidRPr="008F64A0">
        <w:t xml:space="preserve"> 6</w:t>
      </w:r>
      <w:r w:rsidR="00511BE7" w:rsidRPr="008F64A0">
        <w:t>2</w:t>
      </w:r>
      <w:r w:rsidR="005C4A5E" w:rsidRPr="008F64A0">
        <w:t xml:space="preserve"> projekt</w:t>
      </w:r>
      <w:r w:rsidR="00874728">
        <w:t>us</w:t>
      </w:r>
      <w:r w:rsidR="005C4A5E" w:rsidRPr="008F64A0">
        <w:rPr>
          <w:rStyle w:val="Vresatsauce"/>
        </w:rPr>
        <w:footnoteReference w:id="7"/>
      </w:r>
      <w:r w:rsidR="00630B43">
        <w:t>.</w:t>
      </w:r>
      <w:r w:rsidR="00D464C4" w:rsidRPr="008F64A0">
        <w:t xml:space="preserve">  N</w:t>
      </w:r>
      <w:r w:rsidR="005F07DA" w:rsidRPr="008F64A0">
        <w:t xml:space="preserve">o </w:t>
      </w:r>
      <w:r w:rsidR="00630B43">
        <w:t>tiem</w:t>
      </w:r>
      <w:r w:rsidR="005F07DA" w:rsidRPr="008F64A0">
        <w:t xml:space="preserve"> 36</w:t>
      </w:r>
      <w:r w:rsidR="000722DF">
        <w:t xml:space="preserve"> projekti</w:t>
      </w:r>
      <w:r w:rsidR="005F07DA" w:rsidRPr="008F64A0">
        <w:t xml:space="preserve"> </w:t>
      </w:r>
      <w:r w:rsidR="000722DF">
        <w:t>tika realizēti</w:t>
      </w:r>
      <w:r w:rsidR="005F07DA" w:rsidRPr="008F64A0">
        <w:t xml:space="preserve"> deleģētās iestādes pārraudzībā</w:t>
      </w:r>
      <w:r w:rsidR="000722DF">
        <w:t xml:space="preserve">, kas </w:t>
      </w:r>
      <w:r w:rsidR="005F07DA" w:rsidRPr="008F64A0">
        <w:t>bij</w:t>
      </w:r>
      <w:r w:rsidR="000722DF">
        <w:t>a</w:t>
      </w:r>
      <w:r w:rsidR="005F07DA" w:rsidRPr="008F64A0">
        <w:t xml:space="preserve"> atbildīga par </w:t>
      </w:r>
      <w:r w:rsidR="00DE6CBA" w:rsidRPr="008F64A0">
        <w:t xml:space="preserve">SM2 ietvaros noteiktā </w:t>
      </w:r>
      <w:r w:rsidR="005F07DA" w:rsidRPr="008F64A0">
        <w:t>nacionāl</w:t>
      </w:r>
      <w:r w:rsidR="00DE6CBA" w:rsidRPr="008F64A0">
        <w:t>ā</w:t>
      </w:r>
      <w:r w:rsidR="00C26AE0" w:rsidRPr="008F64A0">
        <w:t xml:space="preserve"> mērķ</w:t>
      </w:r>
      <w:r w:rsidR="00DE6CBA" w:rsidRPr="008F64A0">
        <w:t>a</w:t>
      </w:r>
      <w:r w:rsidR="00C26AE0" w:rsidRPr="008F64A0">
        <w:t xml:space="preserve"> </w:t>
      </w:r>
      <w:r w:rsidR="005F07DA" w:rsidRPr="008F64A0">
        <w:t>“</w:t>
      </w:r>
      <w:r w:rsidR="00C26AE0" w:rsidRPr="008F64A0">
        <w:t>integrācija</w:t>
      </w:r>
      <w:r w:rsidR="005F07DA" w:rsidRPr="008F64A0">
        <w:t>”</w:t>
      </w:r>
      <w:r w:rsidR="00AB3DE5">
        <w:t xml:space="preserve"> sasniegšanu, kā arī</w:t>
      </w:r>
      <w:r w:rsidR="00C26AE0" w:rsidRPr="008F64A0">
        <w:t xml:space="preserve"> daļēji par nacionālā mērķa “kapacitāte”</w:t>
      </w:r>
      <w:r w:rsidR="008A11F2" w:rsidRPr="008F64A0">
        <w:t xml:space="preserve"> </w:t>
      </w:r>
      <w:r w:rsidR="00B33686">
        <w:t>īstenošanu</w:t>
      </w:r>
      <w:r w:rsidR="008A11F2" w:rsidRPr="008F64A0">
        <w:t>.</w:t>
      </w:r>
    </w:p>
    <w:p w14:paraId="44308576" w14:textId="7EEFBEBF" w:rsidR="0023711B" w:rsidRPr="008F64A0" w:rsidRDefault="0023711B" w:rsidP="0023711B">
      <w:r w:rsidRPr="008F64A0">
        <w:t xml:space="preserve">Eiropas bēgļu krīzes </w:t>
      </w:r>
      <w:r w:rsidR="00B33686">
        <w:t xml:space="preserve">kontekstā </w:t>
      </w:r>
      <w:r w:rsidR="004E4BD6" w:rsidRPr="008F64A0">
        <w:t xml:space="preserve">PMIF </w:t>
      </w:r>
      <w:r w:rsidR="00B33686">
        <w:t xml:space="preserve">nacionālās </w:t>
      </w:r>
      <w:r w:rsidR="004E4BD6" w:rsidRPr="008F64A0">
        <w:t>programmas</w:t>
      </w:r>
      <w:r w:rsidRPr="008F64A0">
        <w:t xml:space="preserve"> izdevumu attiecināmības </w:t>
      </w:r>
      <w:r w:rsidR="008179FE">
        <w:t xml:space="preserve">periods tika pagarināts no sākotnēji plānotā </w:t>
      </w:r>
      <w:r w:rsidR="00997EC7" w:rsidRPr="008F64A0">
        <w:t>31.12.2022.</w:t>
      </w:r>
      <w:r w:rsidRPr="008F64A0">
        <w:t xml:space="preserve"> līdz 30.06.2024</w:t>
      </w:r>
      <w:r w:rsidR="00821C5F">
        <w:t>. Šis</w:t>
      </w:r>
      <w:r w:rsidR="00997EC7" w:rsidRPr="008F64A0">
        <w:t xml:space="preserve"> pagarinā</w:t>
      </w:r>
      <w:r w:rsidR="00821C5F">
        <w:t>jums ļāva turpināt</w:t>
      </w:r>
      <w:r w:rsidR="00997EC7" w:rsidRPr="008F64A0">
        <w:t xml:space="preserve"> vairāku projektu īstenošan</w:t>
      </w:r>
      <w:r w:rsidR="007C6317">
        <w:t>u</w:t>
      </w:r>
      <w:r w:rsidR="00997EC7" w:rsidRPr="008F64A0">
        <w:t xml:space="preserve">. </w:t>
      </w:r>
      <w:r w:rsidR="007C6317">
        <w:t>Tomēr būtiski atzīmēt, ka</w:t>
      </w:r>
      <w:r w:rsidR="00997EC7" w:rsidRPr="008F64A0">
        <w:t xml:space="preserve"> deleģētās iestādes pārraudzībā esoš</w:t>
      </w:r>
      <w:r w:rsidR="007C6317">
        <w:t>ie</w:t>
      </w:r>
      <w:r w:rsidR="00997EC7" w:rsidRPr="008F64A0">
        <w:t xml:space="preserve"> projekt</w:t>
      </w:r>
      <w:r w:rsidR="007C6317">
        <w:t>i</w:t>
      </w:r>
      <w:r w:rsidR="00997EC7" w:rsidRPr="008F64A0">
        <w:t xml:space="preserve"> </w:t>
      </w:r>
      <w:r w:rsidR="007C6317">
        <w:t xml:space="preserve">tika </w:t>
      </w:r>
      <w:r w:rsidRPr="008F64A0">
        <w:t>noslēg</w:t>
      </w:r>
      <w:r w:rsidR="007C6317">
        <w:t>ti</w:t>
      </w:r>
      <w:r w:rsidR="00400699">
        <w:t>, kā sākotnēji plānots,</w:t>
      </w:r>
      <w:r w:rsidRPr="008F64A0">
        <w:t xml:space="preserve"> 31.12.2022.</w:t>
      </w:r>
      <w:r w:rsidR="00400699">
        <w:t>, neieviešot</w:t>
      </w:r>
      <w:r w:rsidR="00997EC7" w:rsidRPr="008F64A0">
        <w:t xml:space="preserve"> papildu aktivitātes.</w:t>
      </w:r>
    </w:p>
    <w:p w14:paraId="72135229" w14:textId="159D9E1B" w:rsidR="003F777D" w:rsidRPr="008F64A0" w:rsidRDefault="003F777D" w:rsidP="003F777D">
      <w:r w:rsidRPr="008F64A0">
        <w:t>SM1</w:t>
      </w:r>
      <w:r w:rsidR="00400699">
        <w:t xml:space="preserve"> ietvaros </w:t>
      </w:r>
      <w:r w:rsidRPr="008F64A0">
        <w:t>īstenot</w:t>
      </w:r>
      <w:r w:rsidR="00984458">
        <w:t>ie</w:t>
      </w:r>
      <w:r w:rsidR="00030D68" w:rsidRPr="008F64A0">
        <w:t xml:space="preserve"> projektu pasākumi </w:t>
      </w:r>
      <w:r w:rsidR="00984458">
        <w:t xml:space="preserve">fokusējās uz vairākiem nozīmīgiem uzlabojumiem patvēruma meklētāju uzņemšanas jomā. </w:t>
      </w:r>
      <w:r w:rsidR="00200CB7">
        <w:t>Piemēram, t</w:t>
      </w:r>
      <w:r w:rsidR="003C5B43">
        <w:t>ika veikti</w:t>
      </w:r>
      <w:r w:rsidR="00984458" w:rsidRPr="008F64A0">
        <w:t xml:space="preserve"> </w:t>
      </w:r>
      <w:r w:rsidRPr="008F64A0">
        <w:t>infrastruktūras un energoefektivitātes uzlabo</w:t>
      </w:r>
      <w:r w:rsidR="003C5B43">
        <w:t>jumi</w:t>
      </w:r>
      <w:r w:rsidR="003C5B43" w:rsidRPr="003C5B43">
        <w:t xml:space="preserve"> </w:t>
      </w:r>
      <w:r w:rsidR="003C5B43" w:rsidRPr="008F64A0">
        <w:t>PMC "Mucenieki"</w:t>
      </w:r>
      <w:r w:rsidR="00030D68" w:rsidRPr="008F64A0">
        <w:t xml:space="preserve">, </w:t>
      </w:r>
      <w:r w:rsidR="00EF4FB6">
        <w:t xml:space="preserve">īstenoti </w:t>
      </w:r>
      <w:r w:rsidR="00030D68" w:rsidRPr="008F64A0">
        <w:t>pasākum</w:t>
      </w:r>
      <w:r w:rsidR="00EF4FB6">
        <w:t>i</w:t>
      </w:r>
      <w:r w:rsidR="00030D68" w:rsidRPr="008F64A0">
        <w:t xml:space="preserve"> p</w:t>
      </w:r>
      <w:r w:rsidRPr="008F64A0">
        <w:t>atvēruma meklētāju uzņemšanas standartu paaugstināšana</w:t>
      </w:r>
      <w:r w:rsidR="00030D68" w:rsidRPr="008F64A0">
        <w:t>i un p</w:t>
      </w:r>
      <w:r w:rsidRPr="008F64A0">
        <w:t>atvēruma procedūru kapacitātes stiprināšana</w:t>
      </w:r>
      <w:r w:rsidR="00030D68" w:rsidRPr="008F64A0">
        <w:t xml:space="preserve">i, </w:t>
      </w:r>
      <w:r w:rsidR="00EF4FB6">
        <w:t xml:space="preserve">kā arī </w:t>
      </w:r>
      <w:r w:rsidR="00200CB7">
        <w:t xml:space="preserve">pilnveidota </w:t>
      </w:r>
      <w:r w:rsidR="0007412F">
        <w:t>BDAS</w:t>
      </w:r>
      <w:r w:rsidR="00200CB7">
        <w:t>.</w:t>
      </w:r>
      <w:r w:rsidR="002D7B6E">
        <w:t xml:space="preserve"> </w:t>
      </w:r>
    </w:p>
    <w:p w14:paraId="50219788" w14:textId="7F5E8301" w:rsidR="003F777D" w:rsidRPr="008F64A0" w:rsidRDefault="003F777D" w:rsidP="003F777D">
      <w:r w:rsidRPr="008F64A0">
        <w:t xml:space="preserve">SM2 </w:t>
      </w:r>
      <w:r w:rsidR="00EF1B9B">
        <w:t xml:space="preserve">realizācija </w:t>
      </w:r>
      <w:r w:rsidR="00030D68" w:rsidRPr="008F64A0">
        <w:t>ietv</w:t>
      </w:r>
      <w:r w:rsidR="00EF1B9B">
        <w:t>ēra</w:t>
      </w:r>
      <w:r w:rsidR="001A4C79">
        <w:t xml:space="preserve"> vairākus virzienus migrācijas un integrācijas jomā.</w:t>
      </w:r>
      <w:r w:rsidR="00030D68" w:rsidRPr="008F64A0">
        <w:t xml:space="preserve"> </w:t>
      </w:r>
      <w:r w:rsidR="001A4C79">
        <w:t>T</w:t>
      </w:r>
      <w:r w:rsidR="00030D68" w:rsidRPr="008F64A0">
        <w:t>ika pilnveidota m</w:t>
      </w:r>
      <w:r w:rsidRPr="008F64A0">
        <w:t xml:space="preserve">igrācijas un patvēruma </w:t>
      </w:r>
      <w:r w:rsidR="00E85CAA">
        <w:t>IS</w:t>
      </w:r>
      <w:r w:rsidR="00030D68" w:rsidRPr="008F64A0">
        <w:t xml:space="preserve">, </w:t>
      </w:r>
      <w:r w:rsidR="007C1A8E">
        <w:t xml:space="preserve">kā arī </w:t>
      </w:r>
      <w:r w:rsidR="00030D68" w:rsidRPr="008F64A0">
        <w:t>ieviesti pasākumi n</w:t>
      </w:r>
      <w:r w:rsidRPr="008F64A0">
        <w:t>aturalizācijas procesa kvalitātes paaugstināšana</w:t>
      </w:r>
      <w:r w:rsidR="00030D68" w:rsidRPr="008F64A0">
        <w:t>i</w:t>
      </w:r>
      <w:r w:rsidR="007C1A8E">
        <w:t>. Būtiska uzmanība tika pie</w:t>
      </w:r>
      <w:r w:rsidR="00030D68" w:rsidRPr="008F64A0">
        <w:t>vērst</w:t>
      </w:r>
      <w:r w:rsidR="00586F0F">
        <w:t>a</w:t>
      </w:r>
      <w:r w:rsidR="00030D68" w:rsidRPr="008F64A0">
        <w:t xml:space="preserve"> TVP integrācijas </w:t>
      </w:r>
      <w:r w:rsidR="00586F0F">
        <w:t>veicināšanai</w:t>
      </w:r>
      <w:r w:rsidR="00030D68" w:rsidRPr="008F64A0">
        <w:t xml:space="preserve">, </w:t>
      </w:r>
      <w:r w:rsidR="0098669D">
        <w:t xml:space="preserve">kas ietvēra </w:t>
      </w:r>
      <w:r w:rsidR="00030D68" w:rsidRPr="008F64A0">
        <w:t>latviešu valodas apmācību</w:t>
      </w:r>
      <w:r w:rsidR="004133B4" w:rsidRPr="008F64A0">
        <w:t xml:space="preserve"> </w:t>
      </w:r>
      <w:r w:rsidR="0098669D">
        <w:t xml:space="preserve">programmu īstenošanu </w:t>
      </w:r>
      <w:r w:rsidR="004133B4" w:rsidRPr="008F64A0">
        <w:t xml:space="preserve">un </w:t>
      </w:r>
      <w:r w:rsidR="0098669D">
        <w:t xml:space="preserve">specializētu </w:t>
      </w:r>
      <w:r w:rsidR="004133B4" w:rsidRPr="008F64A0">
        <w:t>integrācijas</w:t>
      </w:r>
      <w:r w:rsidR="00030D68" w:rsidRPr="008F64A0">
        <w:t xml:space="preserve"> kursu</w:t>
      </w:r>
      <w:r w:rsidR="0098669D">
        <w:t xml:space="preserve"> nodrošināšanu.</w:t>
      </w:r>
      <w:r w:rsidR="00030D68" w:rsidRPr="008F64A0">
        <w:t xml:space="preserve"> </w:t>
      </w:r>
      <w:r w:rsidR="0036377C">
        <w:t>Piemēram, p</w:t>
      </w:r>
      <w:r w:rsidR="0098669D">
        <w:t>apildus tika</w:t>
      </w:r>
      <w:r w:rsidR="00030D68" w:rsidRPr="008F64A0">
        <w:t xml:space="preserve"> izveidot</w:t>
      </w:r>
      <w:r w:rsidR="0098669D">
        <w:t>s</w:t>
      </w:r>
      <w:r w:rsidR="00030D68" w:rsidRPr="008F64A0">
        <w:t xml:space="preserve"> </w:t>
      </w:r>
      <w:r w:rsidR="00030D68" w:rsidRPr="008F64A0">
        <w:lastRenderedPageBreak/>
        <w:t>informācijas centru imigrantiem</w:t>
      </w:r>
      <w:r w:rsidR="006D5D89">
        <w:t xml:space="preserve"> un </w:t>
      </w:r>
      <w:r w:rsidR="00030D68" w:rsidRPr="008F64A0">
        <w:t>īsteno</w:t>
      </w:r>
      <w:r w:rsidR="006D5D89">
        <w:t>ti</w:t>
      </w:r>
      <w:r w:rsidR="00030D68" w:rsidRPr="008F64A0">
        <w:t xml:space="preserve"> </w:t>
      </w:r>
      <w:r w:rsidR="006D5D89">
        <w:t xml:space="preserve">profesionālās pilnveides </w:t>
      </w:r>
      <w:r w:rsidR="00030D68" w:rsidRPr="008F64A0">
        <w:t>pasākum</w:t>
      </w:r>
      <w:r w:rsidR="006D5D89">
        <w:t>i</w:t>
      </w:r>
      <w:r w:rsidR="00030D68" w:rsidRPr="008F64A0">
        <w:t xml:space="preserve"> dažādu </w:t>
      </w:r>
      <w:r w:rsidR="004E0731">
        <w:t>jomu</w:t>
      </w:r>
      <w:r w:rsidR="004E0731" w:rsidRPr="008F64A0">
        <w:t xml:space="preserve"> </w:t>
      </w:r>
      <w:r w:rsidR="00030D68" w:rsidRPr="008F64A0">
        <w:t>speciālist</w:t>
      </w:r>
      <w:r w:rsidR="004E0731">
        <w:t>iem</w:t>
      </w:r>
      <w:r w:rsidR="00030D68" w:rsidRPr="008F64A0">
        <w:t xml:space="preserve"> starpkultūru komunikācij</w:t>
      </w:r>
      <w:r w:rsidR="0036377C">
        <w:t>as jomā</w:t>
      </w:r>
      <w:r w:rsidR="00030D68" w:rsidRPr="008F64A0">
        <w:t xml:space="preserve">. </w:t>
      </w:r>
    </w:p>
    <w:p w14:paraId="4B2BF924" w14:textId="6702190B" w:rsidR="00E25175" w:rsidRPr="008F64A0" w:rsidRDefault="00030D68" w:rsidP="003F777D">
      <w:r w:rsidRPr="008F64A0">
        <w:t xml:space="preserve">SM3 </w:t>
      </w:r>
      <w:r w:rsidR="00EF77F0">
        <w:t xml:space="preserve">īstenošana arī fokusējās uz </w:t>
      </w:r>
      <w:r w:rsidR="00863D64">
        <w:t xml:space="preserve">atgriešanas procesu efektivitātes un kvalitātes uzlabošanai. Šī mērķa </w:t>
      </w:r>
      <w:r w:rsidRPr="008F64A0">
        <w:t xml:space="preserve">ietvaros tika īstenoti </w:t>
      </w:r>
      <w:r w:rsidR="00F86EE7">
        <w:t xml:space="preserve">vairāki savstarpēji saistīti </w:t>
      </w:r>
      <w:r w:rsidRPr="008F64A0">
        <w:t>pasākumi</w:t>
      </w:r>
      <w:r w:rsidR="00F86EE7">
        <w:t>:</w:t>
      </w:r>
      <w:r w:rsidRPr="008F64A0">
        <w:t xml:space="preserve"> VRS amatpersonu darba apstākļu uzlabošana</w:t>
      </w:r>
      <w:r w:rsidR="00F86EE7">
        <w:t>,</w:t>
      </w:r>
      <w:r w:rsidR="001B66F1">
        <w:t xml:space="preserve"> stiprināta</w:t>
      </w:r>
      <w:r w:rsidRPr="008F64A0">
        <w:t xml:space="preserve"> </w:t>
      </w:r>
      <w:r w:rsidR="00A7372E" w:rsidRPr="008F64A0">
        <w:t xml:space="preserve">struktūrvienību kapacitāte atgriešanas jomā, </w:t>
      </w:r>
      <w:r w:rsidR="001B66F1">
        <w:t xml:space="preserve">veikta </w:t>
      </w:r>
      <w:r w:rsidRPr="008F64A0">
        <w:t>AĀ</w:t>
      </w:r>
      <w:r w:rsidR="003F777D" w:rsidRPr="008F64A0">
        <w:t>IC "Daugavpils" labiekārtošana</w:t>
      </w:r>
      <w:r w:rsidR="008E09F6">
        <w:t>. Tika</w:t>
      </w:r>
      <w:r w:rsidR="001A1201" w:rsidRPr="008F64A0">
        <w:t xml:space="preserve"> </w:t>
      </w:r>
      <w:r w:rsidR="008E09F6">
        <w:t xml:space="preserve">pilnveidota </w:t>
      </w:r>
      <w:r w:rsidR="001A1201" w:rsidRPr="008F64A0">
        <w:t>p</w:t>
      </w:r>
      <w:r w:rsidR="003F777D" w:rsidRPr="008F64A0">
        <w:t>iespiedu izraidīšanas procesa nodrošināšana un uzraudzība</w:t>
      </w:r>
      <w:r w:rsidR="001A1201" w:rsidRPr="008F64A0">
        <w:t xml:space="preserve">, </w:t>
      </w:r>
      <w:r w:rsidR="008E37A9">
        <w:t>nodrošināti</w:t>
      </w:r>
      <w:r w:rsidR="008E09F6">
        <w:t xml:space="preserve"> </w:t>
      </w:r>
      <w:r w:rsidR="00A7372E" w:rsidRPr="008F64A0">
        <w:t>b</w:t>
      </w:r>
      <w:r w:rsidR="003F777D" w:rsidRPr="008F64A0">
        <w:t>rīvprātīgās atgriešan</w:t>
      </w:r>
      <w:r w:rsidR="008E09F6">
        <w:t>ā</w:t>
      </w:r>
      <w:r w:rsidR="003F777D" w:rsidRPr="008F64A0">
        <w:t>s un reintegrācijas</w:t>
      </w:r>
      <w:r w:rsidR="00A7372E" w:rsidRPr="008F64A0">
        <w:t xml:space="preserve"> proces</w:t>
      </w:r>
      <w:r w:rsidR="008E37A9">
        <w:t>i</w:t>
      </w:r>
      <w:r w:rsidR="001F7CBD" w:rsidRPr="008F64A0">
        <w:t>,</w:t>
      </w:r>
      <w:r w:rsidR="0079588F">
        <w:t xml:space="preserve"> un</w:t>
      </w:r>
      <w:r w:rsidR="001F7CBD" w:rsidRPr="008F64A0">
        <w:t xml:space="preserve"> atgriešanās </w:t>
      </w:r>
      <w:r w:rsidR="003F777D" w:rsidRPr="008F64A0">
        <w:t xml:space="preserve">procesu atbalstošo </w:t>
      </w:r>
      <w:r w:rsidR="00E85CAA">
        <w:t>IS</w:t>
      </w:r>
      <w:r w:rsidR="003F777D" w:rsidRPr="008F64A0">
        <w:t xml:space="preserve"> attīstība</w:t>
      </w:r>
      <w:r w:rsidR="0079588F">
        <w:t xml:space="preserve">, kā arī citi </w:t>
      </w:r>
      <w:r w:rsidR="001F7CBD" w:rsidRPr="008F64A0">
        <w:t>pasākumi.</w:t>
      </w:r>
    </w:p>
    <w:p w14:paraId="2938F3D3" w14:textId="6988F43B" w:rsidR="00031F27" w:rsidRDefault="00955BB3" w:rsidP="005B7D86">
      <w:r w:rsidRPr="008F64A0">
        <w:t xml:space="preserve">PMIF nacionālās programmas ietvaros aktivitāšu īstenošanai bija pieejami </w:t>
      </w:r>
      <w:r w:rsidR="004C408E" w:rsidRPr="008F64A0">
        <w:t>18,9</w:t>
      </w:r>
      <w:r w:rsidRPr="008F64A0">
        <w:t xml:space="preserve"> miljoni </w:t>
      </w:r>
      <w:r w:rsidRPr="008F64A0">
        <w:rPr>
          <w:i/>
          <w:iCs/>
        </w:rPr>
        <w:t xml:space="preserve">euro, </w:t>
      </w:r>
      <w:r w:rsidRPr="008F64A0">
        <w:t xml:space="preserve">no kuriem apgūti </w:t>
      </w:r>
      <w:r w:rsidR="00D12729" w:rsidRPr="008F64A0">
        <w:t xml:space="preserve">17,4 miljoni </w:t>
      </w:r>
      <w:r w:rsidR="00D12729" w:rsidRPr="008F64A0">
        <w:rPr>
          <w:i/>
          <w:iCs/>
        </w:rPr>
        <w:t>euro</w:t>
      </w:r>
      <w:r w:rsidR="004C408E" w:rsidRPr="008F64A0">
        <w:rPr>
          <w:i/>
          <w:iCs/>
        </w:rPr>
        <w:t xml:space="preserve"> </w:t>
      </w:r>
      <w:r w:rsidR="00742562">
        <w:t xml:space="preserve">jeb </w:t>
      </w:r>
      <w:r w:rsidR="00742562" w:rsidRPr="008F64A0">
        <w:t>92 %</w:t>
      </w:r>
      <w:r w:rsidR="00742562">
        <w:t xml:space="preserve">. </w:t>
      </w:r>
      <w:r w:rsidR="00A7199A">
        <w:t>D</w:t>
      </w:r>
      <w:r w:rsidR="004C408E" w:rsidRPr="008F64A0">
        <w:t>etalizēt</w:t>
      </w:r>
      <w:r w:rsidR="00A7199A">
        <w:t>a informācija</w:t>
      </w:r>
      <w:r w:rsidR="004C408E" w:rsidRPr="008F64A0">
        <w:t xml:space="preserve"> par finansējuma apguvi</w:t>
      </w:r>
      <w:r w:rsidR="00875FBC" w:rsidRPr="008F64A0">
        <w:t xml:space="preserve"> </w:t>
      </w:r>
      <w:r w:rsidR="00A7199A">
        <w:t>ir pieejama ziņojuma</w:t>
      </w:r>
      <w:r w:rsidR="004C408E" w:rsidRPr="008F64A0">
        <w:t xml:space="preserve"> </w:t>
      </w:r>
      <w:r w:rsidR="006F3D9A">
        <w:t>1</w:t>
      </w:r>
      <w:r w:rsidR="004C408E" w:rsidRPr="008F64A0">
        <w:t>.</w:t>
      </w:r>
      <w:r w:rsidR="00142823">
        <w:t>2</w:t>
      </w:r>
      <w:r w:rsidR="004C408E" w:rsidRPr="008F64A0">
        <w:t>.2. nodaļā</w:t>
      </w:r>
      <w:r w:rsidR="006F0513">
        <w:t>, savukārt p</w:t>
      </w:r>
      <w:r w:rsidR="006F0513" w:rsidRPr="008F64A0">
        <w:t xml:space="preserve">ilns īstenoto projektu saraksts </w:t>
      </w:r>
      <w:r w:rsidR="006F0513">
        <w:t>ir</w:t>
      </w:r>
      <w:r w:rsidR="00FD4152">
        <w:t xml:space="preserve"> norādīts</w:t>
      </w:r>
      <w:r w:rsidR="006F0513" w:rsidRPr="008F64A0">
        <w:t xml:space="preserve"> Pielikumā Nr.</w:t>
      </w:r>
      <w:r w:rsidR="005C177A">
        <w:t xml:space="preserve"> </w:t>
      </w:r>
      <w:r w:rsidR="006F0513" w:rsidRPr="008F64A0">
        <w:t>1.</w:t>
      </w:r>
    </w:p>
    <w:p w14:paraId="2D0EE8C4" w14:textId="73112814" w:rsidR="00666D08" w:rsidRDefault="00A26033" w:rsidP="005B7D86">
      <w:r>
        <w:t>PMIF ieguldījumi un īstenotie pasākumi ir bijuši vērsti uz konkrētu izaicinājumu risināšanu</w:t>
      </w:r>
      <w:r w:rsidR="003357E5">
        <w:t xml:space="preserve">, sasniedzot konkrētus rezultatīvos rādītājus. Programmas intervences loģika ir atspoguļota </w:t>
      </w:r>
      <w:r w:rsidR="00C40767">
        <w:t>attēlā Nr. 1</w:t>
      </w:r>
      <w:r w:rsidR="003357E5">
        <w:t xml:space="preserve">, savukārt detalizēts intervences loģikas apraksts ir pieejams Pielikumā Nr. 5. </w:t>
      </w:r>
    </w:p>
    <w:p w14:paraId="0D49EFAE" w14:textId="77777777" w:rsidR="00666D08" w:rsidRDefault="00666D08">
      <w:pPr>
        <w:spacing w:before="0" w:after="160" w:line="259" w:lineRule="auto"/>
        <w:jc w:val="left"/>
      </w:pPr>
      <w:r>
        <w:br w:type="page"/>
      </w:r>
    </w:p>
    <w:p w14:paraId="3279E347" w14:textId="77777777" w:rsidR="00666D08" w:rsidRDefault="00666D08" w:rsidP="005B7D86">
      <w:pPr>
        <w:sectPr w:rsidR="00666D08" w:rsidSect="00AA2604">
          <w:footerReference w:type="default" r:id="rId12"/>
          <w:headerReference w:type="first" r:id="rId13"/>
          <w:footerReference w:type="first" r:id="rId14"/>
          <w:pgSz w:w="11906" w:h="16838"/>
          <w:pgMar w:top="1474" w:right="822" w:bottom="1474" w:left="822" w:header="709" w:footer="709" w:gutter="0"/>
          <w:cols w:space="708"/>
          <w:docGrid w:linePitch="360"/>
        </w:sectPr>
      </w:pPr>
    </w:p>
    <w:p w14:paraId="022EBD3F" w14:textId="08BDF1DE" w:rsidR="00C47EA2" w:rsidRDefault="00C47EA2" w:rsidP="00C47EA2">
      <w:pPr>
        <w:pStyle w:val="GraphTitle"/>
      </w:pPr>
      <w:bookmarkStart w:id="15" w:name="_Ref191999633"/>
      <w:bookmarkStart w:id="16" w:name="_Ref192000044"/>
      <w:r>
        <w:lastRenderedPageBreak/>
        <w:t xml:space="preserve">Attēls </w:t>
      </w:r>
      <w:r>
        <w:fldChar w:fldCharType="begin"/>
      </w:r>
      <w:r>
        <w:instrText xml:space="preserve"> SEQ Attēls \* ARABIC </w:instrText>
      </w:r>
      <w:r>
        <w:fldChar w:fldCharType="separate"/>
      </w:r>
      <w:r w:rsidR="000523B6">
        <w:t>1</w:t>
      </w:r>
      <w:r>
        <w:fldChar w:fldCharType="end"/>
      </w:r>
      <w:bookmarkEnd w:id="15"/>
      <w:r w:rsidR="006F3D9A">
        <w:t>.</w:t>
      </w:r>
      <w:r>
        <w:t xml:space="preserve"> PMIF intervences loģika</w:t>
      </w:r>
      <w:bookmarkEnd w:id="16"/>
    </w:p>
    <w:p w14:paraId="0910E859" w14:textId="4710AD77" w:rsidR="00DB0AA0" w:rsidRDefault="00DB0AA0" w:rsidP="00183CAA">
      <w:pPr>
        <w:spacing w:before="0" w:after="160" w:line="259" w:lineRule="auto"/>
        <w:jc w:val="left"/>
        <w:sectPr w:rsidR="00DB0AA0" w:rsidSect="00666D08">
          <w:pgSz w:w="16838" w:h="11906" w:orient="landscape"/>
          <w:pgMar w:top="822" w:right="1474" w:bottom="822" w:left="1474" w:header="709" w:footer="709" w:gutter="0"/>
          <w:cols w:space="708"/>
          <w:docGrid w:linePitch="360"/>
        </w:sectPr>
      </w:pPr>
      <w:r>
        <w:rPr>
          <w:noProof/>
        </w:rPr>
        <w:drawing>
          <wp:inline distT="0" distB="0" distL="0" distR="0" wp14:anchorId="55EEF7A6" wp14:editId="6B169515">
            <wp:extent cx="8705850" cy="5865676"/>
            <wp:effectExtent l="0" t="0" r="0" b="1905"/>
            <wp:docPr id="30792785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36523" cy="5886343"/>
                    </a:xfrm>
                    <a:prstGeom prst="rect">
                      <a:avLst/>
                    </a:prstGeom>
                    <a:noFill/>
                  </pic:spPr>
                </pic:pic>
              </a:graphicData>
            </a:graphic>
          </wp:inline>
        </w:drawing>
      </w:r>
    </w:p>
    <w:p w14:paraId="4E84F8DA" w14:textId="61FC2D15" w:rsidR="00143135" w:rsidRPr="008F64A0" w:rsidRDefault="00143135" w:rsidP="00BF4167">
      <w:pPr>
        <w:pStyle w:val="Virsraksts2"/>
        <w:numPr>
          <w:ilvl w:val="1"/>
          <w:numId w:val="42"/>
        </w:numPr>
      </w:pPr>
      <w:bookmarkStart w:id="17" w:name="_Toc193371303"/>
      <w:r w:rsidRPr="008F64A0">
        <w:lastRenderedPageBreak/>
        <w:t>PMIF izvērtējuma konstatējumi</w:t>
      </w:r>
      <w:bookmarkEnd w:id="17"/>
      <w:r w:rsidRPr="008F64A0">
        <w:t xml:space="preserve"> </w:t>
      </w:r>
    </w:p>
    <w:p w14:paraId="5E4BA13B" w14:textId="77777777" w:rsidR="00143135" w:rsidRPr="008F64A0" w:rsidRDefault="00143135" w:rsidP="00BF4167">
      <w:pPr>
        <w:pStyle w:val="Sarakstarindkopa"/>
        <w:numPr>
          <w:ilvl w:val="2"/>
          <w:numId w:val="42"/>
        </w:numPr>
        <w:rPr>
          <w:b/>
        </w:rPr>
      </w:pPr>
      <w:r w:rsidRPr="008F64A0">
        <w:rPr>
          <w:b/>
        </w:rPr>
        <w:t>Kritērijs “Efektivitāte”</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2840A7D2" w14:textId="77777777" w:rsidTr="00D40533">
        <w:tc>
          <w:tcPr>
            <w:tcW w:w="10252" w:type="dxa"/>
            <w:shd w:val="clear" w:color="auto" w:fill="82009B" w:themeFill="accent6"/>
          </w:tcPr>
          <w:p w14:paraId="16752CB4" w14:textId="77777777" w:rsidR="00143135" w:rsidRPr="008F64A0" w:rsidRDefault="00143135" w:rsidP="00A239D8">
            <w:pPr>
              <w:rPr>
                <w:b/>
              </w:rPr>
            </w:pPr>
            <w:r w:rsidRPr="008F64A0">
              <w:rPr>
                <w:b/>
              </w:rPr>
              <w:t xml:space="preserve">Izvērtēšanas kritērija jautājums: </w:t>
            </w:r>
            <w:r w:rsidRPr="008F64A0">
              <w:rPr>
                <w:bCs/>
              </w:rPr>
              <w:t>Cik lielā mērā Patvēruma, migrācijas un integrācijas fonds (“fonds”) sasniedza Regulā (ES) Nr. 516/2014 noteiktos mērķus?</w:t>
            </w:r>
          </w:p>
        </w:tc>
      </w:tr>
    </w:tbl>
    <w:p w14:paraId="2B2C3B87" w14:textId="625C78E9" w:rsidR="00625BB4" w:rsidRPr="008F64A0" w:rsidRDefault="00400CC4" w:rsidP="00143135">
      <w:r w:rsidRPr="008F64A0">
        <w:t xml:space="preserve">PMIF nacionālās programmas </w:t>
      </w:r>
      <w:r w:rsidR="00904924">
        <w:t xml:space="preserve">rezultātu izvērtējums balstās uz </w:t>
      </w:r>
      <w:r w:rsidR="00043362">
        <w:t xml:space="preserve">noteiktiem </w:t>
      </w:r>
      <w:r w:rsidR="000C1D0B" w:rsidRPr="008F64A0">
        <w:t>rezultatīv</w:t>
      </w:r>
      <w:r w:rsidR="00584191">
        <w:t>ajiem</w:t>
      </w:r>
      <w:r w:rsidR="000C1D0B" w:rsidRPr="008F64A0">
        <w:t xml:space="preserve"> rādītāji</w:t>
      </w:r>
      <w:r w:rsidR="00584191">
        <w:t>em</w:t>
      </w:r>
      <w:r w:rsidR="000C1D0B" w:rsidRPr="008F64A0">
        <w:t xml:space="preserve">, kas </w:t>
      </w:r>
      <w:r w:rsidR="004A2E1C">
        <w:t>noteikti atbilstoši</w:t>
      </w:r>
      <w:r w:rsidR="000C1D0B" w:rsidRPr="008F64A0">
        <w:t xml:space="preserve"> ES Regulā Nr. </w:t>
      </w:r>
      <w:r w:rsidR="00CE2628" w:rsidRPr="008F64A0">
        <w:t>516/2014 mērķ</w:t>
      </w:r>
      <w:r w:rsidR="004A2E1C">
        <w:t>iem</w:t>
      </w:r>
      <w:r w:rsidR="00CE2628" w:rsidRPr="008F64A0">
        <w:t>.</w:t>
      </w:r>
      <w:r w:rsidR="000276B6">
        <w:t xml:space="preserve"> </w:t>
      </w:r>
      <w:r w:rsidR="00CB254A" w:rsidRPr="008F64A0">
        <w:t>Programmas īstenošanas rezultāt</w:t>
      </w:r>
      <w:r w:rsidR="0048024A">
        <w:t>u analīze</w:t>
      </w:r>
      <w:r w:rsidR="00CB254A" w:rsidRPr="008F64A0">
        <w:t xml:space="preserve"> </w:t>
      </w:r>
      <w:r w:rsidR="0048024A">
        <w:t xml:space="preserve">atklāj neviendabīgu </w:t>
      </w:r>
      <w:r w:rsidR="00CB254A" w:rsidRPr="008F64A0">
        <w:t xml:space="preserve">sniegumu </w:t>
      </w:r>
      <w:r w:rsidR="002466AC">
        <w:t>–</w:t>
      </w:r>
      <w:r w:rsidR="00CB254A" w:rsidRPr="008F64A0">
        <w:t xml:space="preserve"> no divpadsmit definētajiem rezultatīvajiem rādītājiem septiņi ir sasniegti, turklāt pieci no tiem </w:t>
      </w:r>
      <w:r w:rsidR="00BB1F31">
        <w:t xml:space="preserve">būtiski </w:t>
      </w:r>
      <w:r w:rsidR="00CB254A" w:rsidRPr="008F64A0">
        <w:t xml:space="preserve">ir pārsnieguši sākotnēji </w:t>
      </w:r>
      <w:r w:rsidR="00BB1F31">
        <w:t>noteiktās</w:t>
      </w:r>
      <w:r w:rsidR="00BB1F31" w:rsidRPr="008F64A0">
        <w:t xml:space="preserve"> </w:t>
      </w:r>
      <w:r w:rsidR="00CB254A" w:rsidRPr="008F64A0">
        <w:t xml:space="preserve">vērtības. </w:t>
      </w:r>
      <w:r w:rsidR="00CE2628" w:rsidRPr="008F64A0">
        <w:t>(</w:t>
      </w:r>
      <w:r w:rsidR="00CE2628" w:rsidRPr="008F64A0">
        <w:fldChar w:fldCharType="begin"/>
      </w:r>
      <w:r w:rsidR="00CE2628" w:rsidRPr="008F64A0">
        <w:instrText xml:space="preserve"> REF _Ref189729573 \h </w:instrText>
      </w:r>
      <w:r w:rsidR="00CE2628" w:rsidRPr="008F64A0">
        <w:fldChar w:fldCharType="separate"/>
      </w:r>
      <w:r w:rsidR="000523B6" w:rsidRPr="008F64A0">
        <w:t xml:space="preserve">Tabula </w:t>
      </w:r>
      <w:r w:rsidR="000523B6">
        <w:rPr>
          <w:noProof/>
        </w:rPr>
        <w:t>2</w:t>
      </w:r>
      <w:r w:rsidR="00CE2628" w:rsidRPr="008F64A0">
        <w:fldChar w:fldCharType="end"/>
      </w:r>
      <w:r w:rsidR="00CE2628" w:rsidRPr="008F64A0">
        <w:t xml:space="preserve">). </w:t>
      </w:r>
      <w:r w:rsidR="00C17367" w:rsidRPr="008F64A0">
        <w:t xml:space="preserve">Īpaši augstu izpildes līmeni uzrāda </w:t>
      </w:r>
      <w:r w:rsidR="00847B6E">
        <w:t xml:space="preserve">vairāki SM rādītāji: </w:t>
      </w:r>
      <w:r w:rsidR="00CE2628" w:rsidRPr="008F64A0">
        <w:t>SM2 rādītāj</w:t>
      </w:r>
      <w:r w:rsidR="00C17367" w:rsidRPr="008F64A0">
        <w:t>s</w:t>
      </w:r>
      <w:r w:rsidR="00CE2628" w:rsidRPr="008F64A0">
        <w:t xml:space="preserve"> Nr.</w:t>
      </w:r>
      <w:r w:rsidR="009B45A9">
        <w:t xml:space="preserve"> </w:t>
      </w:r>
      <w:r w:rsidR="00CE2628" w:rsidRPr="008F64A0">
        <w:t>C2</w:t>
      </w:r>
      <w:r w:rsidR="00C17367" w:rsidRPr="008F64A0">
        <w:t>, sasniedz</w:t>
      </w:r>
      <w:r w:rsidR="009B45A9">
        <w:t>a</w:t>
      </w:r>
      <w:r w:rsidR="00CE2628" w:rsidRPr="008F64A0">
        <w:t xml:space="preserve"> 289%</w:t>
      </w:r>
      <w:r w:rsidR="00C17367" w:rsidRPr="008F64A0">
        <w:t xml:space="preserve"> no plānotā, </w:t>
      </w:r>
      <w:r w:rsidR="00CE2628" w:rsidRPr="008F64A0">
        <w:t>SM3 rādītāj</w:t>
      </w:r>
      <w:r w:rsidR="00C17367" w:rsidRPr="008F64A0">
        <w:t>s</w:t>
      </w:r>
      <w:r w:rsidR="00CE2628" w:rsidRPr="008F64A0">
        <w:t xml:space="preserve"> Nr.</w:t>
      </w:r>
      <w:r w:rsidR="009B45A9">
        <w:t xml:space="preserve"> </w:t>
      </w:r>
      <w:r w:rsidR="00CE2628" w:rsidRPr="008F64A0">
        <w:t xml:space="preserve">C2 </w:t>
      </w:r>
      <w:r w:rsidR="009B45A9">
        <w:t xml:space="preserve">uzrādīja </w:t>
      </w:r>
      <w:r w:rsidR="00CE2628" w:rsidRPr="008F64A0">
        <w:t>152</w:t>
      </w:r>
      <w:r w:rsidR="009B45A9">
        <w:t xml:space="preserve"> </w:t>
      </w:r>
      <w:r w:rsidR="00CE2628" w:rsidRPr="008F64A0">
        <w:t>%</w:t>
      </w:r>
      <w:r w:rsidR="00C17367" w:rsidRPr="008F64A0">
        <w:t xml:space="preserve"> izpildi, </w:t>
      </w:r>
      <w:r w:rsidR="009B45A9">
        <w:t>bet</w:t>
      </w:r>
      <w:r w:rsidR="00C17367" w:rsidRPr="008F64A0">
        <w:t xml:space="preserve"> SM1 rādītājs </w:t>
      </w:r>
      <w:r w:rsidR="00625BB4" w:rsidRPr="008F64A0">
        <w:t>Nr. C2.2.</w:t>
      </w:r>
      <w:r w:rsidR="007C10B1">
        <w:t xml:space="preserve"> sasniedza</w:t>
      </w:r>
      <w:r w:rsidR="006D5297">
        <w:t xml:space="preserve"> </w:t>
      </w:r>
      <w:r w:rsidR="00625BB4" w:rsidRPr="008F64A0">
        <w:t>160</w:t>
      </w:r>
      <w:r w:rsidR="009B45A9">
        <w:t xml:space="preserve"> </w:t>
      </w:r>
      <w:r w:rsidR="00625BB4" w:rsidRPr="008F64A0">
        <w:t xml:space="preserve">% </w:t>
      </w:r>
      <w:r w:rsidR="007C10B1">
        <w:t>no sākotnēji plānotā apjoma</w:t>
      </w:r>
      <w:r w:rsidR="00625BB4" w:rsidRPr="008F64A0">
        <w:t>.</w:t>
      </w:r>
    </w:p>
    <w:p w14:paraId="57D667E9" w14:textId="3E52D409" w:rsidR="00CE274D" w:rsidRPr="008F64A0" w:rsidRDefault="00CE274D" w:rsidP="00143135">
      <w:r w:rsidRPr="008F64A0">
        <w:t xml:space="preserve">Tomēr </w:t>
      </w:r>
      <w:r w:rsidR="00F21E12">
        <w:t xml:space="preserve">PMIF nacionālās programmas ieviešanas gaitā identificēti arī izaicinājumi </w:t>
      </w:r>
      <w:r w:rsidR="000151C5">
        <w:rPr>
          <w:rFonts w:cstheme="minorHAnsi"/>
        </w:rPr>
        <w:t>–</w:t>
      </w:r>
      <w:r w:rsidR="00F21E12">
        <w:rPr>
          <w:rFonts w:cstheme="minorHAnsi"/>
        </w:rPr>
        <w:t xml:space="preserve"> </w:t>
      </w:r>
      <w:r w:rsidRPr="008F64A0">
        <w:t xml:space="preserve">pieci rezultatīvie rādītāji nav sasnieguši plānotās vērtības. SM1 kontekstā, </w:t>
      </w:r>
      <w:r w:rsidR="006862A7">
        <w:t>neskatoties uz salīdzinoši</w:t>
      </w:r>
      <w:r w:rsidR="00B83EF5">
        <w:t xml:space="preserve"> augstu </w:t>
      </w:r>
      <w:r w:rsidRPr="008F64A0">
        <w:t>izpilde</w:t>
      </w:r>
      <w:r w:rsidR="00B83EF5">
        <w:t>s</w:t>
      </w:r>
      <w:r w:rsidRPr="008F64A0">
        <w:t xml:space="preserve"> </w:t>
      </w:r>
      <w:r w:rsidR="00B83EF5">
        <w:t>līmeni</w:t>
      </w:r>
      <w:r w:rsidR="00B83EF5" w:rsidRPr="008F64A0">
        <w:t xml:space="preserve"> </w:t>
      </w:r>
      <w:r w:rsidR="00B83EF5">
        <w:t xml:space="preserve">(virs </w:t>
      </w:r>
      <w:r w:rsidRPr="008F64A0">
        <w:t>80</w:t>
      </w:r>
      <w:r w:rsidR="00B83EF5">
        <w:t xml:space="preserve"> </w:t>
      </w:r>
      <w:r w:rsidRPr="008F64A0">
        <w:t>%</w:t>
      </w:r>
      <w:r w:rsidR="00B83EF5">
        <w:t>)</w:t>
      </w:r>
      <w:r w:rsidRPr="008F64A0">
        <w:t xml:space="preserve">, nav izdevies </w:t>
      </w:r>
      <w:r w:rsidR="00B83EF5">
        <w:t xml:space="preserve">pilnībā </w:t>
      </w:r>
      <w:r w:rsidRPr="008F64A0">
        <w:t>sasniegt plānoto</w:t>
      </w:r>
      <w:r w:rsidR="00B83EF5">
        <w:t>s</w:t>
      </w:r>
      <w:r w:rsidRPr="008F64A0">
        <w:t xml:space="preserve"> </w:t>
      </w:r>
      <w:r w:rsidR="0022697E" w:rsidRPr="008F64A0">
        <w:t xml:space="preserve">kvantitatīvos rādītājus </w:t>
      </w:r>
      <w:r w:rsidR="003911E1">
        <w:t xml:space="preserve">attiecībā </w:t>
      </w:r>
      <w:r w:rsidR="0022697E">
        <w:t xml:space="preserve">uz </w:t>
      </w:r>
      <w:r w:rsidRPr="008F64A0">
        <w:t>apmācīto personu skaitu</w:t>
      </w:r>
      <w:r w:rsidR="0022697E">
        <w:t xml:space="preserve"> un</w:t>
      </w:r>
      <w:r w:rsidRPr="008F64A0">
        <w:t xml:space="preserve"> īpatsvaru. SM2 ietvaros realizēts tikai viens no paredzētajiem diviem projektiem integrācijas politikas izstrādes, uzraudzības un novērtēšanas jomā. Vienlaikus SM3 īstenošanas gaitā </w:t>
      </w:r>
      <w:r w:rsidR="0067096E">
        <w:t xml:space="preserve">konstatēts, ka </w:t>
      </w:r>
      <w:r w:rsidRPr="008F64A0">
        <w:t xml:space="preserve">atgriezušos personu faktiskais skaits </w:t>
      </w:r>
      <w:r w:rsidR="0067096E">
        <w:t xml:space="preserve">nesasniedz </w:t>
      </w:r>
      <w:r w:rsidRPr="008F64A0">
        <w:t>sākotnēji prognozēt</w:t>
      </w:r>
      <w:r w:rsidR="0067096E">
        <w:t>o līmeni</w:t>
      </w:r>
      <w:r w:rsidRPr="008F64A0">
        <w:t>.</w:t>
      </w:r>
    </w:p>
    <w:p w14:paraId="0D88CC27" w14:textId="18049388" w:rsidR="00D910A1" w:rsidRPr="008F64A0" w:rsidRDefault="00D910A1" w:rsidP="00D910A1">
      <w:pPr>
        <w:pStyle w:val="TableTitle"/>
      </w:pPr>
      <w:bookmarkStart w:id="18" w:name="_Ref189729573"/>
      <w:bookmarkStart w:id="19" w:name="_Ref191388498"/>
      <w:r w:rsidRPr="008F64A0">
        <w:t xml:space="preserve">Tabula </w:t>
      </w:r>
      <w:r w:rsidRPr="008F64A0">
        <w:fldChar w:fldCharType="begin"/>
      </w:r>
      <w:r w:rsidRPr="008F64A0">
        <w:instrText xml:space="preserve"> SEQ Tabula \* ARABIC </w:instrText>
      </w:r>
      <w:r w:rsidRPr="008F64A0">
        <w:fldChar w:fldCharType="separate"/>
      </w:r>
      <w:r w:rsidR="000523B6">
        <w:t>2</w:t>
      </w:r>
      <w:r w:rsidRPr="008F64A0">
        <w:fldChar w:fldCharType="end"/>
      </w:r>
      <w:bookmarkEnd w:id="18"/>
      <w:r w:rsidR="00617B29">
        <w:t>.</w:t>
      </w:r>
      <w:r w:rsidRPr="008F64A0">
        <w:t xml:space="preserve"> PMIF nacionālajā programmā def</w:t>
      </w:r>
      <w:r w:rsidR="002055E7">
        <w:t>i</w:t>
      </w:r>
      <w:r w:rsidRPr="008F64A0">
        <w:t>nētie rezultatīvie rādītāji un to sas</w:t>
      </w:r>
      <w:r w:rsidR="00355698" w:rsidRPr="008F64A0">
        <w:t>n</w:t>
      </w:r>
      <w:r w:rsidRPr="008F64A0">
        <w:t>iegtās vērtības</w:t>
      </w:r>
      <w:bookmarkEnd w:id="19"/>
    </w:p>
    <w:tbl>
      <w:tblPr>
        <w:tblStyle w:val="Reatabula"/>
        <w:tblW w:w="0" w:type="auto"/>
        <w:tblLook w:val="04A0" w:firstRow="1" w:lastRow="0" w:firstColumn="1" w:lastColumn="0" w:noHBand="0" w:noVBand="1"/>
      </w:tblPr>
      <w:tblGrid>
        <w:gridCol w:w="691"/>
        <w:gridCol w:w="1072"/>
        <w:gridCol w:w="5394"/>
        <w:gridCol w:w="938"/>
        <w:gridCol w:w="1256"/>
        <w:gridCol w:w="901"/>
      </w:tblGrid>
      <w:tr w:rsidR="00B56B44" w:rsidRPr="008F64A0" w14:paraId="553BD6C9" w14:textId="77777777" w:rsidTr="00B56B44">
        <w:tc>
          <w:tcPr>
            <w:tcW w:w="699" w:type="dxa"/>
            <w:shd w:val="clear" w:color="auto" w:fill="40004D" w:themeFill="accent6" w:themeFillShade="80"/>
          </w:tcPr>
          <w:p w14:paraId="4715CC90" w14:textId="50C445B1" w:rsidR="0021611A" w:rsidRPr="008F64A0" w:rsidRDefault="00D910A1" w:rsidP="00B56B44">
            <w:pPr>
              <w:spacing w:before="0" w:line="240" w:lineRule="auto"/>
              <w:jc w:val="left"/>
              <w:rPr>
                <w:b/>
                <w:bCs/>
                <w:color w:val="FEFEFE" w:themeColor="background1"/>
              </w:rPr>
            </w:pPr>
            <w:r w:rsidRPr="008F64A0">
              <w:rPr>
                <w:b/>
                <w:bCs/>
                <w:color w:val="FEFEFE" w:themeColor="background1"/>
              </w:rPr>
              <w:t>SM</w:t>
            </w:r>
          </w:p>
        </w:tc>
        <w:tc>
          <w:tcPr>
            <w:tcW w:w="856" w:type="dxa"/>
            <w:shd w:val="clear" w:color="auto" w:fill="40004D" w:themeFill="accent6" w:themeFillShade="80"/>
          </w:tcPr>
          <w:p w14:paraId="2A557B18" w14:textId="55F90EB5" w:rsidR="0021611A" w:rsidRPr="008F64A0" w:rsidRDefault="0021611A" w:rsidP="00B56B44">
            <w:pPr>
              <w:spacing w:before="0" w:line="240" w:lineRule="auto"/>
              <w:jc w:val="left"/>
              <w:rPr>
                <w:color w:val="FEFEFE" w:themeColor="background1"/>
              </w:rPr>
            </w:pPr>
            <w:r w:rsidRPr="008F64A0">
              <w:rPr>
                <w:rFonts w:ascii="Arial" w:hAnsi="Arial" w:cs="Arial"/>
                <w:b/>
                <w:bCs/>
                <w:color w:val="FEFEFE" w:themeColor="background1"/>
              </w:rPr>
              <w:t>Rādītāj</w:t>
            </w:r>
            <w:r w:rsidR="00CE2628" w:rsidRPr="008F64A0">
              <w:rPr>
                <w:rFonts w:ascii="Arial" w:hAnsi="Arial" w:cs="Arial"/>
                <w:b/>
                <w:bCs/>
                <w:color w:val="FEFEFE" w:themeColor="background1"/>
              </w:rPr>
              <w:t>a Nr.</w:t>
            </w:r>
          </w:p>
        </w:tc>
        <w:tc>
          <w:tcPr>
            <w:tcW w:w="5602" w:type="dxa"/>
            <w:shd w:val="clear" w:color="auto" w:fill="40004D" w:themeFill="accent6" w:themeFillShade="80"/>
          </w:tcPr>
          <w:p w14:paraId="2C6005D6" w14:textId="6FADEF3B" w:rsidR="0021611A" w:rsidRPr="008F64A0" w:rsidRDefault="0021611A" w:rsidP="00B56B44">
            <w:pPr>
              <w:spacing w:before="0" w:line="240" w:lineRule="auto"/>
              <w:jc w:val="left"/>
              <w:rPr>
                <w:color w:val="FEFEFE" w:themeColor="background1"/>
              </w:rPr>
            </w:pPr>
            <w:r w:rsidRPr="008F64A0">
              <w:rPr>
                <w:rFonts w:ascii="Arial" w:hAnsi="Arial" w:cs="Arial"/>
                <w:b/>
                <w:bCs/>
                <w:color w:val="FEFEFE" w:themeColor="background1"/>
              </w:rPr>
              <w:t>Rādītāja nosaukums</w:t>
            </w:r>
          </w:p>
        </w:tc>
        <w:tc>
          <w:tcPr>
            <w:tcW w:w="938" w:type="dxa"/>
            <w:shd w:val="clear" w:color="auto" w:fill="40004D" w:themeFill="accent6" w:themeFillShade="80"/>
          </w:tcPr>
          <w:p w14:paraId="7ACCAC78" w14:textId="7EBF9C9F" w:rsidR="0021611A" w:rsidRPr="008F64A0" w:rsidRDefault="0021611A" w:rsidP="00B56B44">
            <w:pPr>
              <w:spacing w:before="0" w:line="240" w:lineRule="auto"/>
              <w:jc w:val="left"/>
              <w:rPr>
                <w:color w:val="FEFEFE" w:themeColor="background1"/>
              </w:rPr>
            </w:pPr>
            <w:r w:rsidRPr="008F64A0">
              <w:rPr>
                <w:rFonts w:ascii="Arial" w:hAnsi="Arial" w:cs="Arial"/>
                <w:b/>
                <w:bCs/>
                <w:color w:val="FEFEFE" w:themeColor="background1"/>
              </w:rPr>
              <w:t>Mērķa vērtība</w:t>
            </w:r>
          </w:p>
        </w:tc>
        <w:tc>
          <w:tcPr>
            <w:tcW w:w="1256" w:type="dxa"/>
            <w:shd w:val="clear" w:color="auto" w:fill="40004D" w:themeFill="accent6" w:themeFillShade="80"/>
          </w:tcPr>
          <w:p w14:paraId="19016D9C" w14:textId="17E87913" w:rsidR="0021611A" w:rsidRPr="008F64A0" w:rsidRDefault="0021611A" w:rsidP="00B56B44">
            <w:pPr>
              <w:spacing w:before="0" w:line="240" w:lineRule="auto"/>
              <w:jc w:val="left"/>
              <w:rPr>
                <w:color w:val="FEFEFE" w:themeColor="background1"/>
              </w:rPr>
            </w:pPr>
            <w:r w:rsidRPr="008F64A0">
              <w:rPr>
                <w:rFonts w:ascii="Arial" w:hAnsi="Arial" w:cs="Arial"/>
                <w:b/>
                <w:bCs/>
                <w:color w:val="FEFEFE" w:themeColor="background1"/>
              </w:rPr>
              <w:t>Sasniegtā vērtība</w:t>
            </w:r>
          </w:p>
        </w:tc>
        <w:tc>
          <w:tcPr>
            <w:tcW w:w="901" w:type="dxa"/>
            <w:shd w:val="clear" w:color="auto" w:fill="40004D" w:themeFill="accent6" w:themeFillShade="80"/>
          </w:tcPr>
          <w:p w14:paraId="66D6B071" w14:textId="6D54CA27" w:rsidR="0021611A" w:rsidRPr="008F64A0" w:rsidRDefault="00D910A1" w:rsidP="00B56B44">
            <w:pPr>
              <w:spacing w:before="0" w:line="240" w:lineRule="auto"/>
              <w:jc w:val="left"/>
              <w:rPr>
                <w:color w:val="FEFEFE" w:themeColor="background1"/>
              </w:rPr>
            </w:pPr>
            <w:r w:rsidRPr="008F64A0">
              <w:rPr>
                <w:rFonts w:ascii="Arial" w:hAnsi="Arial" w:cs="Arial"/>
                <w:b/>
                <w:bCs/>
                <w:color w:val="FEFEFE" w:themeColor="background1"/>
              </w:rPr>
              <w:t>Izpilde (</w:t>
            </w:r>
            <w:r w:rsidR="0021611A" w:rsidRPr="008F64A0">
              <w:rPr>
                <w:rFonts w:ascii="Arial" w:hAnsi="Arial" w:cs="Arial"/>
                <w:b/>
                <w:bCs/>
                <w:color w:val="FEFEFE" w:themeColor="background1"/>
              </w:rPr>
              <w:t>%</w:t>
            </w:r>
            <w:r w:rsidRPr="008F64A0">
              <w:rPr>
                <w:rFonts w:ascii="Arial" w:hAnsi="Arial" w:cs="Arial"/>
                <w:b/>
                <w:bCs/>
                <w:color w:val="FEFEFE" w:themeColor="background1"/>
              </w:rPr>
              <w:t>)</w:t>
            </w:r>
          </w:p>
        </w:tc>
      </w:tr>
      <w:tr w:rsidR="00CE2628" w:rsidRPr="008F64A0" w14:paraId="395343EE" w14:textId="77777777" w:rsidTr="00B56B44">
        <w:tc>
          <w:tcPr>
            <w:tcW w:w="699" w:type="dxa"/>
            <w:vMerge w:val="restart"/>
            <w:shd w:val="clear" w:color="auto" w:fill="E6E6E6" w:themeFill="accent3"/>
            <w:textDirection w:val="btLr"/>
          </w:tcPr>
          <w:p w14:paraId="73ABC0E5" w14:textId="710FE13B" w:rsidR="0021611A" w:rsidRPr="008F64A0" w:rsidRDefault="00D910A1" w:rsidP="00B56B44">
            <w:pPr>
              <w:spacing w:before="0" w:line="240" w:lineRule="auto"/>
              <w:ind w:left="113" w:right="113"/>
              <w:jc w:val="center"/>
              <w:rPr>
                <w:b/>
                <w:bCs/>
              </w:rPr>
            </w:pPr>
            <w:r w:rsidRPr="008F64A0">
              <w:rPr>
                <w:b/>
                <w:bCs/>
              </w:rPr>
              <w:t>SM1 Patvērums</w:t>
            </w:r>
          </w:p>
        </w:tc>
        <w:tc>
          <w:tcPr>
            <w:tcW w:w="856" w:type="dxa"/>
          </w:tcPr>
          <w:p w14:paraId="1F141644" w14:textId="6CD832BC" w:rsidR="0021611A" w:rsidRPr="008F64A0" w:rsidRDefault="0021611A" w:rsidP="00B56B44">
            <w:pPr>
              <w:spacing w:before="0" w:line="240" w:lineRule="auto"/>
              <w:jc w:val="left"/>
            </w:pPr>
            <w:r w:rsidRPr="008F64A0">
              <w:rPr>
                <w:rFonts w:ascii="Arial" w:hAnsi="Arial" w:cs="Arial"/>
                <w:color w:val="232323"/>
              </w:rPr>
              <w:t>C1</w:t>
            </w:r>
          </w:p>
        </w:tc>
        <w:tc>
          <w:tcPr>
            <w:tcW w:w="5602" w:type="dxa"/>
          </w:tcPr>
          <w:p w14:paraId="60A6F8F5" w14:textId="3D1F4AA9" w:rsidR="0021611A" w:rsidRPr="008F64A0" w:rsidRDefault="0021611A" w:rsidP="005868D4">
            <w:pPr>
              <w:spacing w:before="0" w:after="0" w:line="240" w:lineRule="auto"/>
              <w:jc w:val="left"/>
            </w:pPr>
            <w:r w:rsidRPr="008F64A0">
              <w:rPr>
                <w:rFonts w:ascii="Arial" w:hAnsi="Arial" w:cs="Arial"/>
                <w:color w:val="232323"/>
              </w:rPr>
              <w:t>Mērķa grupas personu skaits, kurām sniegta palīdzība projektos, kas saistīti ar uzņemšanas un patvēruma sistēmām, un kurus atbalsta šis fonds.</w:t>
            </w:r>
          </w:p>
        </w:tc>
        <w:tc>
          <w:tcPr>
            <w:tcW w:w="938" w:type="dxa"/>
          </w:tcPr>
          <w:p w14:paraId="00A9A912" w14:textId="748012AD" w:rsidR="0021611A" w:rsidRPr="008F64A0" w:rsidRDefault="0021611A" w:rsidP="00B56B44">
            <w:pPr>
              <w:spacing w:before="0" w:line="240" w:lineRule="auto"/>
              <w:jc w:val="left"/>
            </w:pPr>
            <w:r w:rsidRPr="008F64A0">
              <w:rPr>
                <w:rFonts w:ascii="Arial" w:hAnsi="Arial" w:cs="Arial"/>
                <w:color w:val="232323"/>
              </w:rPr>
              <w:t>1750</w:t>
            </w:r>
          </w:p>
        </w:tc>
        <w:tc>
          <w:tcPr>
            <w:tcW w:w="1256" w:type="dxa"/>
          </w:tcPr>
          <w:p w14:paraId="07C7D7C2" w14:textId="70597C84" w:rsidR="0021611A" w:rsidRPr="008F64A0" w:rsidRDefault="0021611A" w:rsidP="00B56B44">
            <w:pPr>
              <w:spacing w:before="0" w:line="240" w:lineRule="auto"/>
              <w:jc w:val="left"/>
            </w:pPr>
            <w:r w:rsidRPr="008F64A0">
              <w:rPr>
                <w:rFonts w:ascii="Arial" w:hAnsi="Arial" w:cs="Arial"/>
                <w:color w:val="232323"/>
              </w:rPr>
              <w:t>1785</w:t>
            </w:r>
          </w:p>
        </w:tc>
        <w:tc>
          <w:tcPr>
            <w:tcW w:w="901" w:type="dxa"/>
            <w:shd w:val="clear" w:color="auto" w:fill="0D8650" w:themeFill="accent5" w:themeFillShade="80"/>
          </w:tcPr>
          <w:p w14:paraId="18ACD425" w14:textId="340AD5F4" w:rsidR="0021611A" w:rsidRPr="008F64A0" w:rsidRDefault="0021611A" w:rsidP="00B56B44">
            <w:pPr>
              <w:spacing w:before="0" w:line="240" w:lineRule="auto"/>
              <w:jc w:val="left"/>
            </w:pPr>
            <w:r w:rsidRPr="008F64A0">
              <w:rPr>
                <w:rFonts w:ascii="Arial" w:hAnsi="Arial" w:cs="Arial"/>
                <w:color w:val="232323"/>
              </w:rPr>
              <w:t>102%</w:t>
            </w:r>
          </w:p>
        </w:tc>
      </w:tr>
      <w:tr w:rsidR="008F64A0" w:rsidRPr="008F64A0" w14:paraId="690BACB1" w14:textId="77777777" w:rsidTr="005868D4">
        <w:trPr>
          <w:trHeight w:val="1570"/>
        </w:trPr>
        <w:tc>
          <w:tcPr>
            <w:tcW w:w="699" w:type="dxa"/>
            <w:vMerge/>
            <w:shd w:val="clear" w:color="auto" w:fill="E6E6E6" w:themeFill="accent3"/>
            <w:textDirection w:val="btLr"/>
          </w:tcPr>
          <w:p w14:paraId="4A61D14C" w14:textId="77777777" w:rsidR="0021611A" w:rsidRPr="008F64A0" w:rsidRDefault="0021611A" w:rsidP="00B56B44">
            <w:pPr>
              <w:spacing w:before="0" w:line="240" w:lineRule="auto"/>
              <w:ind w:left="113" w:right="113"/>
              <w:jc w:val="center"/>
              <w:rPr>
                <w:b/>
                <w:bCs/>
              </w:rPr>
            </w:pPr>
          </w:p>
        </w:tc>
        <w:tc>
          <w:tcPr>
            <w:tcW w:w="856" w:type="dxa"/>
          </w:tcPr>
          <w:p w14:paraId="25A72BE0" w14:textId="1EBED12D" w:rsidR="0021611A" w:rsidRPr="008F64A0" w:rsidRDefault="0021611A" w:rsidP="00B56B44">
            <w:pPr>
              <w:spacing w:before="0" w:line="240" w:lineRule="auto"/>
              <w:jc w:val="left"/>
            </w:pPr>
            <w:r w:rsidRPr="008F64A0">
              <w:rPr>
                <w:rFonts w:ascii="Arial" w:hAnsi="Arial" w:cs="Arial"/>
                <w:color w:val="232323"/>
              </w:rPr>
              <w:t>C2.1</w:t>
            </w:r>
          </w:p>
        </w:tc>
        <w:tc>
          <w:tcPr>
            <w:tcW w:w="5602" w:type="dxa"/>
          </w:tcPr>
          <w:p w14:paraId="194AECFF" w14:textId="196B7588" w:rsidR="0021611A" w:rsidRPr="008F64A0" w:rsidRDefault="0021611A" w:rsidP="005868D4">
            <w:pPr>
              <w:spacing w:before="0" w:after="0" w:line="240" w:lineRule="auto"/>
              <w:jc w:val="left"/>
            </w:pPr>
            <w:r w:rsidRPr="008F64A0">
              <w:rPr>
                <w:rFonts w:ascii="Arial" w:hAnsi="Arial" w:cs="Arial"/>
                <w:color w:val="232323"/>
              </w:rPr>
              <w:t xml:space="preserve">Jaunas uzņemšanas infrastruktūras kapacitāte (vietu skaits), kas izveidota atbilstoši minimālajām uzņemšanas nosacījumu prasībām, kuras noteiktas ES </w:t>
            </w:r>
            <w:r w:rsidRPr="00401DAF">
              <w:rPr>
                <w:rFonts w:ascii="Arial" w:hAnsi="Arial" w:cs="Arial"/>
                <w:i/>
                <w:iCs/>
                <w:color w:val="232323"/>
              </w:rPr>
              <w:t>acquis</w:t>
            </w:r>
            <w:r w:rsidRPr="008F64A0">
              <w:rPr>
                <w:rFonts w:ascii="Arial" w:hAnsi="Arial" w:cs="Arial"/>
                <w:color w:val="232323"/>
              </w:rPr>
              <w:t>, un esošās uzņemšanas infrastruktūras uzlabojumi saskaņā ar šīm prasībām, pateicoties projektiem, kurus atbalsta šis fonds.</w:t>
            </w:r>
          </w:p>
        </w:tc>
        <w:tc>
          <w:tcPr>
            <w:tcW w:w="938" w:type="dxa"/>
          </w:tcPr>
          <w:p w14:paraId="6A72A416" w14:textId="4A888F23" w:rsidR="0021611A" w:rsidRPr="008F64A0" w:rsidRDefault="0021611A" w:rsidP="00B56B44">
            <w:pPr>
              <w:spacing w:before="0" w:line="240" w:lineRule="auto"/>
              <w:jc w:val="left"/>
            </w:pPr>
            <w:r w:rsidRPr="008F64A0">
              <w:rPr>
                <w:rFonts w:ascii="Arial" w:hAnsi="Arial" w:cs="Arial"/>
                <w:color w:val="232323"/>
              </w:rPr>
              <w:t>352</w:t>
            </w:r>
          </w:p>
        </w:tc>
        <w:tc>
          <w:tcPr>
            <w:tcW w:w="1256" w:type="dxa"/>
          </w:tcPr>
          <w:p w14:paraId="4B0DDBB3" w14:textId="73E81C69" w:rsidR="0021611A" w:rsidRPr="008F64A0" w:rsidRDefault="0021611A" w:rsidP="00B56B44">
            <w:pPr>
              <w:spacing w:before="0" w:line="240" w:lineRule="auto"/>
              <w:jc w:val="left"/>
            </w:pPr>
            <w:r w:rsidRPr="008F64A0">
              <w:rPr>
                <w:rFonts w:ascii="Arial" w:hAnsi="Arial" w:cs="Arial"/>
                <w:color w:val="232323"/>
              </w:rPr>
              <w:t>352</w:t>
            </w:r>
          </w:p>
        </w:tc>
        <w:tc>
          <w:tcPr>
            <w:tcW w:w="901" w:type="dxa"/>
            <w:shd w:val="clear" w:color="auto" w:fill="14C877" w:themeFill="accent5" w:themeFillShade="BF"/>
          </w:tcPr>
          <w:p w14:paraId="6DB23798" w14:textId="2A96DB29" w:rsidR="0021611A" w:rsidRPr="008F64A0" w:rsidRDefault="0021611A" w:rsidP="00B56B44">
            <w:pPr>
              <w:spacing w:before="0" w:line="240" w:lineRule="auto"/>
              <w:jc w:val="left"/>
            </w:pPr>
            <w:r w:rsidRPr="008F64A0">
              <w:rPr>
                <w:rFonts w:ascii="Arial" w:hAnsi="Arial" w:cs="Arial"/>
                <w:color w:val="232323"/>
              </w:rPr>
              <w:t>100%</w:t>
            </w:r>
          </w:p>
        </w:tc>
      </w:tr>
      <w:tr w:rsidR="008F64A0" w:rsidRPr="008F64A0" w14:paraId="0E3950B9" w14:textId="77777777" w:rsidTr="00B56B44">
        <w:tc>
          <w:tcPr>
            <w:tcW w:w="699" w:type="dxa"/>
            <w:vMerge/>
            <w:shd w:val="clear" w:color="auto" w:fill="E6E6E6" w:themeFill="accent3"/>
            <w:textDirection w:val="btLr"/>
          </w:tcPr>
          <w:p w14:paraId="7FECE07B" w14:textId="77777777" w:rsidR="0021611A" w:rsidRPr="008F64A0" w:rsidRDefault="0021611A" w:rsidP="00B56B44">
            <w:pPr>
              <w:spacing w:before="0" w:line="240" w:lineRule="auto"/>
              <w:ind w:left="113" w:right="113"/>
              <w:jc w:val="center"/>
              <w:rPr>
                <w:b/>
                <w:bCs/>
              </w:rPr>
            </w:pPr>
          </w:p>
        </w:tc>
        <w:tc>
          <w:tcPr>
            <w:tcW w:w="856" w:type="dxa"/>
          </w:tcPr>
          <w:p w14:paraId="3D6CDB40" w14:textId="786286D6" w:rsidR="0021611A" w:rsidRPr="008F64A0" w:rsidRDefault="0021611A" w:rsidP="00B56B44">
            <w:pPr>
              <w:spacing w:before="0" w:line="240" w:lineRule="auto"/>
              <w:jc w:val="left"/>
            </w:pPr>
            <w:r w:rsidRPr="008F64A0">
              <w:rPr>
                <w:rFonts w:ascii="Arial" w:hAnsi="Arial" w:cs="Arial"/>
                <w:color w:val="232323"/>
              </w:rPr>
              <w:t>C2.2</w:t>
            </w:r>
          </w:p>
        </w:tc>
        <w:tc>
          <w:tcPr>
            <w:tcW w:w="5602" w:type="dxa"/>
          </w:tcPr>
          <w:p w14:paraId="1423F6CD" w14:textId="76DBC2DD" w:rsidR="0021611A" w:rsidRPr="008F64A0" w:rsidRDefault="0021611A" w:rsidP="005868D4">
            <w:pPr>
              <w:spacing w:before="0" w:after="0" w:line="240" w:lineRule="auto"/>
              <w:jc w:val="left"/>
            </w:pPr>
            <w:r w:rsidRPr="008F64A0">
              <w:rPr>
                <w:rFonts w:ascii="Arial" w:hAnsi="Arial" w:cs="Arial"/>
                <w:color w:val="232323"/>
              </w:rPr>
              <w:t>Procentuālais īpatsvars no kopējās uzņemšanas infrastruktūras kapacitātes.</w:t>
            </w:r>
          </w:p>
        </w:tc>
        <w:tc>
          <w:tcPr>
            <w:tcW w:w="938" w:type="dxa"/>
          </w:tcPr>
          <w:p w14:paraId="42BFD410" w14:textId="67CF93B1" w:rsidR="0021611A" w:rsidRPr="008F64A0" w:rsidRDefault="0021611A" w:rsidP="00B56B44">
            <w:pPr>
              <w:spacing w:before="0" w:line="240" w:lineRule="auto"/>
              <w:jc w:val="left"/>
            </w:pPr>
            <w:r w:rsidRPr="008F64A0">
              <w:rPr>
                <w:rFonts w:ascii="Arial" w:hAnsi="Arial" w:cs="Arial"/>
                <w:color w:val="232323"/>
              </w:rPr>
              <w:t>78</w:t>
            </w:r>
          </w:p>
        </w:tc>
        <w:tc>
          <w:tcPr>
            <w:tcW w:w="1256" w:type="dxa"/>
          </w:tcPr>
          <w:p w14:paraId="54374F7D" w14:textId="2161CD70" w:rsidR="0021611A" w:rsidRPr="008F64A0" w:rsidRDefault="0021611A" w:rsidP="00B56B44">
            <w:pPr>
              <w:spacing w:before="0" w:line="240" w:lineRule="auto"/>
              <w:jc w:val="left"/>
            </w:pPr>
            <w:r w:rsidRPr="008F64A0">
              <w:rPr>
                <w:rFonts w:ascii="Arial" w:hAnsi="Arial" w:cs="Arial"/>
                <w:color w:val="232323"/>
              </w:rPr>
              <w:t>125</w:t>
            </w:r>
          </w:p>
        </w:tc>
        <w:tc>
          <w:tcPr>
            <w:tcW w:w="901" w:type="dxa"/>
            <w:shd w:val="clear" w:color="auto" w:fill="0D8650" w:themeFill="accent5" w:themeFillShade="80"/>
          </w:tcPr>
          <w:p w14:paraId="68F15AE7" w14:textId="4012F6E3" w:rsidR="0021611A" w:rsidRPr="008F64A0" w:rsidRDefault="0021611A" w:rsidP="00B56B44">
            <w:pPr>
              <w:spacing w:before="0" w:line="240" w:lineRule="auto"/>
              <w:jc w:val="left"/>
            </w:pPr>
            <w:r w:rsidRPr="008F64A0">
              <w:rPr>
                <w:rFonts w:ascii="Arial" w:hAnsi="Arial" w:cs="Arial"/>
                <w:color w:val="232323"/>
              </w:rPr>
              <w:t>160%</w:t>
            </w:r>
          </w:p>
        </w:tc>
      </w:tr>
      <w:tr w:rsidR="008F64A0" w:rsidRPr="008F64A0" w14:paraId="01A40219" w14:textId="77777777" w:rsidTr="005F3DF4">
        <w:tc>
          <w:tcPr>
            <w:tcW w:w="699" w:type="dxa"/>
            <w:vMerge/>
            <w:shd w:val="clear" w:color="auto" w:fill="E6E6E6" w:themeFill="accent3"/>
            <w:textDirection w:val="btLr"/>
          </w:tcPr>
          <w:p w14:paraId="47DA85E6" w14:textId="77777777" w:rsidR="0021611A" w:rsidRPr="008F64A0" w:rsidRDefault="0021611A" w:rsidP="00B56B44">
            <w:pPr>
              <w:spacing w:before="0" w:line="240" w:lineRule="auto"/>
              <w:ind w:left="113" w:right="113"/>
              <w:jc w:val="center"/>
              <w:rPr>
                <w:b/>
                <w:bCs/>
              </w:rPr>
            </w:pPr>
          </w:p>
        </w:tc>
        <w:tc>
          <w:tcPr>
            <w:tcW w:w="856" w:type="dxa"/>
          </w:tcPr>
          <w:p w14:paraId="254FA757" w14:textId="32963AF5" w:rsidR="0021611A" w:rsidRPr="008F64A0" w:rsidRDefault="0021611A" w:rsidP="00B56B44">
            <w:pPr>
              <w:spacing w:before="0" w:line="240" w:lineRule="auto"/>
              <w:jc w:val="left"/>
            </w:pPr>
            <w:r w:rsidRPr="008F64A0">
              <w:rPr>
                <w:rFonts w:ascii="Arial" w:hAnsi="Arial" w:cs="Arial"/>
                <w:color w:val="232323"/>
              </w:rPr>
              <w:t>C3.1</w:t>
            </w:r>
          </w:p>
        </w:tc>
        <w:tc>
          <w:tcPr>
            <w:tcW w:w="5602" w:type="dxa"/>
          </w:tcPr>
          <w:p w14:paraId="7BD385D3" w14:textId="48609056" w:rsidR="0021611A" w:rsidRPr="008F64A0" w:rsidRDefault="0021611A" w:rsidP="005868D4">
            <w:pPr>
              <w:spacing w:before="0" w:after="0" w:line="240" w:lineRule="auto"/>
              <w:jc w:val="left"/>
            </w:pPr>
            <w:r w:rsidRPr="008F64A0">
              <w:rPr>
                <w:rFonts w:ascii="Arial" w:hAnsi="Arial" w:cs="Arial"/>
                <w:color w:val="232323"/>
              </w:rPr>
              <w:t>Personu skaits, kuras apmācītas patvēruma jautājumos ar šī fonda atbalstu.</w:t>
            </w:r>
          </w:p>
        </w:tc>
        <w:tc>
          <w:tcPr>
            <w:tcW w:w="938" w:type="dxa"/>
          </w:tcPr>
          <w:p w14:paraId="7CC1EBF4" w14:textId="3B8E0A16" w:rsidR="0021611A" w:rsidRPr="008F64A0" w:rsidRDefault="0021611A" w:rsidP="00B56B44">
            <w:pPr>
              <w:spacing w:before="0" w:line="240" w:lineRule="auto"/>
              <w:jc w:val="left"/>
            </w:pPr>
            <w:r w:rsidRPr="008F64A0">
              <w:rPr>
                <w:rFonts w:ascii="Arial" w:hAnsi="Arial" w:cs="Arial"/>
                <w:color w:val="232323"/>
              </w:rPr>
              <w:t>260</w:t>
            </w:r>
          </w:p>
        </w:tc>
        <w:tc>
          <w:tcPr>
            <w:tcW w:w="1256" w:type="dxa"/>
          </w:tcPr>
          <w:p w14:paraId="3685FD08" w14:textId="5325B579" w:rsidR="0021611A" w:rsidRPr="008F64A0" w:rsidRDefault="0021611A" w:rsidP="00B56B44">
            <w:pPr>
              <w:spacing w:before="0" w:line="240" w:lineRule="auto"/>
              <w:jc w:val="left"/>
            </w:pPr>
            <w:r w:rsidRPr="008F64A0">
              <w:rPr>
                <w:rFonts w:ascii="Arial" w:hAnsi="Arial" w:cs="Arial"/>
                <w:color w:val="232323"/>
              </w:rPr>
              <w:t>252</w:t>
            </w:r>
          </w:p>
        </w:tc>
        <w:tc>
          <w:tcPr>
            <w:tcW w:w="901" w:type="dxa"/>
            <w:shd w:val="clear" w:color="auto" w:fill="8AF3C4" w:themeFill="accent5" w:themeFillTint="99"/>
          </w:tcPr>
          <w:p w14:paraId="4D48EC74" w14:textId="68AFC7BC" w:rsidR="0021611A" w:rsidRPr="008F64A0" w:rsidRDefault="0021611A" w:rsidP="00B56B44">
            <w:pPr>
              <w:spacing w:before="0" w:line="240" w:lineRule="auto"/>
              <w:jc w:val="left"/>
            </w:pPr>
            <w:r w:rsidRPr="008F64A0">
              <w:rPr>
                <w:rFonts w:ascii="Arial" w:hAnsi="Arial" w:cs="Arial"/>
                <w:color w:val="232323"/>
              </w:rPr>
              <w:t>97%</w:t>
            </w:r>
          </w:p>
        </w:tc>
      </w:tr>
      <w:tr w:rsidR="008F64A0" w:rsidRPr="008F64A0" w14:paraId="16C855BB" w14:textId="77777777" w:rsidTr="005F3DF4">
        <w:tc>
          <w:tcPr>
            <w:tcW w:w="699" w:type="dxa"/>
            <w:vMerge/>
            <w:shd w:val="clear" w:color="auto" w:fill="E6E6E6" w:themeFill="accent3"/>
            <w:textDirection w:val="btLr"/>
          </w:tcPr>
          <w:p w14:paraId="0BF13866" w14:textId="77777777" w:rsidR="0021611A" w:rsidRPr="008F64A0" w:rsidRDefault="0021611A" w:rsidP="00B56B44">
            <w:pPr>
              <w:spacing w:before="0" w:line="240" w:lineRule="auto"/>
              <w:ind w:left="113" w:right="113"/>
              <w:jc w:val="center"/>
              <w:rPr>
                <w:b/>
                <w:bCs/>
              </w:rPr>
            </w:pPr>
          </w:p>
        </w:tc>
        <w:tc>
          <w:tcPr>
            <w:tcW w:w="856" w:type="dxa"/>
          </w:tcPr>
          <w:p w14:paraId="400D6730" w14:textId="3A8E5CE6" w:rsidR="0021611A" w:rsidRPr="008F64A0" w:rsidRDefault="0021611A" w:rsidP="00B56B44">
            <w:pPr>
              <w:spacing w:before="0" w:line="240" w:lineRule="auto"/>
              <w:jc w:val="left"/>
            </w:pPr>
            <w:r w:rsidRPr="008F64A0">
              <w:rPr>
                <w:rFonts w:ascii="Arial" w:hAnsi="Arial" w:cs="Arial"/>
              </w:rPr>
              <w:t>C3.2</w:t>
            </w:r>
          </w:p>
        </w:tc>
        <w:tc>
          <w:tcPr>
            <w:tcW w:w="5602" w:type="dxa"/>
          </w:tcPr>
          <w:p w14:paraId="5D3C8260" w14:textId="028EC916" w:rsidR="0021611A" w:rsidRPr="008F64A0" w:rsidRDefault="0021611A" w:rsidP="005868D4">
            <w:pPr>
              <w:spacing w:before="0" w:after="0" w:line="240" w:lineRule="auto"/>
              <w:jc w:val="left"/>
            </w:pPr>
            <w:r w:rsidRPr="008F64A0">
              <w:rPr>
                <w:rFonts w:ascii="Arial" w:hAnsi="Arial" w:cs="Arial"/>
              </w:rPr>
              <w:t>Šis skaits procentos no kopējā apmācīto personāla skaita, kas apmācīti šajos jautājumos.</w:t>
            </w:r>
          </w:p>
        </w:tc>
        <w:tc>
          <w:tcPr>
            <w:tcW w:w="938" w:type="dxa"/>
          </w:tcPr>
          <w:p w14:paraId="75628E9D" w14:textId="3AC50930" w:rsidR="0021611A" w:rsidRPr="008F64A0" w:rsidRDefault="0021611A" w:rsidP="00B56B44">
            <w:pPr>
              <w:spacing w:before="0" w:line="240" w:lineRule="auto"/>
              <w:jc w:val="left"/>
            </w:pPr>
            <w:r w:rsidRPr="008F64A0">
              <w:rPr>
                <w:rFonts w:ascii="Arial" w:hAnsi="Arial" w:cs="Arial"/>
              </w:rPr>
              <w:t>95%</w:t>
            </w:r>
          </w:p>
        </w:tc>
        <w:tc>
          <w:tcPr>
            <w:tcW w:w="1256" w:type="dxa"/>
          </w:tcPr>
          <w:p w14:paraId="610612E5" w14:textId="33FE591F" w:rsidR="0021611A" w:rsidRPr="008F64A0" w:rsidRDefault="0021611A" w:rsidP="00B56B44">
            <w:pPr>
              <w:spacing w:before="0" w:line="240" w:lineRule="auto"/>
              <w:jc w:val="left"/>
            </w:pPr>
            <w:r w:rsidRPr="008F64A0">
              <w:rPr>
                <w:rFonts w:ascii="Arial" w:hAnsi="Arial" w:cs="Arial"/>
              </w:rPr>
              <w:t>80%</w:t>
            </w:r>
          </w:p>
        </w:tc>
        <w:tc>
          <w:tcPr>
            <w:tcW w:w="901" w:type="dxa"/>
            <w:shd w:val="clear" w:color="auto" w:fill="8AF3C4" w:themeFill="accent5" w:themeFillTint="99"/>
          </w:tcPr>
          <w:p w14:paraId="410FD0C1" w14:textId="3FADCD35" w:rsidR="0021611A" w:rsidRPr="008F64A0" w:rsidRDefault="0021611A" w:rsidP="00B56B44">
            <w:pPr>
              <w:spacing w:before="0" w:line="240" w:lineRule="auto"/>
              <w:jc w:val="left"/>
            </w:pPr>
            <w:r w:rsidRPr="008F64A0">
              <w:rPr>
                <w:rFonts w:ascii="Arial" w:hAnsi="Arial" w:cs="Arial"/>
              </w:rPr>
              <w:t>84%</w:t>
            </w:r>
          </w:p>
        </w:tc>
      </w:tr>
      <w:tr w:rsidR="00D910A1" w:rsidRPr="008F64A0" w14:paraId="37B67FA7" w14:textId="77777777" w:rsidTr="005F3DF4">
        <w:tc>
          <w:tcPr>
            <w:tcW w:w="699" w:type="dxa"/>
            <w:vMerge w:val="restart"/>
            <w:shd w:val="clear" w:color="auto" w:fill="E6E6E6" w:themeFill="accent3"/>
            <w:textDirection w:val="btLr"/>
          </w:tcPr>
          <w:p w14:paraId="1E8DA3B4" w14:textId="73EF4B8F" w:rsidR="0021611A" w:rsidRPr="008F64A0" w:rsidRDefault="00D910A1" w:rsidP="00B56B44">
            <w:pPr>
              <w:spacing w:before="0" w:line="240" w:lineRule="auto"/>
              <w:ind w:left="113" w:right="113"/>
              <w:jc w:val="center"/>
              <w:rPr>
                <w:b/>
                <w:bCs/>
              </w:rPr>
            </w:pPr>
            <w:r w:rsidRPr="008F64A0">
              <w:rPr>
                <w:b/>
                <w:bCs/>
              </w:rPr>
              <w:t>SM2 Integrācija / legālā migrācija</w:t>
            </w:r>
          </w:p>
        </w:tc>
        <w:tc>
          <w:tcPr>
            <w:tcW w:w="856" w:type="dxa"/>
          </w:tcPr>
          <w:p w14:paraId="3ACDEFC8" w14:textId="09A64705" w:rsidR="0021611A" w:rsidRPr="008F64A0" w:rsidRDefault="0021611A" w:rsidP="00B56B44">
            <w:pPr>
              <w:spacing w:before="0" w:line="240" w:lineRule="auto"/>
              <w:jc w:val="left"/>
            </w:pPr>
            <w:r w:rsidRPr="008F64A0">
              <w:rPr>
                <w:rFonts w:ascii="Arial" w:hAnsi="Arial" w:cs="Arial"/>
                <w:color w:val="232323"/>
              </w:rPr>
              <w:t>C2</w:t>
            </w:r>
          </w:p>
        </w:tc>
        <w:tc>
          <w:tcPr>
            <w:tcW w:w="5602" w:type="dxa"/>
          </w:tcPr>
          <w:p w14:paraId="097498C3" w14:textId="4AFF3959" w:rsidR="0021611A" w:rsidRPr="008F64A0" w:rsidRDefault="0021611A" w:rsidP="005868D4">
            <w:pPr>
              <w:spacing w:before="0" w:after="0" w:line="240" w:lineRule="auto"/>
              <w:jc w:val="left"/>
            </w:pPr>
            <w:r w:rsidRPr="008F64A0">
              <w:rPr>
                <w:rFonts w:ascii="Arial" w:hAnsi="Arial" w:cs="Arial"/>
                <w:color w:val="232323"/>
              </w:rPr>
              <w:t>Mērķa grupas personu skaits, kurām šis fonds ir sniedzis palīdzību integrācijas pasākumu ietvaros, kas veikti nacionālo, reģionālo un vietējo stratēģiju ietvaros.</w:t>
            </w:r>
          </w:p>
        </w:tc>
        <w:tc>
          <w:tcPr>
            <w:tcW w:w="938" w:type="dxa"/>
          </w:tcPr>
          <w:p w14:paraId="591520CB" w14:textId="3C47DD74" w:rsidR="0021611A" w:rsidRPr="008F64A0" w:rsidRDefault="0021611A" w:rsidP="00B56B44">
            <w:pPr>
              <w:spacing w:before="0" w:line="240" w:lineRule="auto"/>
              <w:jc w:val="left"/>
            </w:pPr>
            <w:r w:rsidRPr="008F64A0">
              <w:rPr>
                <w:rFonts w:ascii="Arial" w:hAnsi="Arial" w:cs="Arial"/>
                <w:color w:val="232323"/>
              </w:rPr>
              <w:t>6600</w:t>
            </w:r>
          </w:p>
        </w:tc>
        <w:tc>
          <w:tcPr>
            <w:tcW w:w="1256" w:type="dxa"/>
          </w:tcPr>
          <w:p w14:paraId="1A97EF2E" w14:textId="2C0787FA" w:rsidR="0021611A" w:rsidRPr="008F64A0" w:rsidRDefault="0021611A" w:rsidP="00B56B44">
            <w:pPr>
              <w:spacing w:before="0" w:line="240" w:lineRule="auto"/>
              <w:jc w:val="left"/>
            </w:pPr>
            <w:r w:rsidRPr="008F64A0">
              <w:rPr>
                <w:rFonts w:ascii="Arial" w:hAnsi="Arial" w:cs="Arial"/>
                <w:color w:val="232323"/>
              </w:rPr>
              <w:t>19066</w:t>
            </w:r>
          </w:p>
        </w:tc>
        <w:tc>
          <w:tcPr>
            <w:tcW w:w="901" w:type="dxa"/>
            <w:shd w:val="clear" w:color="auto" w:fill="0D8650" w:themeFill="accent5" w:themeFillShade="80"/>
          </w:tcPr>
          <w:p w14:paraId="51BF6C9C" w14:textId="37F85DAF" w:rsidR="0021611A" w:rsidRPr="008F64A0" w:rsidRDefault="0021611A" w:rsidP="00B56B44">
            <w:pPr>
              <w:spacing w:before="0" w:line="240" w:lineRule="auto"/>
              <w:jc w:val="left"/>
            </w:pPr>
            <w:r w:rsidRPr="008F64A0">
              <w:rPr>
                <w:rFonts w:ascii="Arial" w:hAnsi="Arial" w:cs="Arial"/>
                <w:color w:val="232323"/>
              </w:rPr>
              <w:t>289%</w:t>
            </w:r>
          </w:p>
        </w:tc>
      </w:tr>
      <w:tr w:rsidR="00D910A1" w:rsidRPr="008F64A0" w14:paraId="43139324" w14:textId="77777777" w:rsidTr="00C82976">
        <w:trPr>
          <w:trHeight w:val="1206"/>
        </w:trPr>
        <w:tc>
          <w:tcPr>
            <w:tcW w:w="699" w:type="dxa"/>
            <w:vMerge/>
            <w:shd w:val="clear" w:color="auto" w:fill="E6E6E6" w:themeFill="accent3"/>
            <w:textDirection w:val="btLr"/>
          </w:tcPr>
          <w:p w14:paraId="6F4C017B" w14:textId="77777777" w:rsidR="0021611A" w:rsidRPr="008F64A0" w:rsidRDefault="0021611A" w:rsidP="00B56B44">
            <w:pPr>
              <w:spacing w:before="0" w:line="240" w:lineRule="auto"/>
              <w:ind w:left="113" w:right="113"/>
              <w:jc w:val="center"/>
              <w:rPr>
                <w:b/>
                <w:bCs/>
              </w:rPr>
            </w:pPr>
          </w:p>
        </w:tc>
        <w:tc>
          <w:tcPr>
            <w:tcW w:w="856" w:type="dxa"/>
          </w:tcPr>
          <w:p w14:paraId="51E1C764" w14:textId="4E2ED093" w:rsidR="0021611A" w:rsidRPr="008F64A0" w:rsidRDefault="0021611A" w:rsidP="00B56B44">
            <w:pPr>
              <w:spacing w:before="0" w:line="240" w:lineRule="auto"/>
              <w:jc w:val="left"/>
            </w:pPr>
            <w:r w:rsidRPr="008F64A0">
              <w:rPr>
                <w:rFonts w:ascii="Arial" w:hAnsi="Arial" w:cs="Arial"/>
                <w:color w:val="232323"/>
              </w:rPr>
              <w:t>C3</w:t>
            </w:r>
          </w:p>
        </w:tc>
        <w:tc>
          <w:tcPr>
            <w:tcW w:w="5602" w:type="dxa"/>
          </w:tcPr>
          <w:p w14:paraId="5DAB1CF8" w14:textId="7504749C" w:rsidR="0021611A" w:rsidRPr="008F64A0" w:rsidRDefault="0021611A" w:rsidP="005868D4">
            <w:pPr>
              <w:spacing w:before="0" w:after="0" w:line="240" w:lineRule="auto"/>
              <w:jc w:val="left"/>
            </w:pPr>
            <w:r w:rsidRPr="008F64A0">
              <w:rPr>
                <w:rFonts w:ascii="Arial" w:hAnsi="Arial" w:cs="Arial"/>
                <w:color w:val="232323"/>
              </w:rPr>
              <w:t>Vietējo, reģionālo un nacionālo politikas ietvaru/pasākumu/instrumentu skaits, kas izstrādāti trešo valstu pilsoņu integrācijai un kuros iesaistīta pilsoniskā sabiedrība, migrantu kopienas un citi attiecīgie dalībnieki, pateicoties šī fonda atbalstam.</w:t>
            </w:r>
          </w:p>
        </w:tc>
        <w:tc>
          <w:tcPr>
            <w:tcW w:w="938" w:type="dxa"/>
          </w:tcPr>
          <w:p w14:paraId="0883478A" w14:textId="46FA8360" w:rsidR="0021611A" w:rsidRPr="008F64A0" w:rsidRDefault="0021611A" w:rsidP="00B56B44">
            <w:pPr>
              <w:spacing w:before="0" w:line="240" w:lineRule="auto"/>
              <w:jc w:val="left"/>
            </w:pPr>
            <w:r w:rsidRPr="008F64A0">
              <w:rPr>
                <w:rFonts w:ascii="Arial" w:hAnsi="Arial" w:cs="Arial"/>
                <w:color w:val="232323"/>
              </w:rPr>
              <w:t>6</w:t>
            </w:r>
          </w:p>
        </w:tc>
        <w:tc>
          <w:tcPr>
            <w:tcW w:w="1256" w:type="dxa"/>
          </w:tcPr>
          <w:p w14:paraId="2F5C2CC2" w14:textId="138ED9B6" w:rsidR="0021611A" w:rsidRPr="008F64A0" w:rsidRDefault="0021611A" w:rsidP="00B56B44">
            <w:pPr>
              <w:spacing w:before="0" w:line="240" w:lineRule="auto"/>
              <w:jc w:val="left"/>
            </w:pPr>
            <w:r w:rsidRPr="008F64A0">
              <w:rPr>
                <w:rFonts w:ascii="Arial" w:hAnsi="Arial" w:cs="Arial"/>
                <w:color w:val="232323"/>
              </w:rPr>
              <w:t>6</w:t>
            </w:r>
          </w:p>
        </w:tc>
        <w:tc>
          <w:tcPr>
            <w:tcW w:w="901" w:type="dxa"/>
            <w:shd w:val="clear" w:color="auto" w:fill="14C877" w:themeFill="accent5" w:themeFillShade="BF"/>
          </w:tcPr>
          <w:p w14:paraId="7E2DEE15" w14:textId="6A42DACE" w:rsidR="0021611A" w:rsidRPr="008F64A0" w:rsidRDefault="0021611A" w:rsidP="00B56B44">
            <w:pPr>
              <w:spacing w:before="0" w:line="240" w:lineRule="auto"/>
              <w:jc w:val="left"/>
            </w:pPr>
            <w:r w:rsidRPr="008F64A0">
              <w:rPr>
                <w:rFonts w:ascii="Arial" w:hAnsi="Arial" w:cs="Arial"/>
                <w:color w:val="232323"/>
              </w:rPr>
              <w:t>100%</w:t>
            </w:r>
          </w:p>
        </w:tc>
      </w:tr>
      <w:tr w:rsidR="00D910A1" w:rsidRPr="008F64A0" w14:paraId="6A696627" w14:textId="77777777" w:rsidTr="005F3DF4">
        <w:tc>
          <w:tcPr>
            <w:tcW w:w="699" w:type="dxa"/>
            <w:vMerge/>
            <w:shd w:val="clear" w:color="auto" w:fill="E6E6E6" w:themeFill="accent3"/>
            <w:textDirection w:val="btLr"/>
          </w:tcPr>
          <w:p w14:paraId="61009B20" w14:textId="77777777" w:rsidR="0021611A" w:rsidRPr="008F64A0" w:rsidRDefault="0021611A" w:rsidP="00B56B44">
            <w:pPr>
              <w:spacing w:before="0" w:line="240" w:lineRule="auto"/>
              <w:ind w:left="113" w:right="113"/>
              <w:jc w:val="center"/>
              <w:rPr>
                <w:b/>
                <w:bCs/>
              </w:rPr>
            </w:pPr>
          </w:p>
        </w:tc>
        <w:tc>
          <w:tcPr>
            <w:tcW w:w="856" w:type="dxa"/>
          </w:tcPr>
          <w:p w14:paraId="6F4C0CAA" w14:textId="21D0F9D0" w:rsidR="0021611A" w:rsidRPr="008F64A0" w:rsidRDefault="0021611A" w:rsidP="00B56B44">
            <w:pPr>
              <w:spacing w:before="0" w:line="240" w:lineRule="auto"/>
              <w:jc w:val="left"/>
            </w:pPr>
            <w:r w:rsidRPr="008F64A0">
              <w:rPr>
                <w:rFonts w:ascii="Arial" w:hAnsi="Arial" w:cs="Arial"/>
                <w:color w:val="232323"/>
              </w:rPr>
              <w:t>C5</w:t>
            </w:r>
          </w:p>
        </w:tc>
        <w:tc>
          <w:tcPr>
            <w:tcW w:w="5602" w:type="dxa"/>
          </w:tcPr>
          <w:p w14:paraId="538EC121" w14:textId="274B2128" w:rsidR="0021611A" w:rsidRPr="008F64A0" w:rsidRDefault="0021611A" w:rsidP="005868D4">
            <w:pPr>
              <w:spacing w:before="0" w:after="0" w:line="240" w:lineRule="auto"/>
              <w:jc w:val="left"/>
            </w:pPr>
            <w:r w:rsidRPr="008F64A0">
              <w:rPr>
                <w:rFonts w:ascii="Arial" w:hAnsi="Arial" w:cs="Arial"/>
                <w:color w:val="232323"/>
              </w:rPr>
              <w:t>Atbalstīto projektu skaits, kas vērsti uz integrācijas politiku izstrādi, uzraudzību un novērtēšanu dalībvalstīs.</w:t>
            </w:r>
          </w:p>
        </w:tc>
        <w:tc>
          <w:tcPr>
            <w:tcW w:w="938" w:type="dxa"/>
          </w:tcPr>
          <w:p w14:paraId="2693F412" w14:textId="1BC1159F" w:rsidR="0021611A" w:rsidRPr="008F64A0" w:rsidRDefault="0021611A" w:rsidP="00B56B44">
            <w:pPr>
              <w:spacing w:before="0" w:line="240" w:lineRule="auto"/>
              <w:jc w:val="left"/>
            </w:pPr>
            <w:r w:rsidRPr="008F64A0">
              <w:rPr>
                <w:rFonts w:ascii="Arial" w:hAnsi="Arial" w:cs="Arial"/>
                <w:color w:val="232323"/>
              </w:rPr>
              <w:t>2</w:t>
            </w:r>
          </w:p>
        </w:tc>
        <w:tc>
          <w:tcPr>
            <w:tcW w:w="1256" w:type="dxa"/>
          </w:tcPr>
          <w:p w14:paraId="15070B4B" w14:textId="596741F0" w:rsidR="0021611A" w:rsidRPr="008F64A0" w:rsidRDefault="0021611A" w:rsidP="00B56B44">
            <w:pPr>
              <w:spacing w:before="0" w:line="240" w:lineRule="auto"/>
              <w:jc w:val="left"/>
            </w:pPr>
            <w:r w:rsidRPr="008F64A0">
              <w:rPr>
                <w:rFonts w:ascii="Arial" w:hAnsi="Arial" w:cs="Arial"/>
                <w:color w:val="232323"/>
              </w:rPr>
              <w:t>1</w:t>
            </w:r>
          </w:p>
        </w:tc>
        <w:tc>
          <w:tcPr>
            <w:tcW w:w="901" w:type="dxa"/>
            <w:shd w:val="clear" w:color="auto" w:fill="EBFE41" w:themeFill="accent4"/>
          </w:tcPr>
          <w:p w14:paraId="4A48EAED" w14:textId="69597179" w:rsidR="0021611A" w:rsidRPr="008F64A0" w:rsidRDefault="0021611A" w:rsidP="00B56B44">
            <w:pPr>
              <w:spacing w:before="0" w:line="240" w:lineRule="auto"/>
              <w:jc w:val="left"/>
            </w:pPr>
            <w:r w:rsidRPr="008F64A0">
              <w:rPr>
                <w:rFonts w:ascii="Arial" w:hAnsi="Arial" w:cs="Arial"/>
                <w:color w:val="232323"/>
              </w:rPr>
              <w:t>50%</w:t>
            </w:r>
          </w:p>
        </w:tc>
      </w:tr>
      <w:tr w:rsidR="00D910A1" w:rsidRPr="008F64A0" w14:paraId="574543B6" w14:textId="77777777" w:rsidTr="005F3DF4">
        <w:tc>
          <w:tcPr>
            <w:tcW w:w="699" w:type="dxa"/>
            <w:vMerge w:val="restart"/>
            <w:shd w:val="clear" w:color="auto" w:fill="E6E6E6" w:themeFill="accent3"/>
            <w:textDirection w:val="btLr"/>
          </w:tcPr>
          <w:p w14:paraId="6880E120" w14:textId="0F96074B" w:rsidR="0021611A" w:rsidRPr="008F64A0" w:rsidRDefault="00D910A1" w:rsidP="00B56B44">
            <w:pPr>
              <w:spacing w:before="0" w:line="240" w:lineRule="auto"/>
              <w:ind w:left="113" w:right="113"/>
              <w:jc w:val="center"/>
              <w:rPr>
                <w:b/>
                <w:bCs/>
              </w:rPr>
            </w:pPr>
            <w:r w:rsidRPr="008F64A0">
              <w:rPr>
                <w:b/>
                <w:bCs/>
              </w:rPr>
              <w:t>SM3  Atgriešana</w:t>
            </w:r>
          </w:p>
        </w:tc>
        <w:tc>
          <w:tcPr>
            <w:tcW w:w="856" w:type="dxa"/>
          </w:tcPr>
          <w:p w14:paraId="3349653D" w14:textId="27630E45" w:rsidR="0021611A" w:rsidRPr="008F64A0" w:rsidRDefault="0021611A" w:rsidP="00B56B44">
            <w:pPr>
              <w:spacing w:before="0" w:line="240" w:lineRule="auto"/>
              <w:jc w:val="left"/>
            </w:pPr>
            <w:r w:rsidRPr="008F64A0">
              <w:rPr>
                <w:rFonts w:ascii="Arial" w:hAnsi="Arial" w:cs="Arial"/>
                <w:color w:val="232323"/>
              </w:rPr>
              <w:t>C1</w:t>
            </w:r>
          </w:p>
        </w:tc>
        <w:tc>
          <w:tcPr>
            <w:tcW w:w="5602" w:type="dxa"/>
          </w:tcPr>
          <w:p w14:paraId="21BD9C1F" w14:textId="1E272258" w:rsidR="0021611A" w:rsidRPr="008F64A0" w:rsidRDefault="0021611A" w:rsidP="005868D4">
            <w:pPr>
              <w:spacing w:before="0" w:after="0" w:line="240" w:lineRule="auto"/>
              <w:jc w:val="left"/>
            </w:pPr>
            <w:r w:rsidRPr="008F64A0">
              <w:rPr>
                <w:rFonts w:ascii="Arial" w:hAnsi="Arial" w:cs="Arial"/>
                <w:color w:val="232323"/>
              </w:rPr>
              <w:t>Personu skaits, kas apmācītas ar atgriešanos saistītos jautājumos, izmantojot šī fonda atbalstu.</w:t>
            </w:r>
          </w:p>
        </w:tc>
        <w:tc>
          <w:tcPr>
            <w:tcW w:w="938" w:type="dxa"/>
          </w:tcPr>
          <w:p w14:paraId="021B0544" w14:textId="5E5D4310" w:rsidR="0021611A" w:rsidRPr="008F64A0" w:rsidRDefault="0021611A" w:rsidP="00B56B44">
            <w:pPr>
              <w:spacing w:before="0" w:line="240" w:lineRule="auto"/>
              <w:jc w:val="left"/>
            </w:pPr>
            <w:r w:rsidRPr="008F64A0">
              <w:rPr>
                <w:rFonts w:ascii="Arial" w:hAnsi="Arial" w:cs="Arial"/>
                <w:color w:val="232323"/>
              </w:rPr>
              <w:t>100</w:t>
            </w:r>
          </w:p>
        </w:tc>
        <w:tc>
          <w:tcPr>
            <w:tcW w:w="1256" w:type="dxa"/>
          </w:tcPr>
          <w:p w14:paraId="61A5B76D" w14:textId="3AE2A663" w:rsidR="0021611A" w:rsidRPr="008F64A0" w:rsidRDefault="0021611A" w:rsidP="00B56B44">
            <w:pPr>
              <w:spacing w:before="0" w:line="240" w:lineRule="auto"/>
              <w:jc w:val="left"/>
            </w:pPr>
            <w:r w:rsidRPr="008F64A0">
              <w:rPr>
                <w:rFonts w:ascii="Arial" w:hAnsi="Arial" w:cs="Arial"/>
                <w:color w:val="232323"/>
              </w:rPr>
              <w:t>135</w:t>
            </w:r>
          </w:p>
        </w:tc>
        <w:tc>
          <w:tcPr>
            <w:tcW w:w="901" w:type="dxa"/>
            <w:shd w:val="clear" w:color="auto" w:fill="0D8650" w:themeFill="accent5" w:themeFillShade="80"/>
          </w:tcPr>
          <w:p w14:paraId="2D7AB382" w14:textId="2415FB2F" w:rsidR="0021611A" w:rsidRPr="008F64A0" w:rsidRDefault="0021611A" w:rsidP="00B56B44">
            <w:pPr>
              <w:spacing w:before="0" w:line="240" w:lineRule="auto"/>
              <w:jc w:val="left"/>
            </w:pPr>
            <w:r w:rsidRPr="008F64A0">
              <w:rPr>
                <w:rFonts w:ascii="Arial" w:hAnsi="Arial" w:cs="Arial"/>
                <w:color w:val="232323"/>
              </w:rPr>
              <w:t>135%</w:t>
            </w:r>
          </w:p>
        </w:tc>
      </w:tr>
      <w:tr w:rsidR="00D910A1" w:rsidRPr="008F64A0" w14:paraId="77E5BF08" w14:textId="77777777" w:rsidTr="005F3DF4">
        <w:tc>
          <w:tcPr>
            <w:tcW w:w="699" w:type="dxa"/>
            <w:vMerge/>
            <w:shd w:val="clear" w:color="auto" w:fill="E6E6E6" w:themeFill="accent3"/>
          </w:tcPr>
          <w:p w14:paraId="73AD43B5" w14:textId="77777777" w:rsidR="0021611A" w:rsidRPr="008F64A0" w:rsidRDefault="0021611A" w:rsidP="00B56B44">
            <w:pPr>
              <w:spacing w:before="0" w:line="240" w:lineRule="auto"/>
              <w:jc w:val="left"/>
            </w:pPr>
          </w:p>
        </w:tc>
        <w:tc>
          <w:tcPr>
            <w:tcW w:w="856" w:type="dxa"/>
          </w:tcPr>
          <w:p w14:paraId="590B78FA" w14:textId="7A51FE08" w:rsidR="0021611A" w:rsidRPr="008F64A0" w:rsidRDefault="0021611A" w:rsidP="00B56B44">
            <w:pPr>
              <w:spacing w:before="0" w:line="240" w:lineRule="auto"/>
              <w:jc w:val="left"/>
            </w:pPr>
            <w:r w:rsidRPr="008F64A0">
              <w:rPr>
                <w:rFonts w:ascii="Arial" w:hAnsi="Arial" w:cs="Arial"/>
                <w:color w:val="232323"/>
              </w:rPr>
              <w:t>C2</w:t>
            </w:r>
          </w:p>
        </w:tc>
        <w:tc>
          <w:tcPr>
            <w:tcW w:w="5602" w:type="dxa"/>
          </w:tcPr>
          <w:p w14:paraId="282D0356" w14:textId="368B6F72" w:rsidR="0021611A" w:rsidRPr="008F64A0" w:rsidRDefault="0021611A" w:rsidP="005868D4">
            <w:pPr>
              <w:spacing w:before="0" w:after="0" w:line="240" w:lineRule="auto"/>
              <w:jc w:val="left"/>
            </w:pPr>
            <w:r w:rsidRPr="008F64A0">
              <w:rPr>
                <w:rFonts w:ascii="Arial" w:hAnsi="Arial" w:cs="Arial"/>
                <w:color w:val="232323"/>
              </w:rPr>
              <w:t>Atgriezušos personu skaits, kas saņēmuši pirmsatgriešanās vai pēcatgriešanās reintegrācijas palīdzību, ko līdzfinansē fonds.</w:t>
            </w:r>
          </w:p>
        </w:tc>
        <w:tc>
          <w:tcPr>
            <w:tcW w:w="938" w:type="dxa"/>
          </w:tcPr>
          <w:p w14:paraId="61E5BF06" w14:textId="1E3F29AE" w:rsidR="0021611A" w:rsidRPr="008F64A0" w:rsidRDefault="0021611A" w:rsidP="00B56B44">
            <w:pPr>
              <w:spacing w:before="0" w:line="240" w:lineRule="auto"/>
              <w:jc w:val="left"/>
            </w:pPr>
            <w:r w:rsidRPr="008F64A0">
              <w:rPr>
                <w:rFonts w:ascii="Arial" w:hAnsi="Arial" w:cs="Arial"/>
                <w:color w:val="232323"/>
              </w:rPr>
              <w:t>200</w:t>
            </w:r>
          </w:p>
        </w:tc>
        <w:tc>
          <w:tcPr>
            <w:tcW w:w="1256" w:type="dxa"/>
          </w:tcPr>
          <w:p w14:paraId="45DE3FA4" w14:textId="782EB3B3" w:rsidR="0021611A" w:rsidRPr="008F64A0" w:rsidRDefault="0021611A" w:rsidP="00B56B44">
            <w:pPr>
              <w:spacing w:before="0" w:line="240" w:lineRule="auto"/>
              <w:jc w:val="left"/>
            </w:pPr>
            <w:r w:rsidRPr="008F64A0">
              <w:rPr>
                <w:rFonts w:ascii="Arial" w:hAnsi="Arial" w:cs="Arial"/>
                <w:color w:val="232323"/>
              </w:rPr>
              <w:t>304</w:t>
            </w:r>
          </w:p>
        </w:tc>
        <w:tc>
          <w:tcPr>
            <w:tcW w:w="901" w:type="dxa"/>
            <w:shd w:val="clear" w:color="auto" w:fill="0D8650" w:themeFill="accent5" w:themeFillShade="80"/>
          </w:tcPr>
          <w:p w14:paraId="7A3C5715" w14:textId="32B0E2C6" w:rsidR="0021611A" w:rsidRPr="008F64A0" w:rsidRDefault="0021611A" w:rsidP="00B56B44">
            <w:pPr>
              <w:spacing w:before="0" w:line="240" w:lineRule="auto"/>
              <w:jc w:val="left"/>
            </w:pPr>
            <w:r w:rsidRPr="008F64A0">
              <w:rPr>
                <w:rFonts w:ascii="Arial" w:hAnsi="Arial" w:cs="Arial"/>
                <w:color w:val="232323"/>
              </w:rPr>
              <w:t>152%</w:t>
            </w:r>
          </w:p>
        </w:tc>
      </w:tr>
      <w:tr w:rsidR="00D910A1" w:rsidRPr="008F64A0" w14:paraId="4C9A2235" w14:textId="77777777" w:rsidTr="005F3DF4">
        <w:tc>
          <w:tcPr>
            <w:tcW w:w="699" w:type="dxa"/>
            <w:vMerge/>
            <w:shd w:val="clear" w:color="auto" w:fill="E6E6E6" w:themeFill="accent3"/>
          </w:tcPr>
          <w:p w14:paraId="57CD86DC" w14:textId="77777777" w:rsidR="0021611A" w:rsidRPr="008F64A0" w:rsidRDefault="0021611A" w:rsidP="00B56B44">
            <w:pPr>
              <w:spacing w:before="0" w:line="240" w:lineRule="auto"/>
              <w:jc w:val="left"/>
            </w:pPr>
          </w:p>
        </w:tc>
        <w:tc>
          <w:tcPr>
            <w:tcW w:w="856" w:type="dxa"/>
          </w:tcPr>
          <w:p w14:paraId="02BB8430" w14:textId="46F88C70" w:rsidR="0021611A" w:rsidRPr="008F64A0" w:rsidRDefault="0021611A" w:rsidP="00B56B44">
            <w:pPr>
              <w:spacing w:before="0" w:line="240" w:lineRule="auto"/>
              <w:jc w:val="left"/>
            </w:pPr>
            <w:r w:rsidRPr="008F64A0">
              <w:rPr>
                <w:rFonts w:ascii="Arial" w:hAnsi="Arial" w:cs="Arial"/>
                <w:color w:val="232323"/>
              </w:rPr>
              <w:t>C3</w:t>
            </w:r>
          </w:p>
        </w:tc>
        <w:tc>
          <w:tcPr>
            <w:tcW w:w="5602" w:type="dxa"/>
          </w:tcPr>
          <w:p w14:paraId="6ECAC5E1" w14:textId="48307B9B" w:rsidR="0021611A" w:rsidRPr="008F64A0" w:rsidRDefault="0021611A" w:rsidP="005868D4">
            <w:pPr>
              <w:spacing w:before="0" w:after="0" w:line="240" w:lineRule="auto"/>
              <w:jc w:val="left"/>
            </w:pPr>
            <w:r w:rsidRPr="008F64A0">
              <w:rPr>
                <w:rFonts w:ascii="Arial" w:hAnsi="Arial" w:cs="Arial"/>
                <w:color w:val="232323"/>
              </w:rPr>
              <w:t>Atgriezušos personu skaits, kuru atgriešanos līdzfinansēja fonds, ieskaitot personas, kas atgriezās brīvprātīgi.</w:t>
            </w:r>
          </w:p>
        </w:tc>
        <w:tc>
          <w:tcPr>
            <w:tcW w:w="938" w:type="dxa"/>
          </w:tcPr>
          <w:p w14:paraId="74163B87" w14:textId="0702B7C3" w:rsidR="0021611A" w:rsidRPr="008F64A0" w:rsidRDefault="0021611A" w:rsidP="00B56B44">
            <w:pPr>
              <w:spacing w:before="0" w:line="240" w:lineRule="auto"/>
              <w:jc w:val="left"/>
            </w:pPr>
            <w:r w:rsidRPr="008F64A0">
              <w:rPr>
                <w:rFonts w:ascii="Arial" w:hAnsi="Arial" w:cs="Arial"/>
                <w:color w:val="232323"/>
              </w:rPr>
              <w:t>600</w:t>
            </w:r>
          </w:p>
        </w:tc>
        <w:tc>
          <w:tcPr>
            <w:tcW w:w="1256" w:type="dxa"/>
          </w:tcPr>
          <w:p w14:paraId="13F6A574" w14:textId="0E506E23" w:rsidR="0021611A" w:rsidRPr="008F64A0" w:rsidRDefault="0021611A" w:rsidP="00B56B44">
            <w:pPr>
              <w:spacing w:before="0" w:line="240" w:lineRule="auto"/>
              <w:jc w:val="left"/>
            </w:pPr>
            <w:r w:rsidRPr="008F64A0">
              <w:rPr>
                <w:rFonts w:ascii="Arial" w:hAnsi="Arial" w:cs="Arial"/>
                <w:color w:val="232323"/>
              </w:rPr>
              <w:t>588</w:t>
            </w:r>
          </w:p>
        </w:tc>
        <w:tc>
          <w:tcPr>
            <w:tcW w:w="901" w:type="dxa"/>
            <w:shd w:val="clear" w:color="auto" w:fill="8AF3C4" w:themeFill="accent5" w:themeFillTint="99"/>
          </w:tcPr>
          <w:p w14:paraId="78360CE8" w14:textId="3E9DF454" w:rsidR="0021611A" w:rsidRPr="008F64A0" w:rsidRDefault="0021611A" w:rsidP="00B56B44">
            <w:pPr>
              <w:spacing w:before="0" w:line="240" w:lineRule="auto"/>
              <w:jc w:val="left"/>
            </w:pPr>
            <w:r w:rsidRPr="008F64A0">
              <w:rPr>
                <w:rFonts w:ascii="Arial" w:hAnsi="Arial" w:cs="Arial"/>
                <w:color w:val="232323"/>
              </w:rPr>
              <w:t>98%</w:t>
            </w:r>
          </w:p>
        </w:tc>
      </w:tr>
      <w:tr w:rsidR="00D910A1" w:rsidRPr="008F64A0" w14:paraId="2611E52E" w14:textId="77777777" w:rsidTr="005F3DF4">
        <w:tc>
          <w:tcPr>
            <w:tcW w:w="699" w:type="dxa"/>
            <w:vMerge/>
            <w:shd w:val="clear" w:color="auto" w:fill="E6E6E6" w:themeFill="accent3"/>
          </w:tcPr>
          <w:p w14:paraId="012D251F" w14:textId="77777777" w:rsidR="0021611A" w:rsidRPr="008F64A0" w:rsidRDefault="0021611A" w:rsidP="00B56B44">
            <w:pPr>
              <w:spacing w:before="0" w:line="240" w:lineRule="auto"/>
              <w:jc w:val="left"/>
            </w:pPr>
          </w:p>
        </w:tc>
        <w:tc>
          <w:tcPr>
            <w:tcW w:w="856" w:type="dxa"/>
          </w:tcPr>
          <w:p w14:paraId="3BF5D19B" w14:textId="4CB31C85" w:rsidR="0021611A" w:rsidRPr="008F64A0" w:rsidRDefault="0021611A" w:rsidP="00B56B44">
            <w:pPr>
              <w:spacing w:before="0" w:line="240" w:lineRule="auto"/>
              <w:jc w:val="left"/>
            </w:pPr>
            <w:r w:rsidRPr="008F64A0">
              <w:rPr>
                <w:rFonts w:ascii="Arial" w:hAnsi="Arial" w:cs="Arial"/>
                <w:color w:val="232323"/>
              </w:rPr>
              <w:t>C4</w:t>
            </w:r>
          </w:p>
        </w:tc>
        <w:tc>
          <w:tcPr>
            <w:tcW w:w="5602" w:type="dxa"/>
          </w:tcPr>
          <w:p w14:paraId="6076FBC1" w14:textId="0E5A0AA3" w:rsidR="0021611A" w:rsidRPr="008F64A0" w:rsidRDefault="0021611A" w:rsidP="005868D4">
            <w:pPr>
              <w:spacing w:before="0" w:after="0" w:line="240" w:lineRule="auto"/>
              <w:jc w:val="left"/>
            </w:pPr>
            <w:r w:rsidRPr="008F64A0">
              <w:rPr>
                <w:rFonts w:ascii="Arial" w:hAnsi="Arial" w:cs="Arial"/>
                <w:color w:val="232323"/>
              </w:rPr>
              <w:t>Atgriezušos personu skaits, kuru atgriešanos līdzfinansēja fonds, ieskaitot personas, kas tika izraidītas.</w:t>
            </w:r>
          </w:p>
        </w:tc>
        <w:tc>
          <w:tcPr>
            <w:tcW w:w="938" w:type="dxa"/>
          </w:tcPr>
          <w:p w14:paraId="4FA4F540" w14:textId="2F56CD68" w:rsidR="0021611A" w:rsidRPr="008F64A0" w:rsidRDefault="0021611A" w:rsidP="00B56B44">
            <w:pPr>
              <w:spacing w:before="0" w:line="240" w:lineRule="auto"/>
              <w:jc w:val="left"/>
            </w:pPr>
            <w:r w:rsidRPr="008F64A0">
              <w:rPr>
                <w:rFonts w:ascii="Arial" w:hAnsi="Arial" w:cs="Arial"/>
                <w:color w:val="232323"/>
              </w:rPr>
              <w:t>1800</w:t>
            </w:r>
          </w:p>
        </w:tc>
        <w:tc>
          <w:tcPr>
            <w:tcW w:w="1256" w:type="dxa"/>
          </w:tcPr>
          <w:p w14:paraId="066185CD" w14:textId="3012DF7B" w:rsidR="0021611A" w:rsidRPr="008F64A0" w:rsidRDefault="0021611A" w:rsidP="00B56B44">
            <w:pPr>
              <w:spacing w:before="0" w:line="240" w:lineRule="auto"/>
              <w:jc w:val="left"/>
            </w:pPr>
            <w:r w:rsidRPr="008F64A0">
              <w:rPr>
                <w:rFonts w:ascii="Arial" w:hAnsi="Arial" w:cs="Arial"/>
                <w:color w:val="232323"/>
              </w:rPr>
              <w:t>1100</w:t>
            </w:r>
          </w:p>
        </w:tc>
        <w:tc>
          <w:tcPr>
            <w:tcW w:w="901" w:type="dxa"/>
            <w:shd w:val="clear" w:color="auto" w:fill="EBFE41" w:themeFill="accent4"/>
          </w:tcPr>
          <w:p w14:paraId="6656AC03" w14:textId="5F143D36" w:rsidR="0021611A" w:rsidRPr="008F64A0" w:rsidRDefault="0021611A" w:rsidP="00B56B44">
            <w:pPr>
              <w:spacing w:before="0" w:line="240" w:lineRule="auto"/>
              <w:jc w:val="left"/>
            </w:pPr>
            <w:r w:rsidRPr="008F64A0">
              <w:rPr>
                <w:rFonts w:ascii="Arial" w:hAnsi="Arial" w:cs="Arial"/>
                <w:color w:val="232323"/>
              </w:rPr>
              <w:t>61%</w:t>
            </w:r>
          </w:p>
        </w:tc>
      </w:tr>
    </w:tbl>
    <w:p w14:paraId="6B84D1DF" w14:textId="3A9DFE3A" w:rsidR="006D3DE4" w:rsidRPr="007F5044" w:rsidRDefault="00D910A1" w:rsidP="007F5044">
      <w:pPr>
        <w:jc w:val="right"/>
        <w:rPr>
          <w:rStyle w:val="Izsmalcintsizclums"/>
        </w:rPr>
      </w:pPr>
      <w:r w:rsidRPr="00A070AF">
        <w:rPr>
          <w:rStyle w:val="Izsmalcintsizclums"/>
        </w:rPr>
        <w:t>Avots</w:t>
      </w:r>
      <w:r w:rsidRPr="007F5044">
        <w:rPr>
          <w:rStyle w:val="Izsmalcintsizclums"/>
        </w:rPr>
        <w:t xml:space="preserve">: </w:t>
      </w:r>
      <w:r w:rsidR="00B56B44" w:rsidRPr="007F5044">
        <w:rPr>
          <w:rStyle w:val="Izsmalcintsizclums"/>
        </w:rPr>
        <w:t>2024.gada PMIF ieviešanas ziņojums</w:t>
      </w:r>
    </w:p>
    <w:p w14:paraId="37BC1D50" w14:textId="651B823D" w:rsidR="004E7C57" w:rsidRPr="008F64A0" w:rsidRDefault="004E7C57" w:rsidP="004E7C57">
      <w:r w:rsidRPr="008F64A0">
        <w:t xml:space="preserve">PMIF </w:t>
      </w:r>
      <w:r w:rsidR="00253306">
        <w:t xml:space="preserve">nacionālās programmas </w:t>
      </w:r>
      <w:r w:rsidRPr="008F64A0">
        <w:t>īstenošanas rezultātu</w:t>
      </w:r>
      <w:r w:rsidR="00594469">
        <w:t xml:space="preserve"> analīzē</w:t>
      </w:r>
      <w:r w:rsidRPr="008F64A0">
        <w:t xml:space="preserve"> </w:t>
      </w:r>
      <w:r w:rsidR="00594469">
        <w:t>jā</w:t>
      </w:r>
      <w:r w:rsidRPr="008F64A0">
        <w:t>ņem vērā</w:t>
      </w:r>
      <w:r w:rsidR="00594469">
        <w:t xml:space="preserve"> metodiska nianse</w:t>
      </w:r>
      <w:r w:rsidRPr="008F64A0">
        <w:t xml:space="preserve">, ka no 62 ieviestajiem projektiem 11 projektiem </w:t>
      </w:r>
      <w:r w:rsidR="00B027E7">
        <w:t>netika</w:t>
      </w:r>
      <w:r w:rsidR="00B027E7" w:rsidRPr="008F64A0">
        <w:t xml:space="preserve"> </w:t>
      </w:r>
      <w:r w:rsidRPr="008F64A0">
        <w:t xml:space="preserve">definēti PMIF nacionālajai programmai atbilstoši rezultatīvie rādītāji. </w:t>
      </w:r>
      <w:r w:rsidR="00B027E7">
        <w:t>Š</w:t>
      </w:r>
      <w:r w:rsidRPr="008F64A0">
        <w:t>iem projektiem tika noteikti specifiski pasākumu rezultāti, kas</w:t>
      </w:r>
      <w:r w:rsidR="00992527">
        <w:t>, lai arī tieši nekorelē ar programmas standarta rādītājiem,</w:t>
      </w:r>
      <w:r w:rsidRPr="008F64A0">
        <w:t xml:space="preserve"> </w:t>
      </w:r>
      <w:r w:rsidR="009646B7">
        <w:t>sniedza ieguldījumu</w:t>
      </w:r>
      <w:r w:rsidR="009646B7" w:rsidRPr="008F64A0">
        <w:t xml:space="preserve"> </w:t>
      </w:r>
      <w:r w:rsidRPr="008F64A0">
        <w:t>PMIF noteikto mērķu sasniegšan</w:t>
      </w:r>
      <w:r w:rsidR="009646B7">
        <w:t>ā</w:t>
      </w:r>
      <w:r w:rsidRPr="008F64A0">
        <w:t xml:space="preserve">. Minētie projekti </w:t>
      </w:r>
      <w:r w:rsidR="00F11597">
        <w:t>ap</w:t>
      </w:r>
      <w:r w:rsidR="00F11597" w:rsidRPr="008F64A0">
        <w:t xml:space="preserve">tvēra </w:t>
      </w:r>
      <w:r w:rsidRPr="008F64A0">
        <w:t xml:space="preserve">vairākas nozīmīgas infrastruktūras un </w:t>
      </w:r>
      <w:r w:rsidR="00F11597">
        <w:t xml:space="preserve">institucionālās </w:t>
      </w:r>
      <w:r w:rsidRPr="008F64A0">
        <w:t xml:space="preserve">kapacitātes pilnveides iniciatīvas, t.sk. </w:t>
      </w:r>
      <w:r w:rsidR="005A37F3">
        <w:t>PMC</w:t>
      </w:r>
      <w:r w:rsidRPr="008F64A0">
        <w:t xml:space="preserve"> un </w:t>
      </w:r>
      <w:r w:rsidR="00812CBB" w:rsidRPr="00812CBB">
        <w:t>AĀIC</w:t>
      </w:r>
      <w:r w:rsidRPr="008F64A0">
        <w:t xml:space="preserve"> infrastruktūras attīstību, aizturēto ārzemnieku uzņemšanas kapacitātes stiprināšan</w:t>
      </w:r>
      <w:r w:rsidR="007B547D">
        <w:t>u</w:t>
      </w:r>
      <w:r w:rsidRPr="008F64A0">
        <w:t xml:space="preserve">, </w:t>
      </w:r>
      <w:r w:rsidR="0007412F">
        <w:t>BDAS</w:t>
      </w:r>
      <w:r w:rsidRPr="008F64A0">
        <w:t xml:space="preserve"> modernizāciju un VRS materiāltehniskā nodrošinājuma pilnveidi.</w:t>
      </w:r>
    </w:p>
    <w:p w14:paraId="79183963" w14:textId="133CC63E" w:rsidR="00143135" w:rsidRDefault="004E7C57" w:rsidP="004E7C57">
      <w:r w:rsidRPr="008F64A0">
        <w:t xml:space="preserve">Lai arī šo projektu kvantitatīvie rezultāti </w:t>
      </w:r>
      <w:r w:rsidR="000561C3">
        <w:t xml:space="preserve">nav tieši </w:t>
      </w:r>
      <w:r w:rsidR="000561C3" w:rsidRPr="008F64A0">
        <w:t>atspoguļo</w:t>
      </w:r>
      <w:r w:rsidR="000561C3">
        <w:t>ti</w:t>
      </w:r>
      <w:r w:rsidR="000561C3" w:rsidRPr="008F64A0">
        <w:t xml:space="preserve"> </w:t>
      </w:r>
      <w:r w:rsidRPr="008F64A0">
        <w:t xml:space="preserve">PMIF </w:t>
      </w:r>
      <w:r w:rsidR="00D62AA2">
        <w:t xml:space="preserve">standarta </w:t>
      </w:r>
      <w:r w:rsidRPr="008F64A0">
        <w:t xml:space="preserve">rezultatīvo rādītāju progresa uzskaitījumā, to sniegtais ieguldījums ir </w:t>
      </w:r>
      <w:r w:rsidR="00D62AA2">
        <w:t>būtiski veicinājis</w:t>
      </w:r>
      <w:r w:rsidRPr="008F64A0">
        <w:t xml:space="preserve"> Programmas stratēģisko mērķu sasniegšan</w:t>
      </w:r>
      <w:r w:rsidR="00D62AA2">
        <w:t>u</w:t>
      </w:r>
      <w:r w:rsidRPr="008F64A0">
        <w:t>. Projekt</w:t>
      </w:r>
      <w:r w:rsidR="004F0968">
        <w:t>u īstenošana</w:t>
      </w:r>
      <w:r w:rsidRPr="008F64A0">
        <w:t xml:space="preserve"> ir </w:t>
      </w:r>
      <w:r w:rsidR="004F0968">
        <w:t>sekmējusi</w:t>
      </w:r>
      <w:r w:rsidR="004F0968" w:rsidRPr="008F64A0">
        <w:t xml:space="preserve"> </w:t>
      </w:r>
      <w:r w:rsidRPr="008F64A0">
        <w:t>migrācijas plūsmu efektīv</w:t>
      </w:r>
      <w:r w:rsidR="004F0968">
        <w:t>āku</w:t>
      </w:r>
      <w:r w:rsidRPr="008F64A0">
        <w:t xml:space="preserve"> pārvaldīb</w:t>
      </w:r>
      <w:r w:rsidR="004F0968">
        <w:t>u</w:t>
      </w:r>
      <w:r w:rsidRPr="008F64A0">
        <w:t xml:space="preserve"> </w:t>
      </w:r>
      <w:r w:rsidR="004F0968">
        <w:t>un veicinājusi</w:t>
      </w:r>
      <w:r w:rsidRPr="008F64A0">
        <w:t xml:space="preserve"> kopējās politikas attīstību patvēruma, alternatīvās aizsardzības un pagaidu aizsardzības jomā</w:t>
      </w:r>
      <w:r w:rsidR="002D4D15">
        <w:t>s,</w:t>
      </w:r>
      <w:r w:rsidRPr="008F64A0">
        <w:t xml:space="preserve"> </w:t>
      </w:r>
      <w:r w:rsidR="002D4D15">
        <w:t>v</w:t>
      </w:r>
      <w:r w:rsidRPr="008F64A0">
        <w:t>ienlaikus snie</w:t>
      </w:r>
      <w:r w:rsidR="002D4D15">
        <w:t>dzot</w:t>
      </w:r>
      <w:r w:rsidRPr="008F64A0">
        <w:t xml:space="preserve"> ieguldījumu migrācijas politikas īstenošanas, stiprināšanas un attīstības procesos.</w:t>
      </w:r>
    </w:p>
    <w:p w14:paraId="4F8936B1" w14:textId="372265F6" w:rsidR="00B95DCC" w:rsidRDefault="009D4F2E" w:rsidP="00B95DCC">
      <w:r>
        <w:t>Veiktā</w:t>
      </w:r>
      <w:r w:rsidR="009F4489">
        <w:t>s</w:t>
      </w:r>
      <w:r>
        <w:t xml:space="preserve"> finansējuma saņēmēju aptaujas rezultāti atklāj, ka </w:t>
      </w:r>
      <w:r w:rsidR="000C684E">
        <w:t>74</w:t>
      </w:r>
      <w:r w:rsidR="009C37DF" w:rsidRPr="00A72C95">
        <w:t> </w:t>
      </w:r>
      <w:r w:rsidR="0014344E" w:rsidRPr="00A72C95">
        <w:t xml:space="preserve">% </w:t>
      </w:r>
      <w:r>
        <w:t xml:space="preserve">respondentu vērtē </w:t>
      </w:r>
      <w:r w:rsidR="0014344E" w:rsidRPr="00A72C95">
        <w:t>projekt</w:t>
      </w:r>
      <w:r w:rsidR="00ED23F9">
        <w:t>u</w:t>
      </w:r>
      <w:r w:rsidR="0014344E" w:rsidRPr="00A72C95">
        <w:t xml:space="preserve"> mērķ</w:t>
      </w:r>
      <w:r w:rsidR="00ED23F9">
        <w:t>u</w:t>
      </w:r>
      <w:r w:rsidR="0014344E" w:rsidRPr="00A72C95">
        <w:t xml:space="preserve"> sasnieg</w:t>
      </w:r>
      <w:r w:rsidR="00ED23F9">
        <w:t>šanu</w:t>
      </w:r>
      <w:r w:rsidR="0014344E" w:rsidRPr="00A72C95">
        <w:t xml:space="preserve"> </w:t>
      </w:r>
      <w:r w:rsidR="00ED23F9">
        <w:t xml:space="preserve">kā </w:t>
      </w:r>
      <w:r w:rsidR="0014344E" w:rsidRPr="00A72C95">
        <w:t>pilnībā</w:t>
      </w:r>
      <w:r w:rsidR="00ED23F9">
        <w:t xml:space="preserve"> īstenotu</w:t>
      </w:r>
      <w:r w:rsidR="0014344E" w:rsidRPr="00A72C95">
        <w:t xml:space="preserve">, savukārt </w:t>
      </w:r>
      <w:r w:rsidR="000C684E">
        <w:t>1</w:t>
      </w:r>
      <w:r w:rsidR="009C37DF" w:rsidRPr="00A72C95">
        <w:t>6 </w:t>
      </w:r>
      <w:r w:rsidR="0014344E" w:rsidRPr="00A72C95">
        <w:t xml:space="preserve">% </w:t>
      </w:r>
      <w:r w:rsidR="00ED23F9">
        <w:t xml:space="preserve">norāda uz </w:t>
      </w:r>
      <w:r w:rsidR="0014344E" w:rsidRPr="00A72C95">
        <w:t>daļēj</w:t>
      </w:r>
      <w:r w:rsidR="00ED23F9">
        <w:t>u</w:t>
      </w:r>
      <w:r w:rsidR="006E0BF5">
        <w:t xml:space="preserve"> mērķu</w:t>
      </w:r>
      <w:r w:rsidR="0014344E" w:rsidRPr="00A72C95">
        <w:t xml:space="preserve"> sasnieg</w:t>
      </w:r>
      <w:r w:rsidR="006E0BF5">
        <w:t>šanu</w:t>
      </w:r>
      <w:r w:rsidR="0014344E" w:rsidRPr="00A72C95">
        <w:t>, turpin</w:t>
      </w:r>
      <w:r w:rsidR="006E0BF5">
        <w:t>ot to īstenošanu</w:t>
      </w:r>
      <w:r w:rsidR="0014344E" w:rsidRPr="00A72C95">
        <w:t xml:space="preserve"> </w:t>
      </w:r>
      <w:r w:rsidR="00E611A9" w:rsidRPr="00A72C95">
        <w:t>Iekšlietu fondu programmu 2021</w:t>
      </w:r>
      <w:r w:rsidR="006E0BF5">
        <w:t>.</w:t>
      </w:r>
      <w:r w:rsidR="00E611A9" w:rsidRPr="00A72C95">
        <w:t>-2027.</w:t>
      </w:r>
      <w:r w:rsidR="006E0BF5">
        <w:t xml:space="preserve"> </w:t>
      </w:r>
      <w:r w:rsidR="00E611A9" w:rsidRPr="00A72C95">
        <w:t>gada plānošanas periodā</w:t>
      </w:r>
      <w:r w:rsidR="00617B29">
        <w:t xml:space="preserve"> (</w:t>
      </w:r>
      <w:r w:rsidR="00C82976">
        <w:rPr>
          <w:highlight w:val="yellow"/>
        </w:rPr>
        <w:fldChar w:fldCharType="begin"/>
      </w:r>
      <w:r w:rsidR="00C82976">
        <w:instrText xml:space="preserve"> REF _Ref190264501 \h </w:instrText>
      </w:r>
      <w:r w:rsidR="00C82976">
        <w:rPr>
          <w:highlight w:val="yellow"/>
        </w:rPr>
      </w:r>
      <w:r w:rsidR="00C82976">
        <w:rPr>
          <w:highlight w:val="yellow"/>
        </w:rPr>
        <w:fldChar w:fldCharType="separate"/>
      </w:r>
      <w:r w:rsidR="000523B6">
        <w:t xml:space="preserve">Attēls </w:t>
      </w:r>
      <w:r w:rsidR="000523B6">
        <w:rPr>
          <w:noProof/>
        </w:rPr>
        <w:t>2</w:t>
      </w:r>
      <w:r w:rsidR="00C82976">
        <w:rPr>
          <w:highlight w:val="yellow"/>
        </w:rPr>
        <w:fldChar w:fldCharType="end"/>
      </w:r>
      <w:r w:rsidR="00617B29">
        <w:t>)</w:t>
      </w:r>
      <w:r w:rsidR="00E611A9" w:rsidRPr="00A72C95">
        <w:t>.</w:t>
      </w:r>
      <w:r w:rsidR="00E611A9">
        <w:t xml:space="preserve"> </w:t>
      </w:r>
      <w:r w:rsidR="00860997">
        <w:t>Tikai v</w:t>
      </w:r>
      <w:r w:rsidR="00441F2F">
        <w:t>ien</w:t>
      </w:r>
      <w:r w:rsidR="00860997">
        <w:t>ā gadījumā</w:t>
      </w:r>
      <w:r w:rsidR="007650E4">
        <w:t xml:space="preserve"> </w:t>
      </w:r>
      <w:r w:rsidR="00035F75">
        <w:t xml:space="preserve">projekta </w:t>
      </w:r>
      <w:r w:rsidR="00B95DCC">
        <w:t>mērķ</w:t>
      </w:r>
      <w:r w:rsidR="00B843BD">
        <w:t>i</w:t>
      </w:r>
      <w:r w:rsidR="00B95DCC">
        <w:t xml:space="preserve"> </w:t>
      </w:r>
      <w:r w:rsidR="00B843BD">
        <w:t xml:space="preserve">netika </w:t>
      </w:r>
      <w:r w:rsidR="00B3621F">
        <w:t>sasnie</w:t>
      </w:r>
      <w:r w:rsidR="00B843BD">
        <w:t>gti</w:t>
      </w:r>
      <w:r w:rsidR="00035F75">
        <w:t xml:space="preserve"> un </w:t>
      </w:r>
      <w:r w:rsidR="00F43F12">
        <w:t xml:space="preserve">to īstenošana netiek </w:t>
      </w:r>
      <w:r w:rsidR="00035F75">
        <w:t>turpin</w:t>
      </w:r>
      <w:r w:rsidR="00F43F12">
        <w:t>āta</w:t>
      </w:r>
      <w:r w:rsidR="00035F75">
        <w:t xml:space="preserve">. </w:t>
      </w:r>
      <w:r w:rsidR="00F43F12">
        <w:t>Šī situācija</w:t>
      </w:r>
      <w:r w:rsidR="00035F75">
        <w:t xml:space="preserve"> tiek skaidrot</w:t>
      </w:r>
      <w:r w:rsidR="00F43F12">
        <w:t>a</w:t>
      </w:r>
      <w:r w:rsidR="00035F75">
        <w:t xml:space="preserve"> ar </w:t>
      </w:r>
      <w:r w:rsidR="00B95DCC">
        <w:t>Covid</w:t>
      </w:r>
      <w:r w:rsidR="00B3621F">
        <w:t>-19</w:t>
      </w:r>
      <w:r w:rsidR="00B95DCC">
        <w:t xml:space="preserve"> </w:t>
      </w:r>
      <w:r w:rsidR="002D411B">
        <w:t xml:space="preserve">pandēmijas izraisīto </w:t>
      </w:r>
      <w:r w:rsidR="00B95DCC">
        <w:t xml:space="preserve">ierobežojumu </w:t>
      </w:r>
      <w:r w:rsidR="002D411B">
        <w:t xml:space="preserve">ietekmi uz </w:t>
      </w:r>
      <w:r w:rsidR="00035F75">
        <w:t>plānoto pieredzes apmaiņas braucien</w:t>
      </w:r>
      <w:r w:rsidR="004D13C6">
        <w:t>u īstenošanu</w:t>
      </w:r>
      <w:r w:rsidR="00035F75">
        <w:t>,</w:t>
      </w:r>
      <w:r w:rsidR="004D13C6">
        <w:t xml:space="preserve"> kā arī ar projekta ieviešanas </w:t>
      </w:r>
      <w:r w:rsidR="007B5386">
        <w:t>termiņa stingrajiem ierobežojumiem.</w:t>
      </w:r>
      <w:r w:rsidR="00035F75">
        <w:t xml:space="preserve"> </w:t>
      </w:r>
    </w:p>
    <w:p w14:paraId="38C5AE19" w14:textId="0F8DCA91" w:rsidR="009C37DF" w:rsidRDefault="009C37DF" w:rsidP="009C37DF">
      <w:pPr>
        <w:pStyle w:val="GraphTitle"/>
      </w:pPr>
      <w:bookmarkStart w:id="20" w:name="_Ref190264501"/>
      <w:bookmarkStart w:id="21" w:name="_Ref191049696"/>
      <w:r>
        <w:t xml:space="preserve">Attēls </w:t>
      </w:r>
      <w:r w:rsidR="00C47EA2">
        <w:fldChar w:fldCharType="begin"/>
      </w:r>
      <w:r w:rsidR="00C47EA2">
        <w:instrText xml:space="preserve"> SEQ Attēls \* ARABIC </w:instrText>
      </w:r>
      <w:r w:rsidR="00C47EA2">
        <w:fldChar w:fldCharType="separate"/>
      </w:r>
      <w:r w:rsidR="000523B6">
        <w:t>2</w:t>
      </w:r>
      <w:r w:rsidR="00C47EA2">
        <w:fldChar w:fldCharType="end"/>
      </w:r>
      <w:bookmarkEnd w:id="20"/>
      <w:r>
        <w:t>. Finansējuma saņēmēju vērtējums par projektu mērķu sasniegšanu</w:t>
      </w:r>
      <w:bookmarkEnd w:id="21"/>
    </w:p>
    <w:p w14:paraId="640173F4" w14:textId="024FE764" w:rsidR="00D72498" w:rsidRPr="008F64A0" w:rsidRDefault="000C684E" w:rsidP="004E7C57">
      <w:r>
        <w:rPr>
          <w:noProof/>
        </w:rPr>
        <w:drawing>
          <wp:inline distT="0" distB="0" distL="0" distR="0" wp14:anchorId="4E6C97A8" wp14:editId="2460AA29">
            <wp:extent cx="6508750" cy="1543050"/>
            <wp:effectExtent l="0" t="0" r="6350" b="0"/>
            <wp:docPr id="1376111814" name="Chart 1">
              <a:extLst xmlns:a="http://schemas.openxmlformats.org/drawingml/2006/main">
                <a:ext uri="{FF2B5EF4-FFF2-40B4-BE49-F238E27FC236}">
                  <a16:creationId xmlns:a16="http://schemas.microsoft.com/office/drawing/2014/main" id="{8A9FBCE3-1017-4B52-8D39-0B3E661FC3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11C2823" w14:textId="50E2BC8A" w:rsidR="005B4326" w:rsidRPr="00A070AF" w:rsidRDefault="005B4326" w:rsidP="009C37DF">
      <w:pPr>
        <w:jc w:val="right"/>
        <w:rPr>
          <w:rStyle w:val="Izsmalcintsizclums"/>
        </w:rPr>
      </w:pPr>
      <w:r w:rsidRPr="00A070AF">
        <w:rPr>
          <w:rStyle w:val="Izsmalcintsizclums"/>
        </w:rPr>
        <w:t xml:space="preserve">Avots: </w:t>
      </w:r>
      <w:r w:rsidR="001D25D9" w:rsidRPr="00A070AF">
        <w:rPr>
          <w:rStyle w:val="Izsmalcintsizclums"/>
        </w:rPr>
        <w:t>Finansējuma saņēmēju aptauja, n=</w:t>
      </w:r>
      <w:r w:rsidR="000C684E" w:rsidRPr="00A070AF">
        <w:rPr>
          <w:rStyle w:val="Izsmalcintsizclums"/>
        </w:rPr>
        <w:t>19</w:t>
      </w:r>
    </w:p>
    <w:p w14:paraId="21305F0A" w14:textId="4DA56FD7" w:rsidR="00D408B1" w:rsidRDefault="009174A9" w:rsidP="009B0C03">
      <w:r>
        <w:lastRenderedPageBreak/>
        <w:t>Finansējuma saņēmēji identi</w:t>
      </w:r>
      <w:r w:rsidR="00D12C37">
        <w:t xml:space="preserve">ficē </w:t>
      </w:r>
      <w:r w:rsidR="00B13995">
        <w:t xml:space="preserve">vairākus </w:t>
      </w:r>
      <w:r w:rsidR="009B0C03" w:rsidRPr="008F64A0">
        <w:t>PMIF mērķu sasniegšanu veicinoš</w:t>
      </w:r>
      <w:r w:rsidR="00A55CDD">
        <w:t>os</w:t>
      </w:r>
      <w:r w:rsidR="009B0C03" w:rsidRPr="008F64A0">
        <w:t xml:space="preserve"> faktor</w:t>
      </w:r>
      <w:r w:rsidR="00A55CDD">
        <w:t>us</w:t>
      </w:r>
      <w:r w:rsidR="009B0C03" w:rsidRPr="008F64A0">
        <w:t xml:space="preserve">. </w:t>
      </w:r>
      <w:r w:rsidR="00611A49">
        <w:t>Primāri izceļama o</w:t>
      </w:r>
      <w:r w:rsidR="009B0C03" w:rsidRPr="008F64A0">
        <w:t xml:space="preserve">rganizāciju iekšējās kapacitātes </w:t>
      </w:r>
      <w:r w:rsidR="00261028">
        <w:t>attīstība</w:t>
      </w:r>
      <w:r w:rsidR="005B420C" w:rsidRPr="008F64A0">
        <w:t xml:space="preserve">, </w:t>
      </w:r>
      <w:r w:rsidR="00261028">
        <w:t xml:space="preserve">kas veidojusies </w:t>
      </w:r>
      <w:r w:rsidR="005B420C" w:rsidRPr="008F64A0">
        <w:t>īstenojot projektus jau ilglaicīgi</w:t>
      </w:r>
      <w:r w:rsidR="0040529D">
        <w:t>. Šī pieredze</w:t>
      </w:r>
      <w:r w:rsidR="009B0C03" w:rsidRPr="008F64A0">
        <w:t xml:space="preserve"> ir ļāv</w:t>
      </w:r>
      <w:r w:rsidR="0040529D">
        <w:t>usi</w:t>
      </w:r>
      <w:r w:rsidR="009B0C03" w:rsidRPr="008F64A0">
        <w:t xml:space="preserve"> </w:t>
      </w:r>
      <w:r w:rsidR="0040529D">
        <w:t>būtiski pilnveidot</w:t>
      </w:r>
      <w:r w:rsidR="0040529D" w:rsidRPr="008F64A0">
        <w:t xml:space="preserve"> </w:t>
      </w:r>
      <w:r w:rsidR="009B0C03" w:rsidRPr="008F64A0">
        <w:t xml:space="preserve">ekspertīzi darbā ar </w:t>
      </w:r>
      <w:r w:rsidR="00CE4488">
        <w:t xml:space="preserve">specifiskām mērķa grupām </w:t>
      </w:r>
      <w:r w:rsidR="000151C5">
        <w:rPr>
          <w:rFonts w:cstheme="minorHAnsi"/>
        </w:rPr>
        <w:t>–</w:t>
      </w:r>
      <w:r w:rsidR="00CE4488">
        <w:t xml:space="preserve"> </w:t>
      </w:r>
      <w:r w:rsidR="009B0C03" w:rsidRPr="008F64A0">
        <w:t xml:space="preserve">patvēruma meklētājiem, bēgļiem un citām mērķa grupām, </w:t>
      </w:r>
      <w:r w:rsidR="00CE4488">
        <w:t xml:space="preserve">vienlaikus </w:t>
      </w:r>
      <w:r w:rsidR="009B0C03" w:rsidRPr="008F64A0">
        <w:t xml:space="preserve">attīstot arī savstarpējo sadarbību dažādu iestāžu un organizāciju starpā. </w:t>
      </w:r>
    </w:p>
    <w:p w14:paraId="09389059" w14:textId="5FF94A55" w:rsidR="009B0C03" w:rsidRPr="008F64A0" w:rsidRDefault="005C6D83" w:rsidP="009B0C03">
      <w:r>
        <w:t>P</w:t>
      </w:r>
      <w:r w:rsidR="009B0C03" w:rsidRPr="008F64A0">
        <w:t>akalpojumu kvalitāte</w:t>
      </w:r>
      <w:r>
        <w:t>s uzlabojumi atspoguļojas to augošajā atbilstībā</w:t>
      </w:r>
      <w:r w:rsidR="009B0C03" w:rsidRPr="008F64A0">
        <w:t xml:space="preserve"> mērķa grupu vajadzībām, ko apliecina, piemēram, augstais pieprasījums pēc </w:t>
      </w:r>
      <w:r w:rsidR="003363E4" w:rsidRPr="008F64A0">
        <w:t xml:space="preserve">latviešu </w:t>
      </w:r>
      <w:r w:rsidR="009B0C03" w:rsidRPr="008F64A0">
        <w:t xml:space="preserve">valodas </w:t>
      </w:r>
      <w:r w:rsidR="00D36D96">
        <w:t xml:space="preserve">apguves </w:t>
      </w:r>
      <w:r w:rsidR="009B0C03" w:rsidRPr="008F64A0">
        <w:t xml:space="preserve">kursiem. </w:t>
      </w:r>
      <w:r w:rsidR="00C960E8">
        <w:t>Paradoksāli</w:t>
      </w:r>
      <w:r w:rsidR="003363E4" w:rsidRPr="008F64A0">
        <w:t xml:space="preserve">, </w:t>
      </w:r>
      <w:r w:rsidR="00C960E8">
        <w:t>bet</w:t>
      </w:r>
      <w:r w:rsidR="009B0C03" w:rsidRPr="008F64A0">
        <w:t xml:space="preserve"> Covid-19 pandēmija</w:t>
      </w:r>
      <w:r w:rsidR="00C960E8">
        <w:t>s</w:t>
      </w:r>
      <w:r w:rsidR="003363E4" w:rsidRPr="008F64A0">
        <w:t xml:space="preserve"> </w:t>
      </w:r>
      <w:r w:rsidR="009B0C03" w:rsidRPr="008F64A0">
        <w:t>radī</w:t>
      </w:r>
      <w:r w:rsidR="00C960E8">
        <w:t>tie</w:t>
      </w:r>
      <w:r w:rsidR="009B0C03" w:rsidRPr="008F64A0">
        <w:t xml:space="preserve"> izaicinājum</w:t>
      </w:r>
      <w:r w:rsidR="00C960E8">
        <w:t>i</w:t>
      </w:r>
      <w:r w:rsidR="00BC678C">
        <w:t xml:space="preserve"> ir veicinājuši</w:t>
      </w:r>
      <w:r w:rsidR="009B0C03" w:rsidRPr="008F64A0">
        <w:t xml:space="preserve"> </w:t>
      </w:r>
      <w:r w:rsidR="00BC678C">
        <w:t xml:space="preserve">pakalpojumu sniegšanas </w:t>
      </w:r>
      <w:r w:rsidR="009B0C03" w:rsidRPr="008F64A0">
        <w:t>elastības attīstību</w:t>
      </w:r>
      <w:r w:rsidR="00BC678C">
        <w:t>.</w:t>
      </w:r>
      <w:r w:rsidR="002743ED" w:rsidRPr="008F64A0">
        <w:t xml:space="preserve"> </w:t>
      </w:r>
      <w:r w:rsidR="00BC678C">
        <w:t>Tā rezultātā ir ieviesti</w:t>
      </w:r>
      <w:r w:rsidR="009C5499">
        <w:t xml:space="preserve"> inovatīvi risinājumi, piemēram, </w:t>
      </w:r>
      <w:r w:rsidR="002743ED" w:rsidRPr="008F64A0">
        <w:t>integrācijas pasākumiem</w:t>
      </w:r>
      <w:r w:rsidR="009B0C03" w:rsidRPr="008F64A0">
        <w:t xml:space="preserve"> ieviešot attālināto mācību iespējas</w:t>
      </w:r>
      <w:r w:rsidR="00997609" w:rsidRPr="008F64A0">
        <w:t xml:space="preserve"> vai tulkošanas pakalpojumiem attīstot iespēju </w:t>
      </w:r>
      <w:r w:rsidR="00AB20E2" w:rsidRPr="008F64A0">
        <w:t xml:space="preserve">vieglāk </w:t>
      </w:r>
      <w:r w:rsidR="00997609" w:rsidRPr="008F64A0">
        <w:t>piesaistīt reto valodu tulkus</w:t>
      </w:r>
      <w:r w:rsidR="00AB20E2" w:rsidRPr="008F64A0">
        <w:t xml:space="preserve">, nodrošinot to līdzdalību attālināti. </w:t>
      </w:r>
    </w:p>
    <w:p w14:paraId="0AA22CE8" w14:textId="5FB58713" w:rsidR="00CF597C" w:rsidRPr="008F64A0" w:rsidRDefault="00D1385B" w:rsidP="009B0C03">
      <w:r>
        <w:t>Finansējuma saņēmēju v</w:t>
      </w:r>
      <w:r w:rsidR="00E03B11">
        <w:t>eiktās</w:t>
      </w:r>
      <w:r w:rsidR="00E03B11" w:rsidRPr="006C0833">
        <w:t xml:space="preserve"> </w:t>
      </w:r>
      <w:r w:rsidR="0070300C" w:rsidRPr="006C0833">
        <w:t xml:space="preserve">aptaujas </w:t>
      </w:r>
      <w:r w:rsidR="00E03B11">
        <w:t>rezultāti identificē divus</w:t>
      </w:r>
      <w:r w:rsidR="0068329A">
        <w:t xml:space="preserve"> primāros </w:t>
      </w:r>
      <w:r w:rsidR="0070300C" w:rsidRPr="006C0833">
        <w:t>projektu īstenošanu veicinošos faktorus</w:t>
      </w:r>
      <w:r w:rsidR="0068329A">
        <w:t>: iepriekšēj</w:t>
      </w:r>
      <w:r w:rsidR="005D6259">
        <w:t>u</w:t>
      </w:r>
      <w:r w:rsidR="0068329A">
        <w:t xml:space="preserve"> projektu vadības</w:t>
      </w:r>
      <w:r>
        <w:t xml:space="preserve"> pieredz</w:t>
      </w:r>
      <w:r w:rsidR="005D6259">
        <w:t>i</w:t>
      </w:r>
      <w:r w:rsidR="0070300C" w:rsidRPr="006C0833">
        <w:t xml:space="preserve"> </w:t>
      </w:r>
      <w:r w:rsidR="00452085">
        <w:t>un</w:t>
      </w:r>
      <w:r w:rsidR="0079174C">
        <w:t xml:space="preserve"> atbilstoš</w:t>
      </w:r>
      <w:r w:rsidR="00585B1E">
        <w:t>a</w:t>
      </w:r>
      <w:r w:rsidR="005D6259">
        <w:t>s</w:t>
      </w:r>
      <w:r w:rsidR="006C0833">
        <w:t xml:space="preserve"> projekta komandas izveid</w:t>
      </w:r>
      <w:r w:rsidR="005D6259">
        <w:t>i</w:t>
      </w:r>
      <w:r w:rsidR="006C0833">
        <w:t xml:space="preserve"> (</w:t>
      </w:r>
      <w:r w:rsidR="00E93028">
        <w:rPr>
          <w:highlight w:val="yellow"/>
        </w:rPr>
        <w:fldChar w:fldCharType="begin"/>
      </w:r>
      <w:r w:rsidR="00E93028">
        <w:instrText xml:space="preserve"> REF _Ref190265287 \h </w:instrText>
      </w:r>
      <w:r w:rsidR="00E93028">
        <w:rPr>
          <w:highlight w:val="yellow"/>
        </w:rPr>
      </w:r>
      <w:r w:rsidR="00E93028">
        <w:rPr>
          <w:highlight w:val="yellow"/>
        </w:rPr>
        <w:fldChar w:fldCharType="separate"/>
      </w:r>
      <w:r w:rsidR="000523B6">
        <w:t xml:space="preserve">Attēls </w:t>
      </w:r>
      <w:r w:rsidR="000523B6">
        <w:rPr>
          <w:noProof/>
        </w:rPr>
        <w:t>3</w:t>
      </w:r>
      <w:r w:rsidR="00E93028">
        <w:rPr>
          <w:highlight w:val="yellow"/>
        </w:rPr>
        <w:fldChar w:fldCharType="end"/>
      </w:r>
      <w:r w:rsidR="006C0833">
        <w:t>).</w:t>
      </w:r>
      <w:r w:rsidR="00585B1E">
        <w:t xml:space="preserve"> Šie elementi ir bijuši izšķiroši sekmīgai projektu realizācijai un mērķu sasniegšanai.</w:t>
      </w:r>
    </w:p>
    <w:p w14:paraId="4F2D53D4" w14:textId="0C8D2D82" w:rsidR="001A02C2" w:rsidRDefault="001A02C2" w:rsidP="001A02C2">
      <w:pPr>
        <w:pStyle w:val="GraphTitle"/>
      </w:pPr>
      <w:bookmarkStart w:id="22" w:name="_Ref190265287"/>
      <w:bookmarkStart w:id="23" w:name="_Ref191388598"/>
      <w:r>
        <w:t xml:space="preserve">Attēls </w:t>
      </w:r>
      <w:r w:rsidR="00C47EA2">
        <w:fldChar w:fldCharType="begin"/>
      </w:r>
      <w:r w:rsidR="00C47EA2">
        <w:instrText xml:space="preserve"> SEQ Attēls \* ARABIC </w:instrText>
      </w:r>
      <w:r w:rsidR="00C47EA2">
        <w:fldChar w:fldCharType="separate"/>
      </w:r>
      <w:r w:rsidR="000523B6">
        <w:t>3</w:t>
      </w:r>
      <w:r w:rsidR="00C47EA2">
        <w:fldChar w:fldCharType="end"/>
      </w:r>
      <w:bookmarkEnd w:id="22"/>
      <w:r>
        <w:t>. Finansējuma saņēmēju vērtējums par faktoriem, kas veicināja projektu īstenošanu</w:t>
      </w:r>
      <w:bookmarkEnd w:id="23"/>
    </w:p>
    <w:p w14:paraId="07FCE548" w14:textId="4A0FDB76" w:rsidR="009B4CA0" w:rsidRPr="008F64A0" w:rsidRDefault="00273FF7" w:rsidP="009B0C03">
      <w:r>
        <w:rPr>
          <w:noProof/>
        </w:rPr>
        <w:drawing>
          <wp:inline distT="0" distB="0" distL="0" distR="0" wp14:anchorId="5D631E86" wp14:editId="20CC3565">
            <wp:extent cx="6635750" cy="1933904"/>
            <wp:effectExtent l="0" t="0" r="0" b="0"/>
            <wp:docPr id="1068161186" name="Chart 1">
              <a:extLst xmlns:a="http://schemas.openxmlformats.org/drawingml/2006/main">
                <a:ext uri="{FF2B5EF4-FFF2-40B4-BE49-F238E27FC236}">
                  <a16:creationId xmlns:a16="http://schemas.microsoft.com/office/drawing/2014/main" id="{080D1E3F-B220-4858-9167-0D0DB84582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0BADD0" w14:textId="0D349304" w:rsidR="001A02C2" w:rsidRPr="00A070AF" w:rsidRDefault="001A02C2" w:rsidP="001A02C2">
      <w:pPr>
        <w:jc w:val="right"/>
        <w:rPr>
          <w:rStyle w:val="Izsmalcintsizclums"/>
        </w:rPr>
      </w:pPr>
      <w:r w:rsidRPr="00A070AF">
        <w:rPr>
          <w:rStyle w:val="Izsmalcintsizclums"/>
        </w:rPr>
        <w:t>Avots: Finansējuma saņēmēju aptauja, n=</w:t>
      </w:r>
      <w:r w:rsidR="00273FF7" w:rsidRPr="00A070AF">
        <w:rPr>
          <w:rStyle w:val="Izsmalcintsizclums"/>
        </w:rPr>
        <w:t>19</w:t>
      </w:r>
    </w:p>
    <w:p w14:paraId="7A923AF5" w14:textId="3E3DADA1" w:rsidR="00457A80" w:rsidRDefault="00C27CED" w:rsidP="002F7F9B">
      <w:r>
        <w:t xml:space="preserve">PMIF </w:t>
      </w:r>
      <w:r w:rsidR="004C217F">
        <w:t>nacionālās programmas īstenošanas analīze, balstoties uz finansējuma saņēmēju aptaujas rezultātiem</w:t>
      </w:r>
      <w:r w:rsidR="00CE0AC4">
        <w:t xml:space="preserve">, </w:t>
      </w:r>
      <w:r w:rsidR="007414D4">
        <w:t>identificē</w:t>
      </w:r>
      <w:r w:rsidR="00E86936">
        <w:t xml:space="preserve"> </w:t>
      </w:r>
      <w:r w:rsidR="007E4C1E">
        <w:t xml:space="preserve">trīs </w:t>
      </w:r>
      <w:r w:rsidR="00551AAA">
        <w:t xml:space="preserve">galvenos ārējos izaicinājumus, kas ietekmēja </w:t>
      </w:r>
      <w:r w:rsidR="006E2658">
        <w:t>projekta mērķu sasniegšanu</w:t>
      </w:r>
      <w:r w:rsidR="00D10005">
        <w:t xml:space="preserve"> un līdz ar to arī kopējo</w:t>
      </w:r>
      <w:r w:rsidR="006E2658">
        <w:t xml:space="preserve"> Programmas mērķ</w:t>
      </w:r>
      <w:r w:rsidR="00D10005">
        <w:t>u īstenošanu</w:t>
      </w:r>
      <w:r w:rsidR="00E05C6E">
        <w:t>.</w:t>
      </w:r>
      <w:r w:rsidR="003C5018">
        <w:t xml:space="preserve"> </w:t>
      </w:r>
      <w:r w:rsidR="00E05C6E">
        <w:t>Pirmkārt,</w:t>
      </w:r>
      <w:r w:rsidR="00A330E5">
        <w:t xml:space="preserve"> </w:t>
      </w:r>
      <w:r w:rsidR="00573285">
        <w:t xml:space="preserve">ģeopolitiskās izmaiņas, </w:t>
      </w:r>
      <w:r w:rsidR="00E05C6E">
        <w:t xml:space="preserve">kas izpaudās, </w:t>
      </w:r>
      <w:r w:rsidR="00573285">
        <w:t>piemēram,</w:t>
      </w:r>
      <w:r w:rsidR="00457A80" w:rsidRPr="008F64A0">
        <w:t xml:space="preserve"> </w:t>
      </w:r>
      <w:r w:rsidR="00F86D4A" w:rsidRPr="00F86D4A">
        <w:t xml:space="preserve">migrācijas plūsmu </w:t>
      </w:r>
      <w:r w:rsidR="00E05C6E">
        <w:t xml:space="preserve">intensitātes </w:t>
      </w:r>
      <w:r w:rsidR="00F86D4A" w:rsidRPr="00F86D4A">
        <w:t>pieaugum</w:t>
      </w:r>
      <w:r w:rsidR="00E05C6E">
        <w:t>ā</w:t>
      </w:r>
      <w:r w:rsidR="00C47725">
        <w:t xml:space="preserve"> un</w:t>
      </w:r>
      <w:r w:rsidR="00F86D4A" w:rsidRPr="00F86D4A">
        <w:t xml:space="preserve"> ārējās drošības risku </w:t>
      </w:r>
      <w:r w:rsidR="00C47725">
        <w:t xml:space="preserve">eskalācijā. Otrkārt, </w:t>
      </w:r>
      <w:r w:rsidR="00F86D4A">
        <w:t xml:space="preserve">Krievijas militārā iebrukuma Ukrainā </w:t>
      </w:r>
      <w:r w:rsidR="00C47725">
        <w:t xml:space="preserve">izraisītās </w:t>
      </w:r>
      <w:r w:rsidR="00F86D4A">
        <w:t xml:space="preserve">sekas, </w:t>
      </w:r>
      <w:r w:rsidR="007E4C1E">
        <w:t>kas veidoj</w:t>
      </w:r>
      <w:r w:rsidR="00566DD7">
        <w:t>ā</w:t>
      </w:r>
      <w:r w:rsidR="007E0BDB">
        <w:t>s gan kā vispārējs</w:t>
      </w:r>
      <w:r w:rsidR="007E4C1E">
        <w:t xml:space="preserve"> </w:t>
      </w:r>
      <w:r w:rsidR="007E4C1E" w:rsidRPr="007E4C1E">
        <w:t>cenu</w:t>
      </w:r>
      <w:r w:rsidR="007E0BDB">
        <w:t xml:space="preserve"> līmeņa</w:t>
      </w:r>
      <w:r w:rsidR="007E4C1E" w:rsidRPr="007E4C1E">
        <w:t xml:space="preserve"> </w:t>
      </w:r>
      <w:r w:rsidR="00B41060">
        <w:t>kāpums</w:t>
      </w:r>
      <w:r w:rsidR="007E4C1E" w:rsidRPr="007E4C1E">
        <w:t xml:space="preserve">, </w:t>
      </w:r>
      <w:r w:rsidR="00B41060">
        <w:t xml:space="preserve">gan kā </w:t>
      </w:r>
      <w:r w:rsidR="007E4C1E" w:rsidRPr="007E4C1E">
        <w:t>piegādes ķēžu pārrāvum</w:t>
      </w:r>
      <w:r w:rsidR="007E4C1E">
        <w:t>us</w:t>
      </w:r>
      <w:r w:rsidR="00B41060">
        <w:t>. Treškārt,</w:t>
      </w:r>
      <w:r w:rsidR="00A330E5">
        <w:t xml:space="preserve"> Covid-19 pandēmijas</w:t>
      </w:r>
      <w:r w:rsidR="00B41060">
        <w:t xml:space="preserve"> izraisīto</w:t>
      </w:r>
      <w:r w:rsidR="00A330E5">
        <w:t xml:space="preserve"> ierobežojum</w:t>
      </w:r>
      <w:r w:rsidR="00B41060">
        <w:t>u radītie šķēršļi pro</w:t>
      </w:r>
      <w:r w:rsidR="007F277E">
        <w:t>jektu aktivitāšu īstenošanā</w:t>
      </w:r>
      <w:r w:rsidR="00F86D4A">
        <w:t xml:space="preserve"> </w:t>
      </w:r>
      <w:r w:rsidR="007123B0">
        <w:t>(</w:t>
      </w:r>
      <w:r w:rsidR="008B0B4B">
        <w:rPr>
          <w:highlight w:val="yellow"/>
        </w:rPr>
        <w:fldChar w:fldCharType="begin"/>
      </w:r>
      <w:r w:rsidR="008B0B4B">
        <w:instrText xml:space="preserve"> REF _Ref190276927 \h </w:instrText>
      </w:r>
      <w:r w:rsidR="008B0B4B">
        <w:rPr>
          <w:highlight w:val="yellow"/>
        </w:rPr>
      </w:r>
      <w:r w:rsidR="008B0B4B">
        <w:rPr>
          <w:highlight w:val="yellow"/>
        </w:rPr>
        <w:fldChar w:fldCharType="separate"/>
      </w:r>
      <w:r w:rsidR="000523B6">
        <w:t xml:space="preserve">Attēls </w:t>
      </w:r>
      <w:r w:rsidR="000523B6">
        <w:rPr>
          <w:noProof/>
        </w:rPr>
        <w:t>4</w:t>
      </w:r>
      <w:r w:rsidR="008B0B4B">
        <w:rPr>
          <w:highlight w:val="yellow"/>
        </w:rPr>
        <w:fldChar w:fldCharType="end"/>
      </w:r>
      <w:r w:rsidR="007123B0">
        <w:t xml:space="preserve">). </w:t>
      </w:r>
    </w:p>
    <w:p w14:paraId="2A8310C7" w14:textId="77777777" w:rsidR="002C1A9B" w:rsidRDefault="002C1A9B" w:rsidP="002F7F9B"/>
    <w:p w14:paraId="62BAF70E" w14:textId="77777777" w:rsidR="002C1A9B" w:rsidRDefault="002C1A9B" w:rsidP="002F7F9B"/>
    <w:p w14:paraId="1329CC5A" w14:textId="77777777" w:rsidR="002C1A9B" w:rsidRDefault="002C1A9B" w:rsidP="002F7F9B"/>
    <w:p w14:paraId="782D106C" w14:textId="77777777" w:rsidR="002C1A9B" w:rsidRDefault="002C1A9B" w:rsidP="002F7F9B"/>
    <w:p w14:paraId="70EC08AE" w14:textId="77777777" w:rsidR="002C1A9B" w:rsidRDefault="002C1A9B" w:rsidP="002F7F9B"/>
    <w:p w14:paraId="04D89954" w14:textId="77777777" w:rsidR="002C1A9B" w:rsidRDefault="002C1A9B" w:rsidP="002F7F9B"/>
    <w:p w14:paraId="3F1BE0E6" w14:textId="77777777" w:rsidR="002C1A9B" w:rsidRDefault="002C1A9B" w:rsidP="002F7F9B"/>
    <w:p w14:paraId="4FECA499" w14:textId="77777777" w:rsidR="002C1A9B" w:rsidRPr="008F64A0" w:rsidRDefault="002C1A9B" w:rsidP="002F7F9B"/>
    <w:p w14:paraId="15741F22" w14:textId="7E77A336" w:rsidR="00CA471B" w:rsidRDefault="00CA471B" w:rsidP="001E7F78">
      <w:pPr>
        <w:pStyle w:val="GraphTitle"/>
      </w:pPr>
      <w:bookmarkStart w:id="24" w:name="_Ref190276927"/>
      <w:bookmarkStart w:id="25" w:name="_Ref191388599"/>
      <w:r>
        <w:lastRenderedPageBreak/>
        <w:t xml:space="preserve">Attēls </w:t>
      </w:r>
      <w:r w:rsidR="00C47EA2">
        <w:fldChar w:fldCharType="begin"/>
      </w:r>
      <w:r w:rsidR="00C47EA2">
        <w:instrText xml:space="preserve"> SEQ Attēls \* ARABIC </w:instrText>
      </w:r>
      <w:r w:rsidR="00C47EA2">
        <w:fldChar w:fldCharType="separate"/>
      </w:r>
      <w:r w:rsidR="000523B6">
        <w:t>4</w:t>
      </w:r>
      <w:r w:rsidR="00C47EA2">
        <w:fldChar w:fldCharType="end"/>
      </w:r>
      <w:bookmarkEnd w:id="24"/>
      <w:r>
        <w:t xml:space="preserve">. Finansējuma saņēmēju vērtējums par faktoriem, kas </w:t>
      </w:r>
      <w:r w:rsidR="001E7F78">
        <w:t>ietekmēja</w:t>
      </w:r>
      <w:r>
        <w:t xml:space="preserve"> projektu </w:t>
      </w:r>
      <w:r w:rsidR="001E7F78">
        <w:t>mērķu sasniegšanu</w:t>
      </w:r>
      <w:bookmarkEnd w:id="25"/>
    </w:p>
    <w:p w14:paraId="583784E8" w14:textId="7D68BE4E" w:rsidR="006C0833" w:rsidRPr="008F64A0" w:rsidRDefault="00F445FF" w:rsidP="009B0C03">
      <w:r>
        <w:rPr>
          <w:noProof/>
        </w:rPr>
        <w:drawing>
          <wp:inline distT="0" distB="0" distL="0" distR="0" wp14:anchorId="3659A335" wp14:editId="2437F2AB">
            <wp:extent cx="6527800" cy="2470150"/>
            <wp:effectExtent l="0" t="0" r="6350" b="6350"/>
            <wp:docPr id="161875837" name="Chart 1">
              <a:extLst xmlns:a="http://schemas.openxmlformats.org/drawingml/2006/main">
                <a:ext uri="{FF2B5EF4-FFF2-40B4-BE49-F238E27FC236}">
                  <a16:creationId xmlns:a16="http://schemas.microsoft.com/office/drawing/2014/main" id="{16321BD9-7529-4450-AE4B-DE476DDA7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EC82842" w14:textId="706A14C3" w:rsidR="00CA471B" w:rsidRPr="00A070AF" w:rsidRDefault="00CA471B" w:rsidP="00CA471B">
      <w:pPr>
        <w:jc w:val="right"/>
        <w:rPr>
          <w:rStyle w:val="Izsmalcintsizclums"/>
        </w:rPr>
      </w:pPr>
      <w:r w:rsidRPr="00A070AF">
        <w:rPr>
          <w:rStyle w:val="Izsmalcintsizclums"/>
        </w:rPr>
        <w:t>Avots: Finansējuma saņēmēju aptauja, n=</w:t>
      </w:r>
      <w:r w:rsidR="00F445FF" w:rsidRPr="00A070AF">
        <w:rPr>
          <w:rStyle w:val="Izsmalcintsizclums"/>
        </w:rPr>
        <w:t>19</w:t>
      </w:r>
    </w:p>
    <w:p w14:paraId="605B1EBD" w14:textId="73F2D98A" w:rsidR="006B1C91" w:rsidRPr="008F64A0" w:rsidRDefault="005F17AE" w:rsidP="006B1C91">
      <w:r>
        <w:t xml:space="preserve">Covid-19 pandēmijas un Ukrainas kara ietekme ir radījusi būtiskas pārmaiņas integrācijas procesos Latvijā. </w:t>
      </w:r>
      <w:r w:rsidR="006B1C91" w:rsidRPr="008F64A0">
        <w:t xml:space="preserve">Finansējuma saņēmēju sniegtā informācija </w:t>
      </w:r>
      <w:r w:rsidR="007A32D1">
        <w:t>atklāj</w:t>
      </w:r>
      <w:r w:rsidR="006B1C91" w:rsidRPr="008F64A0">
        <w:t xml:space="preserve">, ka Covid-19 pandēmijas izraisītie ierobežojumi radīja nepieciešamību </w:t>
      </w:r>
      <w:r w:rsidR="0099590D">
        <w:t xml:space="preserve">pēc jauniem risinājumiem – tika </w:t>
      </w:r>
      <w:r w:rsidR="006B1C91" w:rsidRPr="008F64A0">
        <w:t>īstenot</w:t>
      </w:r>
      <w:r w:rsidR="0099590D">
        <w:t>i</w:t>
      </w:r>
      <w:r w:rsidR="006B1C91" w:rsidRPr="008F64A0">
        <w:t xml:space="preserve"> papildu epidemioloģiskās drošības pasākum</w:t>
      </w:r>
      <w:r w:rsidR="0099590D">
        <w:t>i</w:t>
      </w:r>
      <w:r w:rsidR="006B1C91" w:rsidRPr="008F64A0">
        <w:t xml:space="preserve"> un </w:t>
      </w:r>
      <w:r w:rsidR="003F3019">
        <w:t xml:space="preserve">notika pāreja </w:t>
      </w:r>
      <w:r w:rsidR="006B1C91" w:rsidRPr="008F64A0">
        <w:t xml:space="preserve">uz attālinātu </w:t>
      </w:r>
      <w:r w:rsidR="003F3019">
        <w:t xml:space="preserve">apmācību </w:t>
      </w:r>
      <w:r w:rsidR="006B1C91" w:rsidRPr="008F64A0">
        <w:t xml:space="preserve">formātu. Lai arī sākotnēji </w:t>
      </w:r>
      <w:r w:rsidR="003F3019">
        <w:t xml:space="preserve">pastāvēja šaubas par </w:t>
      </w:r>
      <w:r w:rsidR="006B1C91" w:rsidRPr="008F64A0">
        <w:t>šāda</w:t>
      </w:r>
      <w:r w:rsidR="003F3019">
        <w:t>s</w:t>
      </w:r>
      <w:r w:rsidR="006B1C91" w:rsidRPr="008F64A0">
        <w:t xml:space="preserve"> pieeja</w:t>
      </w:r>
      <w:r w:rsidR="003F3019">
        <w:t>s efektivi</w:t>
      </w:r>
      <w:r w:rsidR="002C5F91">
        <w:t>tāti</w:t>
      </w:r>
      <w:r w:rsidR="006B1C91" w:rsidRPr="008F64A0">
        <w:t xml:space="preserve">, tā ir apliecinājusi savu efektivitāti un joprojām tiek izmantota, īpaši </w:t>
      </w:r>
      <w:r w:rsidR="002C5F91">
        <w:t xml:space="preserve">uzlabojot pakalpojuma pieejamību </w:t>
      </w:r>
      <w:r w:rsidR="006B1C91" w:rsidRPr="008F64A0">
        <w:t>reģionos dzīvojoš</w:t>
      </w:r>
      <w:r w:rsidR="002C5F91">
        <w:t>ajām</w:t>
      </w:r>
      <w:r w:rsidR="006B1C91" w:rsidRPr="008F64A0">
        <w:t xml:space="preserve"> mērķa grup</w:t>
      </w:r>
      <w:r w:rsidR="002C5F91">
        <w:t>ām</w:t>
      </w:r>
      <w:r w:rsidR="006B1C91" w:rsidRPr="008F64A0">
        <w:t>.</w:t>
      </w:r>
    </w:p>
    <w:p w14:paraId="2899A0BA" w14:textId="18F586AC" w:rsidR="00D96DC6" w:rsidRPr="008F64A0" w:rsidRDefault="007C4A88" w:rsidP="006B1C91">
      <w:r>
        <w:t xml:space="preserve">Karš </w:t>
      </w:r>
      <w:r w:rsidR="006B1C91" w:rsidRPr="008F64A0">
        <w:t>Ukrain</w:t>
      </w:r>
      <w:r>
        <w:t>ā</w:t>
      </w:r>
      <w:r w:rsidR="006B1C91" w:rsidRPr="008F64A0">
        <w:t xml:space="preserve"> un ģeopolitiskās pārmaiņas </w:t>
      </w:r>
      <w:r w:rsidR="00001D07">
        <w:t>ir radījis papildu izaicinājumus, ievērojami</w:t>
      </w:r>
      <w:r w:rsidR="00001D07" w:rsidRPr="008F64A0">
        <w:t xml:space="preserve"> </w:t>
      </w:r>
      <w:r w:rsidR="006B1C91" w:rsidRPr="008F64A0">
        <w:t>palielin</w:t>
      </w:r>
      <w:r w:rsidR="00001D07">
        <w:t>ot</w:t>
      </w:r>
      <w:r w:rsidR="006B1C91" w:rsidRPr="008F64A0">
        <w:t xml:space="preserve"> darba apjomu</w:t>
      </w:r>
      <w:r w:rsidR="003B11DB">
        <w:t xml:space="preserve"> saistībā</w:t>
      </w:r>
      <w:r w:rsidR="006B1C91" w:rsidRPr="008F64A0">
        <w:t xml:space="preserve"> ar migrācijas plūsmas pieaugumu uz Latviju. Atgriešanās programmas īstenošan</w:t>
      </w:r>
      <w:r w:rsidR="00D66D59">
        <w:t>a</w:t>
      </w:r>
      <w:r w:rsidR="006B1C91" w:rsidRPr="008F64A0">
        <w:t xml:space="preserve"> </w:t>
      </w:r>
      <w:r w:rsidR="00D66D59">
        <w:t xml:space="preserve">saskārās ar jauniem šķēršļiem </w:t>
      </w:r>
      <w:r w:rsidR="000151C5">
        <w:rPr>
          <w:rFonts w:cstheme="minorHAnsi"/>
        </w:rPr>
        <w:t>–</w:t>
      </w:r>
      <w:r w:rsidR="00D66D59">
        <w:t xml:space="preserve"> </w:t>
      </w:r>
      <w:r w:rsidR="00F13305">
        <w:t>pieauga</w:t>
      </w:r>
      <w:r w:rsidR="006B1C91" w:rsidRPr="008F64A0">
        <w:t xml:space="preserve"> aviobiļešu cen</w:t>
      </w:r>
      <w:r w:rsidR="00F13305">
        <w:t>as</w:t>
      </w:r>
      <w:r w:rsidR="006B1C91" w:rsidRPr="008F64A0">
        <w:t xml:space="preserve"> un sarežģītāki </w:t>
      </w:r>
      <w:r w:rsidR="00F13305">
        <w:t xml:space="preserve">kļuva </w:t>
      </w:r>
      <w:r w:rsidR="006B1C91" w:rsidRPr="008F64A0">
        <w:t>ceļošanas maršruti. Integrācijas pasākumu īstenotāji norād</w:t>
      </w:r>
      <w:r w:rsidR="008C583C">
        <w:t>īja par divējādām izmaiņām – ne tikai</w:t>
      </w:r>
      <w:r w:rsidR="006B1C91" w:rsidRPr="008F64A0">
        <w:t xml:space="preserve"> pieauga mērķa grupu skaits, bet mainījās arī praktisko nodarbību norise, aktualizējot nepieciešamību risināt starpkultūru konfliktus mācību grupās.</w:t>
      </w:r>
    </w:p>
    <w:p w14:paraId="699AFF8D" w14:textId="36DD8E63" w:rsidR="00102503" w:rsidRDefault="000722D9" w:rsidP="006B1C91">
      <w:r>
        <w:t>Neskatoties uz izaicinājumiem, p</w:t>
      </w:r>
      <w:r w:rsidR="006B1C91" w:rsidRPr="008F64A0">
        <w:t xml:space="preserve">rogrammas īstenošana </w:t>
      </w:r>
      <w:r w:rsidR="00063856">
        <w:t xml:space="preserve">ir </w:t>
      </w:r>
      <w:r w:rsidR="006B1C91" w:rsidRPr="008F64A0">
        <w:t xml:space="preserve">radījusi </w:t>
      </w:r>
      <w:r w:rsidR="00063856">
        <w:t>arī</w:t>
      </w:r>
      <w:r w:rsidR="00063856" w:rsidRPr="008F64A0">
        <w:t xml:space="preserve"> </w:t>
      </w:r>
      <w:r w:rsidR="00063856">
        <w:t xml:space="preserve">neparedzētu </w:t>
      </w:r>
      <w:r w:rsidR="006B1C91" w:rsidRPr="008F64A0">
        <w:t>pozitīvu</w:t>
      </w:r>
      <w:r w:rsidR="00063856">
        <w:t xml:space="preserve"> ietekmi</w:t>
      </w:r>
      <w:r w:rsidR="006B1C91" w:rsidRPr="008F64A0">
        <w:t xml:space="preserve">. Bēgļu krīze </w:t>
      </w:r>
      <w:r w:rsidR="0045348A">
        <w:t>ir veicinājusi</w:t>
      </w:r>
      <w:r w:rsidR="0045348A" w:rsidRPr="008F64A0">
        <w:t xml:space="preserve"> </w:t>
      </w:r>
      <w:r w:rsidR="006B1C91" w:rsidRPr="008F64A0">
        <w:t xml:space="preserve">starpinstitucionālās sadarbības attīstību un patvēruma sistēmas jautājumu aktualizēšanu valsts līmenī. </w:t>
      </w:r>
      <w:r w:rsidR="0045348A">
        <w:t>Īpa</w:t>
      </w:r>
      <w:r w:rsidR="009B6AE5">
        <w:t>ši nozīmīgi ir tas, ka ir n</w:t>
      </w:r>
      <w:r w:rsidR="006B1C91" w:rsidRPr="008F64A0">
        <w:t>ostiprināj</w:t>
      </w:r>
      <w:r w:rsidR="009B6AE5">
        <w:t>usies</w:t>
      </w:r>
      <w:r w:rsidR="006B1C91" w:rsidRPr="008F64A0">
        <w:t xml:space="preserve"> iestāžu un organizāciju kompetence un profesionālā pieeja pakalpojumu sniegšanā gan Rīgā, gan reģionos</w:t>
      </w:r>
      <w:r w:rsidR="009B6AE5">
        <w:t xml:space="preserve">. Šīs </w:t>
      </w:r>
      <w:r w:rsidR="003D44F1">
        <w:t>pozitīvās</w:t>
      </w:r>
      <w:r w:rsidR="009B6AE5">
        <w:t xml:space="preserve"> pārmaiņas ir veicinājušas </w:t>
      </w:r>
      <w:r w:rsidR="006B1C91" w:rsidRPr="008F64A0">
        <w:t>kopēj</w:t>
      </w:r>
      <w:r w:rsidR="003D44F1">
        <w:t>ās</w:t>
      </w:r>
      <w:r w:rsidR="006B1C91" w:rsidRPr="008F64A0">
        <w:t xml:space="preserve"> patvēruma sistēmas kapacitāt</w:t>
      </w:r>
      <w:r w:rsidR="003D44F1">
        <w:t>es celšanu, radot labāku pamatu turpmākai sistēmas attīstībai un pilnveidei</w:t>
      </w:r>
      <w:r w:rsidR="006B1C91" w:rsidRPr="008F64A0">
        <w:t>.</w:t>
      </w:r>
      <w:r w:rsidR="00102503">
        <w:t xml:space="preserve"> </w:t>
      </w:r>
    </w:p>
    <w:p w14:paraId="68F9545F" w14:textId="6DB9AA55" w:rsidR="006B1C91" w:rsidRPr="008F64A0" w:rsidRDefault="00102503" w:rsidP="006B1C91">
      <w:r>
        <w:t>PMIF projektu</w:t>
      </w:r>
      <w:r w:rsidR="00A97270">
        <w:t xml:space="preserve"> īstenošana ir uzrādījusi nozīmīgus</w:t>
      </w:r>
      <w:r>
        <w:t xml:space="preserve"> rezultāt</w:t>
      </w:r>
      <w:r w:rsidR="009771C3">
        <w:t>us vairākos līmeņos. Primāri jāatzīmē</w:t>
      </w:r>
      <w:r>
        <w:t xml:space="preserve"> Latvijas </w:t>
      </w:r>
      <w:r w:rsidR="00783B33">
        <w:t xml:space="preserve">starptautisko </w:t>
      </w:r>
      <w:r>
        <w:t>saistīb</w:t>
      </w:r>
      <w:r w:rsidR="00783B33">
        <w:t>u sekmīga izpilde</w:t>
      </w:r>
      <w:r>
        <w:t xml:space="preserve"> attiecībā uz brīvprātīgās un piespiedu izraidīšanas procedūrām.</w:t>
      </w:r>
      <w:r w:rsidR="00DA1F21">
        <w:t xml:space="preserve"> </w:t>
      </w:r>
      <w:r w:rsidR="00783B33">
        <w:t>P</w:t>
      </w:r>
      <w:r w:rsidR="00461A22">
        <w:t>rojektu aktivitā</w:t>
      </w:r>
      <w:r w:rsidR="00783B33">
        <w:t>šu</w:t>
      </w:r>
      <w:r w:rsidR="00461A22">
        <w:t xml:space="preserve"> tv</w:t>
      </w:r>
      <w:r w:rsidR="00783B33">
        <w:t>ērums</w:t>
      </w:r>
      <w:r w:rsidR="008B6DED">
        <w:t xml:space="preserve"> ir pārsniedzi</w:t>
      </w:r>
      <w:r w:rsidR="0094174E">
        <w:t>s</w:t>
      </w:r>
      <w:r w:rsidR="008B6DED">
        <w:t xml:space="preserve"> sākotnēji plānoto</w:t>
      </w:r>
      <w:r w:rsidR="00461A22">
        <w:t xml:space="preserve"> mērķa grupu pārstāvju skait</w:t>
      </w:r>
      <w:r w:rsidR="008B6DED">
        <w:t>u, vienlaikus</w:t>
      </w:r>
      <w:r w:rsidR="00461A22">
        <w:t xml:space="preserve"> </w:t>
      </w:r>
      <w:r w:rsidR="005654D3">
        <w:t xml:space="preserve">nodrošinot </w:t>
      </w:r>
      <w:r w:rsidR="008B6DED">
        <w:t xml:space="preserve">pilnīgu </w:t>
      </w:r>
      <w:r w:rsidR="005654D3">
        <w:t>atbilstību patvēruma procedūr</w:t>
      </w:r>
      <w:r w:rsidR="008B6DED">
        <w:t>u prasībām</w:t>
      </w:r>
      <w:r w:rsidR="005654D3">
        <w:t>.</w:t>
      </w:r>
    </w:p>
    <w:p w14:paraId="4D2A9BC0" w14:textId="3C25F8EE" w:rsidR="008F0777" w:rsidRDefault="006B1C91" w:rsidP="006B1C91">
      <w:r w:rsidRPr="008F64A0">
        <w:t>Integrācijas pasākumu</w:t>
      </w:r>
      <w:r w:rsidR="004C2A0C">
        <w:t xml:space="preserve"> efektivitātes anal</w:t>
      </w:r>
      <w:r w:rsidR="009F7AE5">
        <w:t>īze atklāj vairākus</w:t>
      </w:r>
      <w:r w:rsidR="00F01ADF">
        <w:t xml:space="preserve"> pozitīvus aspektus.</w:t>
      </w:r>
      <w:r w:rsidR="00A05C59">
        <w:t xml:space="preserve"> Līdztekus</w:t>
      </w:r>
      <w:r w:rsidRPr="008F64A0">
        <w:t xml:space="preserve"> valodas apguve</w:t>
      </w:r>
      <w:r w:rsidR="00A05C59">
        <w:t>i</w:t>
      </w:r>
      <w:r w:rsidRPr="008F64A0">
        <w:t>,</w:t>
      </w:r>
      <w:r w:rsidR="00B166D7">
        <w:t xml:space="preserve"> īpaši nozīmīgs</w:t>
      </w:r>
      <w:r w:rsidRPr="008F64A0">
        <w:t xml:space="preserve"> ilgtermiņa </w:t>
      </w:r>
      <w:r w:rsidR="00B166D7">
        <w:t>ieguvums ir sociālo tīklu (</w:t>
      </w:r>
      <w:r w:rsidRPr="008F64A0">
        <w:t>kontaktu</w:t>
      </w:r>
      <w:r w:rsidR="00B166D7">
        <w:t>)</w:t>
      </w:r>
      <w:r w:rsidRPr="008F64A0">
        <w:t xml:space="preserve"> veidošanās starp apmācību grupu dalībniekiem</w:t>
      </w:r>
      <w:r w:rsidR="00B166D7">
        <w:t xml:space="preserve">. </w:t>
      </w:r>
      <w:r w:rsidR="006A2E6D">
        <w:t>Šī spontāni izveidojusies dinamika veicina ilgtspējīgu pieredzes apmaiņas praksi,</w:t>
      </w:r>
      <w:r w:rsidRPr="008F64A0">
        <w:t xml:space="preserve"> kas turpin</w:t>
      </w:r>
      <w:r w:rsidR="00BF6B39">
        <w:t>ās</w:t>
      </w:r>
      <w:r w:rsidRPr="008F64A0">
        <w:t xml:space="preserve"> arī pēc apmācīb</w:t>
      </w:r>
      <w:r w:rsidR="00BF6B39">
        <w:t>u noslēguma</w:t>
      </w:r>
      <w:r w:rsidRPr="008F64A0">
        <w:t xml:space="preserve">. </w:t>
      </w:r>
    </w:p>
    <w:p w14:paraId="5EC01703" w14:textId="41F8AC79" w:rsidR="007301BE" w:rsidRPr="008F64A0" w:rsidRDefault="008F0777" w:rsidP="006B1C91">
      <w:r>
        <w:t>A</w:t>
      </w:r>
      <w:r w:rsidR="006B1C91" w:rsidRPr="008F64A0">
        <w:t>ttālināto mācību ieviešana</w:t>
      </w:r>
      <w:r>
        <w:t xml:space="preserve"> ir radījusi pozitīvu ietekmi uz</w:t>
      </w:r>
      <w:r w:rsidR="00723AFE">
        <w:t xml:space="preserve"> pakalpojumu pieejamību</w:t>
      </w:r>
      <w:r>
        <w:t xml:space="preserve"> reģions</w:t>
      </w:r>
      <w:r w:rsidR="00CE5204">
        <w:t>, mazinot ģeogrāfiskos šķēršļus pakalpojuma saņemšanai.</w:t>
      </w:r>
      <w:r w:rsidR="006B1C91" w:rsidRPr="008F64A0">
        <w:t xml:space="preserve"> Tomēr </w:t>
      </w:r>
      <w:r w:rsidR="00F27CB0">
        <w:t xml:space="preserve">ir novērojamas arī strukturālas nepilnības – problemātisks ir </w:t>
      </w:r>
      <w:r w:rsidR="006B1C91" w:rsidRPr="008F64A0">
        <w:t>finans</w:t>
      </w:r>
      <w:r w:rsidR="00F27CB0">
        <w:t>ējuma pārrāvums starp projektu periodi</w:t>
      </w:r>
      <w:r w:rsidR="0012287C">
        <w:t>em</w:t>
      </w:r>
      <w:r w:rsidR="006B1C91" w:rsidRPr="008F64A0">
        <w:t xml:space="preserve"> valodas apguves kursu īstenošan</w:t>
      </w:r>
      <w:r w:rsidR="0026178C">
        <w:t>ā. Šis pārrāvums</w:t>
      </w:r>
      <w:r w:rsidR="008E4259">
        <w:t xml:space="preserve"> rada riskus </w:t>
      </w:r>
      <w:r w:rsidR="006B1C91" w:rsidRPr="008F64A0">
        <w:t xml:space="preserve">mācību procesa nepārtrauktību un </w:t>
      </w:r>
      <w:r w:rsidR="004B1372">
        <w:t xml:space="preserve">var negatīvi ietekmēt </w:t>
      </w:r>
      <w:r w:rsidR="006B1C91" w:rsidRPr="008F64A0">
        <w:t xml:space="preserve">apgūto zināšanu </w:t>
      </w:r>
      <w:r w:rsidR="006B1C91" w:rsidRPr="008F64A0">
        <w:lastRenderedPageBreak/>
        <w:t>saglabāšanu.</w:t>
      </w:r>
      <w:r w:rsidR="001B0ABF">
        <w:t xml:space="preserve"> </w:t>
      </w:r>
      <w:r w:rsidR="000C4159">
        <w:t>Šī problēma aktualizē nepieciešamību pēc ilgtspējīgāka finansēšanas modeļa izstrādes, kas nodrošinātu nepārtrauktu mācību procesu un stabilāku zināšanu apguvi.</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13DF98DB" w14:textId="77777777" w:rsidTr="00FC5694">
        <w:tc>
          <w:tcPr>
            <w:tcW w:w="10252" w:type="dxa"/>
            <w:tcBorders>
              <w:bottom w:val="single" w:sz="4" w:space="0" w:color="auto"/>
            </w:tcBorders>
            <w:shd w:val="clear" w:color="auto" w:fill="F3B8FF" w:themeFill="accent6" w:themeFillTint="33"/>
          </w:tcPr>
          <w:p w14:paraId="5537EF9E" w14:textId="77777777" w:rsidR="000F3AD2" w:rsidRPr="00D003F8" w:rsidRDefault="000F3AD2" w:rsidP="000F3AD2">
            <w:pPr>
              <w:rPr>
                <w:bCs/>
                <w:i/>
                <w:iCs/>
                <w:color w:val="ACAEAC" w:themeColor="accent2"/>
              </w:rPr>
            </w:pPr>
            <w:r w:rsidRPr="00D003F8">
              <w:rPr>
                <w:i/>
                <w:iCs/>
                <w:color w:val="5A5A5A" w:themeColor="accent1" w:themeTint="BF"/>
              </w:rPr>
              <w:t>Apakšjautājums: Kā fonds palīdzēja stiprināt un attīstīt visus kopējās Eiropas patvēruma sistēmas aspektus, tostarp tās ārējo dimensiju?</w:t>
            </w:r>
            <w:r w:rsidRPr="00D003F8">
              <w:rPr>
                <w:bCs/>
                <w:i/>
                <w:iCs/>
                <w:color w:val="ACAEAC" w:themeColor="accent2"/>
              </w:rPr>
              <w:t xml:space="preserve"> </w:t>
            </w:r>
          </w:p>
          <w:p w14:paraId="5C881598" w14:textId="0E6C7ABE" w:rsidR="008A596E" w:rsidRPr="008A596E" w:rsidRDefault="008A596E" w:rsidP="008A596E">
            <w:pPr>
              <w:pStyle w:val="Sarakstarindkopa"/>
              <w:numPr>
                <w:ilvl w:val="0"/>
                <w:numId w:val="15"/>
              </w:numPr>
              <w:rPr>
                <w:bCs/>
                <w:i/>
                <w:iCs/>
                <w:color w:val="5A5A5A" w:themeColor="text2" w:themeTint="BF"/>
                <w:sz w:val="20"/>
                <w:szCs w:val="20"/>
              </w:rPr>
            </w:pPr>
            <w:r w:rsidRPr="008A596E">
              <w:rPr>
                <w:bCs/>
                <w:i/>
                <w:iCs/>
                <w:color w:val="5A5A5A" w:themeColor="text2" w:themeTint="BF"/>
                <w:sz w:val="20"/>
                <w:szCs w:val="20"/>
              </w:rPr>
              <w:t>Kāds progress tika panākts ceļā uz patvēruma procedūru stiprināšanu un izveidi un kā fonds veicināja šā progresa panākšanu?</w:t>
            </w:r>
          </w:p>
          <w:p w14:paraId="6BB14401" w14:textId="77777777" w:rsidR="008A596E" w:rsidRPr="008A596E" w:rsidRDefault="008A596E" w:rsidP="008A596E">
            <w:pPr>
              <w:pStyle w:val="Sarakstarindkopa"/>
              <w:numPr>
                <w:ilvl w:val="0"/>
                <w:numId w:val="15"/>
              </w:numPr>
              <w:rPr>
                <w:bCs/>
                <w:i/>
                <w:iCs/>
                <w:color w:val="5A5A5A" w:themeColor="text2" w:themeTint="BF"/>
                <w:sz w:val="20"/>
                <w:szCs w:val="20"/>
              </w:rPr>
            </w:pPr>
            <w:r w:rsidRPr="008A596E">
              <w:rPr>
                <w:bCs/>
                <w:i/>
                <w:iCs/>
                <w:color w:val="5A5A5A" w:themeColor="text2" w:themeTint="BF"/>
                <w:sz w:val="20"/>
                <w:szCs w:val="20"/>
              </w:rPr>
              <w:t>Kāds progress tika panākts ceļā uz uzņemšanas nosacījumu stiprināšanu un izveidi un kā fonds veicināja šā progresa panākšanu?</w:t>
            </w:r>
          </w:p>
          <w:p w14:paraId="0A8AC7C3" w14:textId="77777777" w:rsidR="008A596E" w:rsidRPr="008A596E" w:rsidRDefault="008A596E" w:rsidP="008A596E">
            <w:pPr>
              <w:pStyle w:val="Sarakstarindkopa"/>
              <w:numPr>
                <w:ilvl w:val="0"/>
                <w:numId w:val="15"/>
              </w:numPr>
              <w:rPr>
                <w:bCs/>
                <w:i/>
                <w:iCs/>
                <w:color w:val="5A5A5A" w:themeColor="text2" w:themeTint="BF"/>
                <w:sz w:val="20"/>
                <w:szCs w:val="20"/>
              </w:rPr>
            </w:pPr>
            <w:r w:rsidRPr="008A596E">
              <w:rPr>
                <w:bCs/>
                <w:i/>
                <w:iCs/>
                <w:color w:val="5A5A5A" w:themeColor="text2" w:themeTint="BF"/>
                <w:sz w:val="20"/>
                <w:szCs w:val="20"/>
              </w:rPr>
              <w:t>Kāds progress tika panākts ceļā uz kvalifikācijas (un tās grozījumu) direktīvas tiesiskā regulējuma sekmīgu īstenošanu un kā fonds veicināja šā progresa panākšanu?</w:t>
            </w:r>
          </w:p>
          <w:p w14:paraId="091E3ED0" w14:textId="77777777" w:rsidR="008A596E" w:rsidRPr="008A596E" w:rsidRDefault="008A596E" w:rsidP="008A596E">
            <w:pPr>
              <w:pStyle w:val="Sarakstarindkopa"/>
              <w:numPr>
                <w:ilvl w:val="0"/>
                <w:numId w:val="15"/>
              </w:numPr>
              <w:rPr>
                <w:bCs/>
                <w:i/>
                <w:iCs/>
                <w:color w:val="5A5A5A" w:themeColor="text2" w:themeTint="BF"/>
                <w:sz w:val="20"/>
                <w:szCs w:val="20"/>
              </w:rPr>
            </w:pPr>
            <w:r w:rsidRPr="008A596E">
              <w:rPr>
                <w:bCs/>
                <w:i/>
                <w:iCs/>
                <w:color w:val="5A5A5A" w:themeColor="text2" w:themeTint="BF"/>
                <w:sz w:val="20"/>
                <w:szCs w:val="20"/>
              </w:rPr>
              <w:t>Kāds progress tika panākts ceļā uz dalībvalstu spēju palielināšanu to patvēruma politikas un procedūru izstrādāšanā, uzraudzībā un izvērtēšanā un kā fonds veicināja šā progresa panākšanu?</w:t>
            </w:r>
          </w:p>
          <w:p w14:paraId="315E90A3" w14:textId="0C885DB8" w:rsidR="00143135" w:rsidRPr="008A596E" w:rsidRDefault="008A596E" w:rsidP="00A239D8">
            <w:pPr>
              <w:pStyle w:val="Sarakstarindkopa"/>
              <w:numPr>
                <w:ilvl w:val="0"/>
                <w:numId w:val="15"/>
              </w:numPr>
              <w:rPr>
                <w:bCs/>
                <w:i/>
                <w:iCs/>
                <w:color w:val="ACAEAC" w:themeColor="accent2"/>
              </w:rPr>
            </w:pPr>
            <w:r w:rsidRPr="008A596E">
              <w:rPr>
                <w:bCs/>
                <w:i/>
                <w:iCs/>
                <w:color w:val="5A5A5A" w:themeColor="text2" w:themeTint="BF"/>
                <w:sz w:val="20"/>
                <w:szCs w:val="20"/>
              </w:rPr>
              <w:t>Kāds progress tika panākts ceļā uz valstu pārmitināšanas programmu un stratēģiju un citu humanitārās uzņemšanas programmu izveidi, pilnveidošanu un īstenošanu un kā fonds veicināja šā progresa panākšanu?</w:t>
            </w:r>
          </w:p>
        </w:tc>
      </w:tr>
    </w:tbl>
    <w:p w14:paraId="42ED1CC7" w14:textId="04BEDB14" w:rsidR="000C341D" w:rsidRDefault="00251E20" w:rsidP="00902384">
      <w:pPr>
        <w:rPr>
          <w:bCs/>
        </w:rPr>
      </w:pPr>
      <w:r w:rsidRPr="008F64A0">
        <w:rPr>
          <w:bCs/>
        </w:rPr>
        <w:t xml:space="preserve">PMIF nacionālās programmas ietvaros </w:t>
      </w:r>
      <w:r w:rsidR="000F5C0E" w:rsidRPr="008F64A0">
        <w:rPr>
          <w:bCs/>
        </w:rPr>
        <w:t>īstenot</w:t>
      </w:r>
      <w:r w:rsidR="005F022C">
        <w:rPr>
          <w:bCs/>
        </w:rPr>
        <w:t>ā</w:t>
      </w:r>
      <w:r w:rsidR="000F5C0E" w:rsidRPr="008F64A0">
        <w:rPr>
          <w:bCs/>
        </w:rPr>
        <w:t>s aktivitātes</w:t>
      </w:r>
      <w:r w:rsidR="001F00A3">
        <w:rPr>
          <w:bCs/>
        </w:rPr>
        <w:t xml:space="preserve"> ir veicinājušas Latvijas</w:t>
      </w:r>
      <w:r w:rsidR="000F5C0E" w:rsidRPr="008F64A0">
        <w:rPr>
          <w:bCs/>
        </w:rPr>
        <w:t xml:space="preserve"> patvēruma procedūru stiprināšanu, uzņemšanas nosacījumu stiprināšanu, pārmitināšanas programmu pilnveidošanu un </w:t>
      </w:r>
      <w:r w:rsidR="004736F4" w:rsidRPr="008F64A0">
        <w:rPr>
          <w:bCs/>
        </w:rPr>
        <w:t xml:space="preserve">nacionālo spēju palielināšanu patvēruma politikas izstrādāšanā. Piemēram, </w:t>
      </w:r>
      <w:r w:rsidR="00A03014" w:rsidRPr="008F64A0">
        <w:rPr>
          <w:bCs/>
        </w:rPr>
        <w:t>projekt</w:t>
      </w:r>
      <w:r w:rsidR="003977C0">
        <w:rPr>
          <w:bCs/>
        </w:rPr>
        <w:t>a</w:t>
      </w:r>
      <w:r w:rsidR="00F43AF4" w:rsidRPr="008F64A0">
        <w:rPr>
          <w:bCs/>
        </w:rPr>
        <w:t xml:space="preserve"> “Atbalsta pasākumi personu, kurām nepieciešama starptautiskā aizsardzība, uzņemšanai un izmitināšana”</w:t>
      </w:r>
      <w:r w:rsidR="00D63654" w:rsidRPr="008F64A0">
        <w:rPr>
          <w:rStyle w:val="Vresatsauce"/>
          <w:bCs/>
        </w:rPr>
        <w:footnoteReference w:id="8"/>
      </w:r>
      <w:r w:rsidR="0063299B">
        <w:rPr>
          <w:bCs/>
        </w:rPr>
        <w:t>,</w:t>
      </w:r>
      <w:r w:rsidR="00D119E6">
        <w:rPr>
          <w:bCs/>
        </w:rPr>
        <w:t xml:space="preserve"> </w:t>
      </w:r>
      <w:r w:rsidR="0063299B">
        <w:rPr>
          <w:bCs/>
        </w:rPr>
        <w:t>kur</w:t>
      </w:r>
      <w:r w:rsidR="00D119E6">
        <w:rPr>
          <w:bCs/>
        </w:rPr>
        <w:t>š</w:t>
      </w:r>
      <w:r w:rsidR="0063299B">
        <w:rPr>
          <w:bCs/>
        </w:rPr>
        <w:t xml:space="preserve"> </w:t>
      </w:r>
      <w:r w:rsidR="00D119E6">
        <w:rPr>
          <w:bCs/>
        </w:rPr>
        <w:t xml:space="preserve">padziļināti analizēts </w:t>
      </w:r>
      <w:r w:rsidR="0063299B" w:rsidRPr="008F64A0">
        <w:rPr>
          <w:bCs/>
        </w:rPr>
        <w:t>gadījumu izpēt</w:t>
      </w:r>
      <w:r w:rsidR="00D119E6">
        <w:rPr>
          <w:bCs/>
        </w:rPr>
        <w:t>ē</w:t>
      </w:r>
      <w:r w:rsidR="00295A28">
        <w:rPr>
          <w:bCs/>
        </w:rPr>
        <w:t xml:space="preserve"> </w:t>
      </w:r>
      <w:r w:rsidR="003335C8" w:rsidRPr="008F64A0">
        <w:rPr>
          <w:bCs/>
        </w:rPr>
        <w:t>(4. pielikums)</w:t>
      </w:r>
      <w:r w:rsidR="003977C0">
        <w:rPr>
          <w:bCs/>
        </w:rPr>
        <w:t>, rezultāti liecina</w:t>
      </w:r>
      <w:r w:rsidR="0000156A" w:rsidRPr="008F64A0">
        <w:rPr>
          <w:bCs/>
        </w:rPr>
        <w:t>, ka</w:t>
      </w:r>
      <w:r w:rsidR="00902384" w:rsidRPr="008F64A0">
        <w:rPr>
          <w:bCs/>
        </w:rPr>
        <w:t xml:space="preserve"> šī</w:t>
      </w:r>
      <w:r w:rsidR="0000156A" w:rsidRPr="008F64A0">
        <w:rPr>
          <w:bCs/>
        </w:rPr>
        <w:t xml:space="preserve"> </w:t>
      </w:r>
      <w:r w:rsidR="00902384" w:rsidRPr="008F64A0">
        <w:rPr>
          <w:bCs/>
        </w:rPr>
        <w:t xml:space="preserve">projekta īstenošana ir radījusi vairākus būtiskus ieguvumus patvēruma sistēmas stiprināšanā. </w:t>
      </w:r>
      <w:r w:rsidR="000C0F3E">
        <w:rPr>
          <w:bCs/>
        </w:rPr>
        <w:t xml:space="preserve">Projekta īstenošana </w:t>
      </w:r>
      <w:r w:rsidR="008D34E0">
        <w:rPr>
          <w:bCs/>
        </w:rPr>
        <w:t xml:space="preserve">ir ļāvusi ne tikai kvantitatīvi palielināt </w:t>
      </w:r>
      <w:r w:rsidR="00902384" w:rsidRPr="008F64A0">
        <w:rPr>
          <w:bCs/>
        </w:rPr>
        <w:t>izmitināt</w:t>
      </w:r>
      <w:r w:rsidR="0010646C">
        <w:rPr>
          <w:bCs/>
        </w:rPr>
        <w:t>o</w:t>
      </w:r>
      <w:r w:rsidR="00902384" w:rsidRPr="008F64A0">
        <w:rPr>
          <w:bCs/>
        </w:rPr>
        <w:t xml:space="preserve"> patvēruma meklētāju skaitu, </w:t>
      </w:r>
      <w:r w:rsidR="0010646C">
        <w:rPr>
          <w:bCs/>
        </w:rPr>
        <w:t xml:space="preserve">bet arī kvalitatīvi </w:t>
      </w:r>
      <w:r w:rsidR="000151C5">
        <w:rPr>
          <w:rFonts w:cstheme="minorHAnsi"/>
        </w:rPr>
        <w:t>–</w:t>
      </w:r>
      <w:r w:rsidR="0010646C">
        <w:rPr>
          <w:bCs/>
        </w:rPr>
        <w:t xml:space="preserve">  uzlabot sistēmas darbību, </w:t>
      </w:r>
      <w:r w:rsidR="00902384" w:rsidRPr="008F64A0">
        <w:rPr>
          <w:bCs/>
        </w:rPr>
        <w:t>paaugstinot darbinieku kompetenci un zināšanu līmeni</w:t>
      </w:r>
      <w:r w:rsidR="0051602F">
        <w:rPr>
          <w:bCs/>
        </w:rPr>
        <w:t>m</w:t>
      </w:r>
      <w:r w:rsidR="000D626A">
        <w:rPr>
          <w:bCs/>
        </w:rPr>
        <w:t>.</w:t>
      </w:r>
    </w:p>
    <w:p w14:paraId="495D19C9" w14:textId="38838B3C" w:rsidR="00143135" w:rsidRPr="008F64A0" w:rsidRDefault="00902384" w:rsidP="00902384">
      <w:pPr>
        <w:rPr>
          <w:bCs/>
        </w:rPr>
      </w:pPr>
      <w:r w:rsidRPr="008F64A0">
        <w:rPr>
          <w:bCs/>
        </w:rPr>
        <w:t>Sistēm</w:t>
      </w:r>
      <w:r w:rsidR="000C341D">
        <w:rPr>
          <w:bCs/>
        </w:rPr>
        <w:t>as</w:t>
      </w:r>
      <w:r w:rsidRPr="008F64A0">
        <w:rPr>
          <w:bCs/>
        </w:rPr>
        <w:t xml:space="preserve"> uzlabojumi ietver</w:t>
      </w:r>
      <w:r w:rsidR="000C341D">
        <w:rPr>
          <w:bCs/>
        </w:rPr>
        <w:t xml:space="preserve"> vairākus būtiskus elementus:</w:t>
      </w:r>
      <w:r w:rsidRPr="008F64A0">
        <w:rPr>
          <w:bCs/>
        </w:rPr>
        <w:t xml:space="preserve"> </w:t>
      </w:r>
      <w:r w:rsidR="00BE4D66">
        <w:rPr>
          <w:bCs/>
        </w:rPr>
        <w:t xml:space="preserve">pilnveidota </w:t>
      </w:r>
      <w:r w:rsidRPr="008F64A0">
        <w:rPr>
          <w:bCs/>
        </w:rPr>
        <w:t xml:space="preserve">patvēruma un izmitināšanas pieeja, </w:t>
      </w:r>
      <w:r w:rsidR="00323420">
        <w:rPr>
          <w:bCs/>
        </w:rPr>
        <w:t xml:space="preserve">veikti </w:t>
      </w:r>
      <w:r w:rsidRPr="008F64A0">
        <w:rPr>
          <w:bCs/>
        </w:rPr>
        <w:t>normatīvā regulējuma uzlabojum</w:t>
      </w:r>
      <w:r w:rsidR="00323420">
        <w:rPr>
          <w:bCs/>
        </w:rPr>
        <w:t>i</w:t>
      </w:r>
      <w:r w:rsidRPr="008F64A0">
        <w:rPr>
          <w:bCs/>
        </w:rPr>
        <w:t xml:space="preserve">, t.sk. skaidri nodalot valsts budžeta un projekta </w:t>
      </w:r>
      <w:r w:rsidR="00323420">
        <w:rPr>
          <w:bCs/>
        </w:rPr>
        <w:t>līdzekļus</w:t>
      </w:r>
      <w:r w:rsidR="00AA522E">
        <w:rPr>
          <w:bCs/>
        </w:rPr>
        <w:t>. Tāpat</w:t>
      </w:r>
      <w:r w:rsidRPr="008F64A0">
        <w:rPr>
          <w:bCs/>
        </w:rPr>
        <w:t xml:space="preserve"> arī </w:t>
      </w:r>
      <w:r w:rsidR="00AA522E">
        <w:rPr>
          <w:bCs/>
        </w:rPr>
        <w:t>ir</w:t>
      </w:r>
      <w:r w:rsidRPr="008F64A0">
        <w:rPr>
          <w:bCs/>
        </w:rPr>
        <w:t xml:space="preserve"> paplašinā</w:t>
      </w:r>
      <w:r w:rsidR="00AA522E">
        <w:rPr>
          <w:bCs/>
        </w:rPr>
        <w:t>ts patvēruma meklētājiem pieejamo pakalpojumu klāsts</w:t>
      </w:r>
      <w:r w:rsidR="003335C8" w:rsidRPr="008F64A0">
        <w:rPr>
          <w:bCs/>
        </w:rPr>
        <w:t xml:space="preserve">, </w:t>
      </w:r>
      <w:r w:rsidR="008D35F5">
        <w:rPr>
          <w:bCs/>
        </w:rPr>
        <w:t>ieviešo</w:t>
      </w:r>
      <w:r w:rsidR="003335C8" w:rsidRPr="008F64A0">
        <w:rPr>
          <w:bCs/>
        </w:rPr>
        <w:t>t standartizēt</w:t>
      </w:r>
      <w:r w:rsidR="008D35F5">
        <w:rPr>
          <w:bCs/>
        </w:rPr>
        <w:t>u</w:t>
      </w:r>
      <w:r w:rsidR="003335C8" w:rsidRPr="008F64A0">
        <w:rPr>
          <w:bCs/>
        </w:rPr>
        <w:t xml:space="preserve"> higiēnas un pārtikas preču nodrošinājumu un </w:t>
      </w:r>
      <w:r w:rsidR="008D35F5">
        <w:rPr>
          <w:bCs/>
        </w:rPr>
        <w:t>uzlabojot</w:t>
      </w:r>
      <w:r w:rsidR="008D35F5" w:rsidRPr="008F64A0">
        <w:rPr>
          <w:bCs/>
        </w:rPr>
        <w:t xml:space="preserve"> </w:t>
      </w:r>
      <w:r w:rsidR="003335C8" w:rsidRPr="008F64A0">
        <w:rPr>
          <w:bCs/>
        </w:rPr>
        <w:t xml:space="preserve">piekļuvi </w:t>
      </w:r>
      <w:r w:rsidR="008D35F5">
        <w:rPr>
          <w:bCs/>
        </w:rPr>
        <w:t>veselības aprūpes</w:t>
      </w:r>
      <w:r w:rsidR="008D35F5" w:rsidRPr="008F64A0">
        <w:rPr>
          <w:bCs/>
        </w:rPr>
        <w:t xml:space="preserve"> </w:t>
      </w:r>
      <w:r w:rsidR="003335C8" w:rsidRPr="008F64A0">
        <w:rPr>
          <w:bCs/>
        </w:rPr>
        <w:t>pakalpojumiem</w:t>
      </w:r>
      <w:r w:rsidRPr="008F64A0">
        <w:rPr>
          <w:bCs/>
        </w:rPr>
        <w:t>.</w:t>
      </w:r>
      <w:r w:rsidR="003335C8" w:rsidRPr="008F64A0">
        <w:rPr>
          <w:bCs/>
        </w:rPr>
        <w:t xml:space="preserve"> </w:t>
      </w:r>
      <w:r w:rsidRPr="008F64A0">
        <w:rPr>
          <w:bCs/>
        </w:rPr>
        <w:t xml:space="preserve">Šie uzlabojumi </w:t>
      </w:r>
      <w:r w:rsidR="008D35F5">
        <w:rPr>
          <w:bCs/>
        </w:rPr>
        <w:t xml:space="preserve">izrādījās </w:t>
      </w:r>
      <w:r w:rsidRPr="008F64A0">
        <w:rPr>
          <w:bCs/>
        </w:rPr>
        <w:t xml:space="preserve">īpaši nozīmīgi kontekstā ar nepieciešamību īsā laikā palielināt uzņemšanas kapacitāti saistībā ar </w:t>
      </w:r>
      <w:r w:rsidR="00FF3421" w:rsidRPr="008F64A0">
        <w:rPr>
          <w:bCs/>
        </w:rPr>
        <w:t xml:space="preserve">patvēruma meklētāju </w:t>
      </w:r>
      <w:r w:rsidRPr="008F64A0">
        <w:rPr>
          <w:bCs/>
        </w:rPr>
        <w:t>pārvietošanas pasākumiem no Itālijas un Grieķijas</w:t>
      </w:r>
      <w:r w:rsidR="00951B4D">
        <w:rPr>
          <w:bCs/>
        </w:rPr>
        <w:t xml:space="preserve">, ļaujot izpildīt </w:t>
      </w:r>
      <w:r w:rsidR="00AD0694">
        <w:rPr>
          <w:bCs/>
        </w:rPr>
        <w:t>Latvijai noteiktās pārmitināšanas programmas saistības</w:t>
      </w:r>
      <w:r w:rsidR="00951B4D">
        <w:rPr>
          <w:bCs/>
        </w:rPr>
        <w:t xml:space="preserve">. </w:t>
      </w:r>
    </w:p>
    <w:p w14:paraId="5055AC96" w14:textId="04193471" w:rsidR="00924FB2" w:rsidRPr="008F64A0" w:rsidRDefault="0059420B" w:rsidP="00902384">
      <w:pPr>
        <w:rPr>
          <w:bCs/>
          <w:color w:val="232323" w:themeColor="text1"/>
        </w:rPr>
      </w:pPr>
      <w:r w:rsidRPr="008F64A0">
        <w:rPr>
          <w:bCs/>
          <w:color w:val="232323" w:themeColor="text1"/>
        </w:rPr>
        <w:t>PMIF projektu īstenošana</w:t>
      </w:r>
      <w:r w:rsidR="00A82F21">
        <w:rPr>
          <w:bCs/>
          <w:color w:val="232323" w:themeColor="text1"/>
        </w:rPr>
        <w:t xml:space="preserve"> ir devusi ieguldījumu</w:t>
      </w:r>
      <w:r w:rsidRPr="008F64A0">
        <w:rPr>
          <w:bCs/>
          <w:color w:val="232323" w:themeColor="text1"/>
        </w:rPr>
        <w:t xml:space="preserve"> patvēruma procedūru kvalitāte</w:t>
      </w:r>
      <w:r w:rsidR="00A82F21">
        <w:rPr>
          <w:bCs/>
          <w:color w:val="232323" w:themeColor="text1"/>
        </w:rPr>
        <w:t>s</w:t>
      </w:r>
      <w:r w:rsidRPr="008F64A0">
        <w:rPr>
          <w:bCs/>
          <w:color w:val="232323" w:themeColor="text1"/>
        </w:rPr>
        <w:t xml:space="preserve"> un ātrum</w:t>
      </w:r>
      <w:r w:rsidR="00A82F21">
        <w:rPr>
          <w:bCs/>
          <w:color w:val="232323" w:themeColor="text1"/>
        </w:rPr>
        <w:t>a uzlabošanā</w:t>
      </w:r>
      <w:r w:rsidRPr="008F64A0">
        <w:rPr>
          <w:bCs/>
          <w:color w:val="232323" w:themeColor="text1"/>
        </w:rPr>
        <w:t>, īpaš</w:t>
      </w:r>
      <w:r w:rsidR="0070628F">
        <w:rPr>
          <w:bCs/>
          <w:color w:val="232323" w:themeColor="text1"/>
        </w:rPr>
        <w:t>i</w:t>
      </w:r>
      <w:r w:rsidRPr="008F64A0">
        <w:rPr>
          <w:bCs/>
          <w:color w:val="232323" w:themeColor="text1"/>
        </w:rPr>
        <w:t xml:space="preserve"> fokusējoties uz patvēruma meklētāju uzņemšan</w:t>
      </w:r>
      <w:r w:rsidR="00D54D69">
        <w:rPr>
          <w:bCs/>
          <w:color w:val="232323" w:themeColor="text1"/>
        </w:rPr>
        <w:t>as posmu</w:t>
      </w:r>
      <w:r w:rsidRPr="008F64A0">
        <w:rPr>
          <w:bCs/>
          <w:color w:val="232323" w:themeColor="text1"/>
        </w:rPr>
        <w:t xml:space="preserve"> un procedūr</w:t>
      </w:r>
      <w:r w:rsidR="00D54D69">
        <w:rPr>
          <w:bCs/>
          <w:color w:val="232323" w:themeColor="text1"/>
        </w:rPr>
        <w:t>u pieejamīb</w:t>
      </w:r>
      <w:r w:rsidR="00DD4CA6">
        <w:rPr>
          <w:bCs/>
          <w:color w:val="232323" w:themeColor="text1"/>
        </w:rPr>
        <w:t>u</w:t>
      </w:r>
      <w:r w:rsidRPr="008F64A0">
        <w:rPr>
          <w:bCs/>
          <w:color w:val="232323" w:themeColor="text1"/>
        </w:rPr>
        <w:t>. Šis mērķis sasniegts, pilnveidojot procedūras, lēmumu pieņemšanas procesu un uzņemšanas kapacitāti. Galvenie sasniegumi ietver PMLP administratīvās kapacitātes stiprināšanu, patvēruma datu vākšanas un analīzes IKT risinājumu ieviešanu, AFIS un BDAS sistēmu integrāciju efektīvai datu apmaiņai ar EURODAC, kā arī patvēruma meklētāju izmitināšanas centra apstākļu un pakalpojumu uzlabošanu, t.sk. juridisko, tulkošanas, sociālo un medicīnisko atbalstu.</w:t>
      </w:r>
      <w:r w:rsidRPr="008F64A0">
        <w:rPr>
          <w:rStyle w:val="Vresatsauce"/>
          <w:bCs/>
          <w:color w:val="232323" w:themeColor="text1"/>
        </w:rPr>
        <w:footnoteReference w:id="9"/>
      </w:r>
      <w:r w:rsidR="000D626A">
        <w:rPr>
          <w:bCs/>
          <w:color w:val="232323" w:themeColor="text1"/>
        </w:rPr>
        <w:t xml:space="preserve"> Vienlaikus īstenotie pasākumi ir bijuši vērsti uz</w:t>
      </w:r>
      <w:r w:rsidR="000D626A">
        <w:rPr>
          <w:bCs/>
        </w:rPr>
        <w:t xml:space="preserve"> ES Direktīvas Nr. 2011/95/ES prasīb</w:t>
      </w:r>
      <w:r w:rsidR="00A433DE">
        <w:rPr>
          <w:bCs/>
        </w:rPr>
        <w:t xml:space="preserve">u nodrošināšanu, piemēram, </w:t>
      </w:r>
      <w:r w:rsidR="005F46BB">
        <w:rPr>
          <w:bCs/>
        </w:rPr>
        <w:t>nodrošinot informāciju par tiesībām un pienākumiem</w:t>
      </w:r>
      <w:r w:rsidR="00951B4D">
        <w:rPr>
          <w:bCs/>
        </w:rPr>
        <w:t xml:space="preserve"> patvēruma meklētājiem saprotamā valodā</w:t>
      </w:r>
      <w:r w:rsidR="000D626A">
        <w:rPr>
          <w:bCs/>
        </w:rPr>
        <w:t>.</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54F9DBAF" w14:textId="77777777" w:rsidTr="00D40533">
        <w:tc>
          <w:tcPr>
            <w:tcW w:w="10252" w:type="dxa"/>
            <w:shd w:val="clear" w:color="auto" w:fill="F3B8FF" w:themeFill="accent6" w:themeFillTint="33"/>
          </w:tcPr>
          <w:p w14:paraId="153EA8F4" w14:textId="77777777" w:rsidR="002C7AC7" w:rsidRPr="00D003F8" w:rsidRDefault="002C7AC7" w:rsidP="002C7AC7">
            <w:pPr>
              <w:rPr>
                <w:bCs/>
                <w:i/>
                <w:iCs/>
                <w:color w:val="ACAEAC" w:themeColor="accent2"/>
              </w:rPr>
            </w:pPr>
            <w:r w:rsidRPr="00D003F8">
              <w:rPr>
                <w:i/>
                <w:iCs/>
                <w:color w:val="5A5A5A" w:themeColor="accent1" w:themeTint="BF"/>
              </w:rPr>
              <w:lastRenderedPageBreak/>
              <w:t>Apakšjautājums: Kā fonds veicināja atbalsta sniegšanu likumīgai migrācijai uz dalībvalstīm saskaņā ar to ekonomiskajām un sociālajām vajadzībām, piemēram, darba tirgus vajadzībām, vienlaikus nodrošinot dalībvalstu imigrācijas sistēmu integritāti, un trešo valstu valstspiederīgo efektīvā integrācijā?</w:t>
            </w:r>
          </w:p>
          <w:p w14:paraId="44DD885C" w14:textId="77777777" w:rsidR="007569F7" w:rsidRPr="00D003F8" w:rsidRDefault="007569F7" w:rsidP="007569F7">
            <w:pPr>
              <w:pStyle w:val="Sarakstarindkopa"/>
              <w:numPr>
                <w:ilvl w:val="0"/>
                <w:numId w:val="16"/>
              </w:numPr>
              <w:rPr>
                <w:bCs/>
                <w:i/>
                <w:iCs/>
                <w:color w:val="5A5A5A" w:themeColor="accent1" w:themeTint="BF"/>
                <w:sz w:val="20"/>
                <w:szCs w:val="20"/>
              </w:rPr>
            </w:pPr>
            <w:r w:rsidRPr="00D003F8">
              <w:rPr>
                <w:bCs/>
                <w:i/>
                <w:iCs/>
                <w:color w:val="5A5A5A" w:themeColor="accent1" w:themeTint="BF"/>
                <w:sz w:val="20"/>
                <w:szCs w:val="20"/>
              </w:rPr>
              <w:t>Kāds progress tika panākts ceļā uz atbalsta sniegšanu likumīgai migrācijai uz dalībvalstīm saskaņā ar to ekonomiskajām un sociālajām vajadzībām, piemēram, darba tirgus vajadzībām, un kā fonds veicināja šā progresa panākšanu?</w:t>
            </w:r>
          </w:p>
          <w:p w14:paraId="70401E17" w14:textId="77777777" w:rsidR="00F30506" w:rsidRPr="00F30506" w:rsidRDefault="00F30506" w:rsidP="00F30506">
            <w:pPr>
              <w:pStyle w:val="Sarakstarindkopa"/>
              <w:numPr>
                <w:ilvl w:val="0"/>
                <w:numId w:val="16"/>
              </w:numPr>
              <w:rPr>
                <w:i/>
                <w:iCs/>
                <w:color w:val="5A5A5A" w:themeColor="accent1" w:themeTint="BF"/>
                <w:sz w:val="20"/>
                <w:szCs w:val="20"/>
              </w:rPr>
            </w:pPr>
            <w:r w:rsidRPr="00F30506">
              <w:rPr>
                <w:i/>
                <w:iCs/>
                <w:color w:val="5A5A5A" w:themeColor="accent1" w:themeTint="BF"/>
                <w:sz w:val="20"/>
                <w:szCs w:val="20"/>
              </w:rPr>
              <w:t>Kāds progress tika panākts ceļā uz trešo valstu valstspiederīgo efektīvas integrācijas vecināšanu un kā fonds veicināja šā progresa panākšanu?</w:t>
            </w:r>
          </w:p>
          <w:p w14:paraId="60477248" w14:textId="77777777" w:rsidR="00C1219F" w:rsidRPr="00D003F8" w:rsidRDefault="00C1219F" w:rsidP="00C1219F">
            <w:pPr>
              <w:pStyle w:val="Sarakstarindkopa"/>
              <w:numPr>
                <w:ilvl w:val="0"/>
                <w:numId w:val="16"/>
              </w:numPr>
              <w:rPr>
                <w:bCs/>
                <w:i/>
                <w:iCs/>
                <w:color w:val="5A5A5A" w:themeColor="accent1" w:themeTint="BF"/>
                <w:sz w:val="20"/>
                <w:szCs w:val="20"/>
              </w:rPr>
            </w:pPr>
            <w:r w:rsidRPr="00D003F8">
              <w:rPr>
                <w:bCs/>
                <w:i/>
                <w:iCs/>
                <w:color w:val="5A5A5A" w:themeColor="accent1" w:themeTint="BF"/>
                <w:sz w:val="20"/>
                <w:szCs w:val="20"/>
              </w:rPr>
              <w:t>Kāds progress tika panākts ceļā uz dalībvalstu sadarbības sekmēšanu, ņemot vērā dalībvalstu imigrācijas sistēmu integritātes nodrošināšanu, un kā fonds veicināja šā progresa panākšanu?</w:t>
            </w:r>
          </w:p>
          <w:p w14:paraId="13B2FF53" w14:textId="65D58E04" w:rsidR="00143135" w:rsidRPr="00F30506" w:rsidRDefault="00F30506" w:rsidP="00A239D8">
            <w:pPr>
              <w:pStyle w:val="Sarakstarindkopa"/>
              <w:numPr>
                <w:ilvl w:val="0"/>
                <w:numId w:val="16"/>
              </w:numPr>
              <w:rPr>
                <w:i/>
                <w:iCs/>
                <w:color w:val="5A5A5A" w:themeColor="accent1" w:themeTint="BF"/>
                <w:sz w:val="20"/>
                <w:szCs w:val="20"/>
              </w:rPr>
            </w:pPr>
            <w:r w:rsidRPr="00F30506">
              <w:rPr>
                <w:i/>
                <w:iCs/>
                <w:color w:val="5A5A5A" w:themeColor="accent1" w:themeTint="BF"/>
                <w:sz w:val="20"/>
                <w:szCs w:val="20"/>
              </w:rPr>
              <w:t>Kāds progress tika panākts ceļā uz integrācijas un likumīgas migrācijas spēju veidošanu dalībvalstīs un kā fonds veicināja šā progresa panākšanu?</w:t>
            </w:r>
          </w:p>
        </w:tc>
      </w:tr>
    </w:tbl>
    <w:p w14:paraId="7ADA5682" w14:textId="2BB3D46D" w:rsidR="00CF22FF" w:rsidRDefault="00CF22FF" w:rsidP="00FE02DA">
      <w:pPr>
        <w:rPr>
          <w:b/>
        </w:rPr>
      </w:pPr>
      <w:r w:rsidRPr="00CE5340">
        <w:rPr>
          <w:bCs/>
        </w:rPr>
        <w:t xml:space="preserve">Kopumā </w:t>
      </w:r>
      <w:r>
        <w:rPr>
          <w:bCs/>
        </w:rPr>
        <w:t xml:space="preserve">PMIF SM2 un tā ietvaros īstenoto projektu </w:t>
      </w:r>
      <w:r w:rsidRPr="00CE5340">
        <w:rPr>
          <w:bCs/>
        </w:rPr>
        <w:t xml:space="preserve">sasniegšana </w:t>
      </w:r>
      <w:r>
        <w:rPr>
          <w:bCs/>
        </w:rPr>
        <w:t xml:space="preserve">tiek vērtēta </w:t>
      </w:r>
      <w:r w:rsidRPr="00CE5340">
        <w:rPr>
          <w:bCs/>
        </w:rPr>
        <w:t>pozitīv</w:t>
      </w:r>
      <w:r>
        <w:rPr>
          <w:bCs/>
        </w:rPr>
        <w:t>i</w:t>
      </w:r>
      <w:r w:rsidRPr="00CE5340">
        <w:rPr>
          <w:bCs/>
        </w:rPr>
        <w:t>, ar augstiem kvantitatīvajiem rādītājiem</w:t>
      </w:r>
      <w:r>
        <w:rPr>
          <w:bCs/>
        </w:rPr>
        <w:t>.</w:t>
      </w:r>
      <w:r w:rsidR="0097266A">
        <w:rPr>
          <w:bCs/>
        </w:rPr>
        <w:t xml:space="preserve"> </w:t>
      </w:r>
      <w:r w:rsidR="0097266A">
        <w:t xml:space="preserve">PMIF ir sekmīgi veicinājis </w:t>
      </w:r>
      <w:r w:rsidR="00423E3A">
        <w:t>TVP</w:t>
      </w:r>
      <w:r w:rsidR="0097266A">
        <w:t xml:space="preserve"> integrāciju un likumīgo migrāciju, īstenojot vairākus savstarpēji papildinošus pasākumus.</w:t>
      </w:r>
    </w:p>
    <w:p w14:paraId="5C5D9DA3" w14:textId="77777777" w:rsidR="00C573BB" w:rsidRDefault="00C573BB" w:rsidP="00FE02DA">
      <w:pPr>
        <w:rPr>
          <w:b/>
          <w:bCs/>
        </w:rPr>
      </w:pPr>
      <w:r w:rsidRPr="00003736">
        <w:rPr>
          <w:b/>
          <w:bCs/>
        </w:rPr>
        <w:t>Sistēmiska pieeja pakalpojumu nodrošināšanā</w:t>
      </w:r>
    </w:p>
    <w:p w14:paraId="7820B37A" w14:textId="49F1B1C8" w:rsidR="00FE02DA" w:rsidRDefault="00CE5340" w:rsidP="00FE02DA">
      <w:pPr>
        <w:rPr>
          <w:bCs/>
        </w:rPr>
      </w:pPr>
      <w:r>
        <w:rPr>
          <w:bCs/>
        </w:rPr>
        <w:t>PMIF</w:t>
      </w:r>
      <w:r w:rsidR="00FE02DA" w:rsidRPr="00FE02DA">
        <w:rPr>
          <w:bCs/>
        </w:rPr>
        <w:t xml:space="preserve"> </w:t>
      </w:r>
      <w:r w:rsidR="00A5342F">
        <w:rPr>
          <w:bCs/>
        </w:rPr>
        <w:t>ietvaros</w:t>
      </w:r>
      <w:r w:rsidR="00C34226">
        <w:rPr>
          <w:bCs/>
        </w:rPr>
        <w:t xml:space="preserve"> tika ieviests integrācijas atbalsta mehānisms, kura </w:t>
      </w:r>
      <w:r w:rsidR="00E3657F">
        <w:rPr>
          <w:bCs/>
        </w:rPr>
        <w:t xml:space="preserve">centrālais elements ir </w:t>
      </w:r>
      <w:r w:rsidR="00FE02DA" w:rsidRPr="00FE02DA">
        <w:rPr>
          <w:bCs/>
        </w:rPr>
        <w:t xml:space="preserve">"vienas pieturas aģentūras" </w:t>
      </w:r>
      <w:r w:rsidR="00E3657F">
        <w:rPr>
          <w:bCs/>
        </w:rPr>
        <w:t xml:space="preserve">princips. </w:t>
      </w:r>
      <w:r w:rsidR="00610493">
        <w:rPr>
          <w:bCs/>
        </w:rPr>
        <w:t xml:space="preserve">Šī pieeja </w:t>
      </w:r>
      <w:r w:rsidR="00FE02DA" w:rsidRPr="00FE02DA">
        <w:rPr>
          <w:bCs/>
        </w:rPr>
        <w:t xml:space="preserve">nodrošina centralizētu informācijas </w:t>
      </w:r>
      <w:r w:rsidR="007312F5">
        <w:rPr>
          <w:bCs/>
        </w:rPr>
        <w:t xml:space="preserve">un pakalpojumu </w:t>
      </w:r>
      <w:r w:rsidR="00FE02DA" w:rsidRPr="00FE02DA">
        <w:rPr>
          <w:bCs/>
        </w:rPr>
        <w:t xml:space="preserve">pieejamību </w:t>
      </w:r>
      <w:r w:rsidR="007312F5">
        <w:rPr>
          <w:bCs/>
        </w:rPr>
        <w:t xml:space="preserve">piecās </w:t>
      </w:r>
      <w:r w:rsidR="00722B2F">
        <w:rPr>
          <w:bCs/>
        </w:rPr>
        <w:t xml:space="preserve">stratēģiski izvēlētās </w:t>
      </w:r>
      <w:r w:rsidR="007312F5">
        <w:rPr>
          <w:bCs/>
        </w:rPr>
        <w:t>Latvijas</w:t>
      </w:r>
      <w:r w:rsidR="00DE582A">
        <w:rPr>
          <w:bCs/>
        </w:rPr>
        <w:t xml:space="preserve"> valstspilsētās </w:t>
      </w:r>
      <w:r w:rsidR="000151C5">
        <w:rPr>
          <w:rFonts w:cstheme="minorHAnsi"/>
        </w:rPr>
        <w:t>–</w:t>
      </w:r>
      <w:r w:rsidR="00DE582A">
        <w:rPr>
          <w:bCs/>
        </w:rPr>
        <w:t xml:space="preserve"> </w:t>
      </w:r>
      <w:r w:rsidR="007312F5" w:rsidRPr="00FE02DA">
        <w:rPr>
          <w:bCs/>
        </w:rPr>
        <w:t>Rīgā, Liepājā, Daugavpilī, Jelgavā un Valmierā</w:t>
      </w:r>
      <w:r w:rsidR="007C3A8D">
        <w:rPr>
          <w:bCs/>
        </w:rPr>
        <w:t xml:space="preserve">. </w:t>
      </w:r>
      <w:r w:rsidR="00BC3A8B">
        <w:rPr>
          <w:bCs/>
        </w:rPr>
        <w:t xml:space="preserve">Teritoriāli pārdomātā pakalpojuma struktūra ne tikai veicina </w:t>
      </w:r>
      <w:r w:rsidR="00FE02DA">
        <w:rPr>
          <w:bCs/>
        </w:rPr>
        <w:t xml:space="preserve">reģionālo </w:t>
      </w:r>
      <w:r w:rsidR="007F3B62">
        <w:rPr>
          <w:bCs/>
        </w:rPr>
        <w:t xml:space="preserve">līdzsvaru, bet arī </w:t>
      </w:r>
      <w:r w:rsidR="00D862E7">
        <w:t xml:space="preserve">uzlabo </w:t>
      </w:r>
      <w:r w:rsidR="007F3B62">
        <w:t>pakalpojumu sasniedzamību</w:t>
      </w:r>
      <w:r w:rsidR="00D862E7">
        <w:t xml:space="preserve"> mērķa grupai</w:t>
      </w:r>
      <w:r w:rsidR="00DA125E">
        <w:t>, nodrošinot vienlīdzīgas iespējas visā valsts teritorijā</w:t>
      </w:r>
      <w:r w:rsidR="00976FDE">
        <w:t>.</w:t>
      </w:r>
      <w:r w:rsidR="00A641D1">
        <w:t xml:space="preserve"> Šāda decentralizēta pieeja ir īpaši nozīmīga integrācijas procesa sekmēšanai, jo ļauj pielāgot pakalpojumus reģionālajām īpatnībām, vienlaikus saglabājot vienotu </w:t>
      </w:r>
      <w:r w:rsidR="006B4C5A">
        <w:t xml:space="preserve">pieeju </w:t>
      </w:r>
      <w:r w:rsidR="008F0E02">
        <w:t>to nodrošināšanā</w:t>
      </w:r>
      <w:r w:rsidR="00A641D1">
        <w:t>.</w:t>
      </w:r>
      <w:r w:rsidR="00FE02DA">
        <w:rPr>
          <w:bCs/>
        </w:rPr>
        <w:t xml:space="preserve"> </w:t>
      </w:r>
    </w:p>
    <w:p w14:paraId="4EB9EFE4" w14:textId="5057FCA2" w:rsidR="00882F0C" w:rsidRDefault="00882F0C" w:rsidP="00FE02DA">
      <w:pPr>
        <w:rPr>
          <w:bCs/>
        </w:rPr>
      </w:pPr>
      <w:r>
        <w:rPr>
          <w:bCs/>
        </w:rPr>
        <w:t>Vienlaikus arī darba tirgus kontekstā ekspertu paneļa ietvaros</w:t>
      </w:r>
      <w:r w:rsidR="007A1570">
        <w:rPr>
          <w:bCs/>
        </w:rPr>
        <w:t xml:space="preserve"> tika norādīts, ka </w:t>
      </w:r>
      <w:r w:rsidR="005C7C8D">
        <w:rPr>
          <w:bCs/>
        </w:rPr>
        <w:t>mērķtiecīgāki pasākumi patvēruma meklētāju integrācijai darba tirgū ir saistāmi tieši ar 2014.-2020. gada plānošanas period</w:t>
      </w:r>
      <w:r w:rsidR="00FA5C5F">
        <w:rPr>
          <w:bCs/>
        </w:rPr>
        <w:t>u</w:t>
      </w:r>
      <w:r w:rsidR="00295C76">
        <w:rPr>
          <w:bCs/>
        </w:rPr>
        <w:t xml:space="preserve">. </w:t>
      </w:r>
      <w:r w:rsidR="00134D9F">
        <w:rPr>
          <w:bCs/>
        </w:rPr>
        <w:t xml:space="preserve">Piemēram, LM, </w:t>
      </w:r>
      <w:r w:rsidR="00D059E1">
        <w:rPr>
          <w:bCs/>
        </w:rPr>
        <w:t xml:space="preserve">kuras atbildībā ir </w:t>
      </w:r>
      <w:r w:rsidR="00134D9F">
        <w:rPr>
          <w:bCs/>
        </w:rPr>
        <w:t>nodarbinātības</w:t>
      </w:r>
      <w:r w:rsidR="00D059E1">
        <w:rPr>
          <w:bCs/>
        </w:rPr>
        <w:t xml:space="preserve"> politikas</w:t>
      </w:r>
      <w:r w:rsidR="00134D9F">
        <w:rPr>
          <w:bCs/>
        </w:rPr>
        <w:t xml:space="preserve"> jautājumi, n</w:t>
      </w:r>
      <w:r w:rsidR="00F705B4">
        <w:rPr>
          <w:bCs/>
        </w:rPr>
        <w:t>ovērojumi liecina, ka integrācijas atbalsta pasākumu pieejamība būtiski sekmē</w:t>
      </w:r>
      <w:r w:rsidR="00EE3289">
        <w:rPr>
          <w:bCs/>
        </w:rPr>
        <w:t xml:space="preserve"> mērķa grupu</w:t>
      </w:r>
      <w:r w:rsidR="00F705B4">
        <w:rPr>
          <w:bCs/>
        </w:rPr>
        <w:t xml:space="preserve"> integrācijas iespējas darba tirgū. Šajā periodā arī LM īstenoja vairākus atbalsta pasākumus</w:t>
      </w:r>
      <w:r w:rsidR="00F705B4" w:rsidRPr="00F705B4">
        <w:rPr>
          <w:bCs/>
        </w:rPr>
        <w:t xml:space="preserve"> </w:t>
      </w:r>
      <w:r w:rsidR="00F705B4">
        <w:rPr>
          <w:bCs/>
        </w:rPr>
        <w:t xml:space="preserve">sekmīgākai darba tirgus pieejamības nodrošināšanai, ņemot vērā tos, kas tiek nodrošināti </w:t>
      </w:r>
      <w:r w:rsidR="00D059E1">
        <w:rPr>
          <w:bCs/>
        </w:rPr>
        <w:t xml:space="preserve"> PMIF ietvaros</w:t>
      </w:r>
      <w:r w:rsidR="00F705B4">
        <w:rPr>
          <w:bCs/>
        </w:rPr>
        <w:t xml:space="preserve">. </w:t>
      </w:r>
      <w:r w:rsidR="005B78F7">
        <w:rPr>
          <w:bCs/>
        </w:rPr>
        <w:t>Š</w:t>
      </w:r>
      <w:r w:rsidR="005B78F7" w:rsidRPr="005B78F7">
        <w:rPr>
          <w:bCs/>
        </w:rPr>
        <w:t xml:space="preserve">ie pasākumi ietvēra gan latviešu valodas mentoru ieviešanu darba vidē, gan specializēto konsultantu nodrošināšanu, lai sniegtu atbalstu darba devējiem un darba ņēmējiem. Apvienojumā ar PMIF ietvaros nodrošināto atbalstu šī pieeja sekmēja sistēmisku pakalpojumu sniegšanu, tostarp veicinot </w:t>
      </w:r>
      <w:r w:rsidR="00E7635C">
        <w:rPr>
          <w:bCs/>
        </w:rPr>
        <w:t>mērķa grupu pārstāvju</w:t>
      </w:r>
      <w:r w:rsidR="005B78F7" w:rsidRPr="005B78F7">
        <w:rPr>
          <w:bCs/>
        </w:rPr>
        <w:t xml:space="preserve"> iespējas iesaistīties darba tirgū.</w:t>
      </w:r>
    </w:p>
    <w:p w14:paraId="426AB9CA" w14:textId="28882D1D" w:rsidR="0058264F" w:rsidRDefault="0058264F" w:rsidP="00FE02DA">
      <w:pPr>
        <w:rPr>
          <w:bCs/>
        </w:rPr>
      </w:pPr>
      <w:r w:rsidRPr="00FE02DA">
        <w:rPr>
          <w:bCs/>
        </w:rPr>
        <w:t xml:space="preserve">Būtisks </w:t>
      </w:r>
      <w:r>
        <w:rPr>
          <w:bCs/>
        </w:rPr>
        <w:t xml:space="preserve">rezultāts, ko identificē gan deleģētā iestāde, gan finansējuma saņēmēji </w:t>
      </w:r>
      <w:r w:rsidRPr="00FE02DA">
        <w:rPr>
          <w:bCs/>
        </w:rPr>
        <w:t>bija starpinstitucionālās sadarbības attīstīšana. Izveidojās stabils finansējuma saņēmēju loks, kas nodrošināja kvalitatīvus pakalpojumus</w:t>
      </w:r>
      <w:r>
        <w:rPr>
          <w:bCs/>
        </w:rPr>
        <w:t xml:space="preserve">, </w:t>
      </w:r>
      <w:r w:rsidRPr="00FE02DA">
        <w:rPr>
          <w:bCs/>
        </w:rPr>
        <w:t xml:space="preserve">un tika izveidota efektīva sadarbība ar valsts institūcijām, piemēram, Valsts izglītības satura centru un Latviešu valodas aģentūru. </w:t>
      </w:r>
    </w:p>
    <w:p w14:paraId="3B4277D8" w14:textId="12B42C8A" w:rsidR="008F0E02" w:rsidRPr="00003736" w:rsidRDefault="008F0E02" w:rsidP="00FE02DA">
      <w:pPr>
        <w:rPr>
          <w:b/>
        </w:rPr>
      </w:pPr>
      <w:r w:rsidRPr="00003736">
        <w:rPr>
          <w:b/>
        </w:rPr>
        <w:t>Valodas apguves prioritāte un sociālā integrācija</w:t>
      </w:r>
    </w:p>
    <w:p w14:paraId="16D3CFD8" w14:textId="3A2972CB" w:rsidR="00CA52BE" w:rsidRDefault="00F46F3E" w:rsidP="00FE02DA">
      <w:pPr>
        <w:rPr>
          <w:bCs/>
        </w:rPr>
      </w:pPr>
      <w:r>
        <w:rPr>
          <w:bCs/>
        </w:rPr>
        <w:t>Integrācijas aktivitāšu ietvaros ī</w:t>
      </w:r>
      <w:r w:rsidR="00FE02DA" w:rsidRPr="00FE02DA">
        <w:rPr>
          <w:bCs/>
        </w:rPr>
        <w:t>paša uzmanība tika pievērsta valsts valodas apguvei, kas identificēta kā būtiskākais integrācijas elements, jo tieši valodas prasmes nosaka personas spēju iekļauties darba tirgū un vietējā kopienā.</w:t>
      </w:r>
      <w:r w:rsidR="007F4E82">
        <w:rPr>
          <w:bCs/>
        </w:rPr>
        <w:t xml:space="preserve"> </w:t>
      </w:r>
      <w:r w:rsidR="00CA52BE">
        <w:rPr>
          <w:bCs/>
        </w:rPr>
        <w:t xml:space="preserve">Ņemot vērā nākotnes prognozes, kas paredz darbaspēka trūkumu </w:t>
      </w:r>
      <w:r w:rsidR="00CB6767">
        <w:rPr>
          <w:bCs/>
        </w:rPr>
        <w:t>dažādās nozarēs, ir aktualizējies jautājums par ārvalstu darbaspēka piesaisti.</w:t>
      </w:r>
      <w:r w:rsidR="005B4370">
        <w:rPr>
          <w:bCs/>
        </w:rPr>
        <w:t xml:space="preserve"> </w:t>
      </w:r>
      <w:r w:rsidR="00173A7E">
        <w:rPr>
          <w:bCs/>
        </w:rPr>
        <w:t>Latvijā t</w:t>
      </w:r>
      <w:r w:rsidR="005B4370">
        <w:rPr>
          <w:bCs/>
        </w:rPr>
        <w:t xml:space="preserve">iek strādāts </w:t>
      </w:r>
      <w:r w:rsidR="00173A7E">
        <w:rPr>
          <w:bCs/>
        </w:rPr>
        <w:t xml:space="preserve">pie </w:t>
      </w:r>
      <w:r w:rsidR="005B4370">
        <w:rPr>
          <w:bCs/>
        </w:rPr>
        <w:t>“zaļ</w:t>
      </w:r>
      <w:r w:rsidR="00173A7E">
        <w:rPr>
          <w:bCs/>
        </w:rPr>
        <w:t>ā</w:t>
      </w:r>
      <w:r w:rsidR="005B4370">
        <w:rPr>
          <w:bCs/>
        </w:rPr>
        <w:t xml:space="preserve"> koridor</w:t>
      </w:r>
      <w:r w:rsidR="00173A7E">
        <w:rPr>
          <w:bCs/>
        </w:rPr>
        <w:t>a</w:t>
      </w:r>
      <w:r w:rsidR="005B4370">
        <w:rPr>
          <w:bCs/>
        </w:rPr>
        <w:t>”</w:t>
      </w:r>
      <w:r w:rsidR="00173A7E">
        <w:rPr>
          <w:bCs/>
        </w:rPr>
        <w:t xml:space="preserve"> izveides</w:t>
      </w:r>
      <w:r w:rsidR="005B4370">
        <w:rPr>
          <w:bCs/>
        </w:rPr>
        <w:t xml:space="preserve"> ārvalstu darbaspēka piesaistei, lai nodrošinātu pārdomātu un vienotu imigrācijas politiku un </w:t>
      </w:r>
      <w:r w:rsidR="008972E4">
        <w:rPr>
          <w:bCs/>
        </w:rPr>
        <w:t>TVP</w:t>
      </w:r>
      <w:r w:rsidR="005B4370">
        <w:rPr>
          <w:bCs/>
        </w:rPr>
        <w:t xml:space="preserve"> </w:t>
      </w:r>
      <w:r w:rsidR="005B4370">
        <w:rPr>
          <w:bCs/>
        </w:rPr>
        <w:lastRenderedPageBreak/>
        <w:t>darbaspēka pieejamību.</w:t>
      </w:r>
      <w:r w:rsidR="00173A7E">
        <w:rPr>
          <w:rStyle w:val="Vresatsauce"/>
          <w:bCs/>
        </w:rPr>
        <w:footnoteReference w:id="10"/>
      </w:r>
      <w:r w:rsidR="005B4370">
        <w:rPr>
          <w:bCs/>
        </w:rPr>
        <w:t xml:space="preserve"> Tādējādi </w:t>
      </w:r>
      <w:r w:rsidR="00C451FF">
        <w:rPr>
          <w:bCs/>
        </w:rPr>
        <w:t>latviešu valodas apguves iespēju nozīme</w:t>
      </w:r>
      <w:r w:rsidR="00CD774A">
        <w:rPr>
          <w:bCs/>
        </w:rPr>
        <w:t xml:space="preserve"> saglabāsies un pat pieaugs, lai nodrošinātu TVP </w:t>
      </w:r>
      <w:r w:rsidR="00CF71B1">
        <w:rPr>
          <w:bCs/>
        </w:rPr>
        <w:t xml:space="preserve">spēju iesaistīties darba tirgū. </w:t>
      </w:r>
      <w:r w:rsidR="007F4E82">
        <w:rPr>
          <w:bCs/>
        </w:rPr>
        <w:t xml:space="preserve">Tādēļ ir būtiski nodrošināt pieejamā finansējuma nepārtrauktību, izvairoties no pārtraukumiem pieejamā finansējuma plūsmā, lai nodrošinātu TVP iespējas turpināt </w:t>
      </w:r>
      <w:r w:rsidR="00C84D81">
        <w:rPr>
          <w:bCs/>
        </w:rPr>
        <w:t xml:space="preserve">valodas apguvi nākamajos līmeņos un nezaudēt jau iegūtās prasmes. </w:t>
      </w:r>
    </w:p>
    <w:p w14:paraId="63C0912B" w14:textId="10F15EF0" w:rsidR="001A0E2B" w:rsidRDefault="001A0E2B" w:rsidP="00FE02DA">
      <w:pPr>
        <w:rPr>
          <w:bCs/>
        </w:rPr>
      </w:pPr>
      <w:r>
        <w:rPr>
          <w:bCs/>
        </w:rPr>
        <w:t xml:space="preserve">Atbilstoši finansējuma saņēmēju un deleģētās iestādes datiem, </w:t>
      </w:r>
      <w:r w:rsidRPr="00FE02DA">
        <w:rPr>
          <w:bCs/>
        </w:rPr>
        <w:t>aptuveni 70</w:t>
      </w:r>
      <w:r w:rsidR="00BD1D5E">
        <w:rPr>
          <w:bCs/>
        </w:rPr>
        <w:t xml:space="preserve"> </w:t>
      </w:r>
      <w:r w:rsidRPr="00FE02DA">
        <w:rPr>
          <w:bCs/>
        </w:rPr>
        <w:t>% no integrācijas kursu uzsācējiem tos arī pabeidz, kas, ņemot vērā mērķa grupas mainīgo dabu, ir vērtējams kā labs rezultāts.</w:t>
      </w:r>
      <w:r>
        <w:rPr>
          <w:bCs/>
        </w:rPr>
        <w:t xml:space="preserve"> Vienlaikus </w:t>
      </w:r>
      <w:r w:rsidR="00FE02DA" w:rsidRPr="00FE02DA">
        <w:rPr>
          <w:bCs/>
        </w:rPr>
        <w:t>Programmas ietvaros tika organizēt</w:t>
      </w:r>
      <w:r w:rsidR="00CE5340">
        <w:rPr>
          <w:bCs/>
        </w:rPr>
        <w:t>i</w:t>
      </w:r>
      <w:r w:rsidR="00CB4150">
        <w:rPr>
          <w:bCs/>
        </w:rPr>
        <w:t xml:space="preserve"> </w:t>
      </w:r>
      <w:r w:rsidR="00FE02DA" w:rsidRPr="00FE02DA">
        <w:rPr>
          <w:bCs/>
        </w:rPr>
        <w:t xml:space="preserve">sarunvalodas klubi, kas veicināja migrantu mijiedarbību ar vietējo sabiedrību. </w:t>
      </w:r>
    </w:p>
    <w:p w14:paraId="6A436664" w14:textId="6D7680B1" w:rsidR="0072206B" w:rsidRPr="004446B3" w:rsidRDefault="005A6FE7" w:rsidP="0072206B">
      <w:pPr>
        <w:rPr>
          <w:bCs/>
        </w:rPr>
      </w:pPr>
      <w:r w:rsidRPr="004446B3">
        <w:rPr>
          <w:bCs/>
        </w:rPr>
        <w:t xml:space="preserve">Ekspertu paneļa dalībnieki norāda uz nepieciešamību nākotnē nodrošināt lielāku savstarpējo koordināciju starp dažādu iestāžu organizētajiem </w:t>
      </w:r>
      <w:r w:rsidR="00DC6612" w:rsidRPr="004446B3">
        <w:rPr>
          <w:bCs/>
        </w:rPr>
        <w:t xml:space="preserve">integrācijas pasākumiem, lai nodrošinātu efektīvāku līdzekļu apguvi un plānveidīgāku integrācijas politikas ieviešanu. Tas atbilst arī </w:t>
      </w:r>
      <w:r w:rsidR="00B3316E" w:rsidRPr="004446B3">
        <w:rPr>
          <w:bCs/>
        </w:rPr>
        <w:t>Valsts Kontroles veikt</w:t>
      </w:r>
      <w:r w:rsidR="00DC6612" w:rsidRPr="004446B3">
        <w:rPr>
          <w:bCs/>
        </w:rPr>
        <w:t>ajai</w:t>
      </w:r>
      <w:r w:rsidR="00B3316E" w:rsidRPr="004446B3">
        <w:rPr>
          <w:bCs/>
        </w:rPr>
        <w:t xml:space="preserve"> izpēte</w:t>
      </w:r>
      <w:r w:rsidR="00DC6612" w:rsidRPr="004446B3">
        <w:rPr>
          <w:bCs/>
        </w:rPr>
        <w:t>i</w:t>
      </w:r>
      <w:r w:rsidR="00B3316E" w:rsidRPr="004446B3">
        <w:rPr>
          <w:rStyle w:val="Vresatsauce"/>
          <w:bCs/>
        </w:rPr>
        <w:footnoteReference w:id="11"/>
      </w:r>
      <w:r w:rsidR="00B3316E" w:rsidRPr="004446B3">
        <w:rPr>
          <w:bCs/>
        </w:rPr>
        <w:t>,</w:t>
      </w:r>
      <w:r w:rsidR="00DC6612" w:rsidRPr="004446B3">
        <w:rPr>
          <w:bCs/>
        </w:rPr>
        <w:t xml:space="preserve"> kurā tiek secināts, ka</w:t>
      </w:r>
      <w:r w:rsidR="00B3316E" w:rsidRPr="004446B3">
        <w:rPr>
          <w:bCs/>
        </w:rPr>
        <w:t xml:space="preserve"> valstiskā līmenī </w:t>
      </w:r>
      <w:r w:rsidR="0072206B" w:rsidRPr="004446B3">
        <w:rPr>
          <w:bCs/>
        </w:rPr>
        <w:t>latviešu valodas apguves sistēma</w:t>
      </w:r>
      <w:r w:rsidR="00B3316E" w:rsidRPr="004446B3">
        <w:rPr>
          <w:bCs/>
        </w:rPr>
        <w:t>i nepieciešami būtiski uzlabojumi</w:t>
      </w:r>
      <w:r w:rsidR="0072206B" w:rsidRPr="004446B3">
        <w:rPr>
          <w:bCs/>
        </w:rPr>
        <w:t>.</w:t>
      </w:r>
      <w:r w:rsidR="00B3316E" w:rsidRPr="004446B3">
        <w:rPr>
          <w:bCs/>
        </w:rPr>
        <w:t xml:space="preserve"> Eso</w:t>
      </w:r>
      <w:r w:rsidR="0093155B" w:rsidRPr="004446B3">
        <w:rPr>
          <w:bCs/>
        </w:rPr>
        <w:t xml:space="preserve">šajā situācijā Latvijā nav izveidota vienota un koordinēta mācību sistēma, lai gan </w:t>
      </w:r>
      <w:r w:rsidR="0072206B" w:rsidRPr="004446B3">
        <w:rPr>
          <w:bCs/>
        </w:rPr>
        <w:t>latviešu valodas mācības pieaugušajiem ir būtiska sabiedrības saliedētības komponent</w:t>
      </w:r>
      <w:r w:rsidR="0093155B" w:rsidRPr="004446B3">
        <w:rPr>
          <w:bCs/>
        </w:rPr>
        <w:t>e</w:t>
      </w:r>
      <w:r w:rsidR="0072206B" w:rsidRPr="004446B3">
        <w:rPr>
          <w:bCs/>
        </w:rPr>
        <w:t>. Apmācību īstenošanā ir iesaistītas vairākas institūcijas — trīs ministrijas,</w:t>
      </w:r>
      <w:r w:rsidR="0093155B" w:rsidRPr="004446B3">
        <w:rPr>
          <w:bCs/>
        </w:rPr>
        <w:t xml:space="preserve"> tostarp Kultūras ministrija,</w:t>
      </w:r>
      <w:r w:rsidR="0072206B" w:rsidRPr="004446B3">
        <w:rPr>
          <w:bCs/>
        </w:rPr>
        <w:t xml:space="preserve"> divas</w:t>
      </w:r>
      <w:r w:rsidR="00D55268" w:rsidRPr="004446B3">
        <w:rPr>
          <w:bCs/>
        </w:rPr>
        <w:t xml:space="preserve"> valsts</w:t>
      </w:r>
      <w:r w:rsidR="0072206B" w:rsidRPr="004446B3">
        <w:rPr>
          <w:bCs/>
        </w:rPr>
        <w:t xml:space="preserve"> iestādes, kā arī pašvaldības— to savstarpējā koordinācija ir nepietiekama.</w:t>
      </w:r>
    </w:p>
    <w:p w14:paraId="426B0FE9" w14:textId="5ED4FB26" w:rsidR="0072206B" w:rsidRDefault="00D55268" w:rsidP="00FE02DA">
      <w:pPr>
        <w:rPr>
          <w:bCs/>
        </w:rPr>
      </w:pPr>
      <w:r w:rsidRPr="004446B3">
        <w:rPr>
          <w:bCs/>
        </w:rPr>
        <w:t>Kā bū</w:t>
      </w:r>
      <w:r w:rsidR="0072206B" w:rsidRPr="004446B3">
        <w:rPr>
          <w:bCs/>
        </w:rPr>
        <w:t xml:space="preserve">tisks trūkums </w:t>
      </w:r>
      <w:r w:rsidRPr="004446B3">
        <w:rPr>
          <w:bCs/>
        </w:rPr>
        <w:t>tiek identificēts</w:t>
      </w:r>
      <w:r w:rsidR="0072206B" w:rsidRPr="004446B3">
        <w:rPr>
          <w:bCs/>
        </w:rPr>
        <w:t xml:space="preserve"> vienotu datu neesamība par mērķauditoriju, tās vajadzībām, mācību rezultātiem un finanšu izlietojumu</w:t>
      </w:r>
      <w:r w:rsidR="00EA306E" w:rsidRPr="004446B3">
        <w:rPr>
          <w:bCs/>
        </w:rPr>
        <w:t xml:space="preserve">, kas ir nozīmīgi </w:t>
      </w:r>
      <w:r w:rsidR="0072206B" w:rsidRPr="004446B3">
        <w:rPr>
          <w:bCs/>
        </w:rPr>
        <w:t>uz pierādījumiem balstītas politikas izstrādei.</w:t>
      </w:r>
      <w:r w:rsidR="00FA44C9" w:rsidRPr="004446B3">
        <w:rPr>
          <w:bCs/>
        </w:rPr>
        <w:t xml:space="preserve"> Ņemot vērā Valsts Kontroles sniegtos ieteikumus</w:t>
      </w:r>
      <w:r w:rsidR="00416210" w:rsidRPr="004446B3">
        <w:rPr>
          <w:bCs/>
        </w:rPr>
        <w:t>, kas paredz vienotas latviešu valodas mācību pieaugušajiem sistēmas izveidi, gan nodrošinot vienotu pieteikšanās sistēmu, gan</w:t>
      </w:r>
      <w:r w:rsidR="00D07FBC" w:rsidRPr="004446B3">
        <w:rPr>
          <w:bCs/>
        </w:rPr>
        <w:t xml:space="preserve"> </w:t>
      </w:r>
      <w:r w:rsidR="00B5187B" w:rsidRPr="004446B3">
        <w:rPr>
          <w:bCs/>
        </w:rPr>
        <w:t>apmācību organizēšanā iesai</w:t>
      </w:r>
      <w:r w:rsidR="00D07FBC" w:rsidRPr="004446B3">
        <w:rPr>
          <w:bCs/>
        </w:rPr>
        <w:t>stīto iestāžu skaita samazināšanu</w:t>
      </w:r>
      <w:r w:rsidR="00AE5C0E" w:rsidRPr="004446B3">
        <w:rPr>
          <w:rStyle w:val="Vresatsauce"/>
          <w:bCs/>
        </w:rPr>
        <w:footnoteReference w:id="12"/>
      </w:r>
      <w:r w:rsidR="00D07FBC" w:rsidRPr="004446B3">
        <w:rPr>
          <w:bCs/>
        </w:rPr>
        <w:t xml:space="preserve">, tas potenciāli </w:t>
      </w:r>
      <w:r w:rsidR="0033533C" w:rsidRPr="004446B3">
        <w:rPr>
          <w:bCs/>
        </w:rPr>
        <w:t>var ietekmēt</w:t>
      </w:r>
      <w:r w:rsidR="00D07FBC" w:rsidRPr="004446B3">
        <w:rPr>
          <w:bCs/>
        </w:rPr>
        <w:t xml:space="preserve"> arī turpmāko PMIF ietvaros </w:t>
      </w:r>
      <w:r w:rsidR="00AE5C0E" w:rsidRPr="004446B3">
        <w:rPr>
          <w:bCs/>
        </w:rPr>
        <w:t>plānoto integrācijas atbalsta pasākumu plānošanu un īstenošanu.</w:t>
      </w:r>
      <w:r w:rsidR="0078509B" w:rsidRPr="004446B3">
        <w:rPr>
          <w:bCs/>
        </w:rPr>
        <w:t xml:space="preserve"> Piemēram, kā ekspertu paneļa ietvaros norādīja IZM pārstāve, </w:t>
      </w:r>
      <w:r w:rsidR="000D7E77" w:rsidRPr="004446B3">
        <w:rPr>
          <w:bCs/>
        </w:rPr>
        <w:t xml:space="preserve">jau šobrīd notiek darbs pie vienotas valodas apmācības sistēmas pieaugušajiem izstrādi, </w:t>
      </w:r>
      <w:r w:rsidR="00626D83" w:rsidRPr="004446B3">
        <w:rPr>
          <w:bCs/>
        </w:rPr>
        <w:t xml:space="preserve">nosakot vienotas kvalitātes </w:t>
      </w:r>
      <w:r w:rsidR="00274389" w:rsidRPr="004446B3">
        <w:rPr>
          <w:bCs/>
        </w:rPr>
        <w:t>prasības</w:t>
      </w:r>
      <w:r w:rsidR="00626D83" w:rsidRPr="004446B3">
        <w:rPr>
          <w:bCs/>
        </w:rPr>
        <w:t xml:space="preserve"> visiem kursu organizētājiem</w:t>
      </w:r>
      <w:r w:rsidR="00274389" w:rsidRPr="004446B3">
        <w:rPr>
          <w:bCs/>
        </w:rPr>
        <w:t>.</w:t>
      </w:r>
    </w:p>
    <w:p w14:paraId="220412F5" w14:textId="6A1E03E3" w:rsidR="00291F08" w:rsidRPr="00003736" w:rsidRDefault="00E20112" w:rsidP="00FE02DA">
      <w:pPr>
        <w:rPr>
          <w:b/>
        </w:rPr>
      </w:pPr>
      <w:r>
        <w:rPr>
          <w:b/>
        </w:rPr>
        <w:t>IT sistēmu</w:t>
      </w:r>
      <w:r w:rsidR="00E15DF7">
        <w:rPr>
          <w:b/>
        </w:rPr>
        <w:t xml:space="preserve"> </w:t>
      </w:r>
      <w:r w:rsidR="00291F08" w:rsidRPr="00003736">
        <w:rPr>
          <w:b/>
        </w:rPr>
        <w:t>attīstība</w:t>
      </w:r>
    </w:p>
    <w:p w14:paraId="348AC3B3" w14:textId="798E8243" w:rsidR="000913A5" w:rsidRDefault="000913A5" w:rsidP="00FE02DA">
      <w:pPr>
        <w:rPr>
          <w:bCs/>
        </w:rPr>
      </w:pPr>
      <w:r>
        <w:rPr>
          <w:bCs/>
        </w:rPr>
        <w:t xml:space="preserve">Gan UK pārstāvji, gan ekspertu paneļa dalībnieki izcēla </w:t>
      </w:r>
      <w:r w:rsidR="00A24C07">
        <w:rPr>
          <w:bCs/>
        </w:rPr>
        <w:t>IS</w:t>
      </w:r>
      <w:r>
        <w:rPr>
          <w:bCs/>
        </w:rPr>
        <w:t xml:space="preserve"> attīstību, kā būtisku element</w:t>
      </w:r>
      <w:r w:rsidR="00314293">
        <w:rPr>
          <w:bCs/>
        </w:rPr>
        <w:t>u</w:t>
      </w:r>
      <w:r>
        <w:rPr>
          <w:bCs/>
        </w:rPr>
        <w:t xml:space="preserve"> patvēruma sistēmas stiprināšanā. </w:t>
      </w:r>
      <w:r w:rsidR="009A29D0">
        <w:rPr>
          <w:bCs/>
        </w:rPr>
        <w:t xml:space="preserve">Tas ir sekmējis atbilstību Eiropas vienotajai patvēruma sistēmai un Dublinas </w:t>
      </w:r>
      <w:r w:rsidR="00A718AA">
        <w:rPr>
          <w:bCs/>
        </w:rPr>
        <w:t>regulas</w:t>
      </w:r>
      <w:r w:rsidR="00D6682E">
        <w:rPr>
          <w:rStyle w:val="Vresatsauce"/>
          <w:bCs/>
        </w:rPr>
        <w:footnoteReference w:id="13"/>
      </w:r>
      <w:r w:rsidR="00A718AA">
        <w:rPr>
          <w:bCs/>
        </w:rPr>
        <w:t xml:space="preserve"> prasību </w:t>
      </w:r>
      <w:r w:rsidR="00314293">
        <w:rPr>
          <w:bCs/>
        </w:rPr>
        <w:t xml:space="preserve">nodrošināšanu. </w:t>
      </w:r>
      <w:r w:rsidR="00435EA2">
        <w:rPr>
          <w:bCs/>
        </w:rPr>
        <w:t>A</w:t>
      </w:r>
      <w:r w:rsidR="004B0108">
        <w:rPr>
          <w:bCs/>
        </w:rPr>
        <w:t xml:space="preserve">r </w:t>
      </w:r>
      <w:r w:rsidR="007A09D8">
        <w:rPr>
          <w:bCs/>
        </w:rPr>
        <w:t>PMIF atbalstu ir uzlabotas datu apstrādes iespējas un efektivitāte,</w:t>
      </w:r>
      <w:r w:rsidR="00A70829">
        <w:rPr>
          <w:bCs/>
        </w:rPr>
        <w:t xml:space="preserve"> ne tikai palielinot kapacitāti, bet arī samazinot manuālā darba apjomu. </w:t>
      </w:r>
    </w:p>
    <w:p w14:paraId="52236368" w14:textId="63BEBE04" w:rsidR="00A70829" w:rsidRDefault="00343DF4" w:rsidP="00A70829">
      <w:pPr>
        <w:rPr>
          <w:bCs/>
        </w:rPr>
      </w:pPr>
      <w:r>
        <w:rPr>
          <w:bCs/>
        </w:rPr>
        <w:t>PMIF ietvaros ir veicināta</w:t>
      </w:r>
      <w:r w:rsidR="00A70829" w:rsidRPr="00EC1BCA">
        <w:rPr>
          <w:bCs/>
        </w:rPr>
        <w:t xml:space="preserve"> efektīv</w:t>
      </w:r>
      <w:r>
        <w:rPr>
          <w:bCs/>
        </w:rPr>
        <w:t>a</w:t>
      </w:r>
      <w:r w:rsidR="00A70829" w:rsidRPr="00EC1BCA">
        <w:rPr>
          <w:bCs/>
        </w:rPr>
        <w:t xml:space="preserve"> informācijas apmaiņu starp institūcijām, īpaši starp PMLP un VRS. Patvēruma meklētāju reģistra integrācija ar </w:t>
      </w:r>
      <w:r w:rsidR="0007412F">
        <w:rPr>
          <w:bCs/>
        </w:rPr>
        <w:t>BDAS</w:t>
      </w:r>
      <w:r w:rsidR="00A70829" w:rsidRPr="00EC1BCA">
        <w:rPr>
          <w:bCs/>
        </w:rPr>
        <w:t xml:space="preserve"> un citām </w:t>
      </w:r>
      <w:r w:rsidR="00A24C07">
        <w:rPr>
          <w:bCs/>
        </w:rPr>
        <w:t>IS</w:t>
      </w:r>
      <w:r w:rsidR="00A70829" w:rsidRPr="00EC1BCA">
        <w:rPr>
          <w:bCs/>
        </w:rPr>
        <w:t xml:space="preserve"> nodrošina automātisku datu apmaiņu un piekļuvi attiecīgajām institūcijām. Vienlaikus </w:t>
      </w:r>
      <w:r w:rsidR="00A24C07">
        <w:rPr>
          <w:bCs/>
        </w:rPr>
        <w:t>IS</w:t>
      </w:r>
      <w:r w:rsidR="00A70829" w:rsidRPr="00EC1BCA">
        <w:rPr>
          <w:bCs/>
        </w:rPr>
        <w:t xml:space="preserve"> attīstība ir paplašinājusi imigrācijas kontroles iespējas, ļaujot savlaicīgi identificēt personas, kurām uzturēšanās atļaujas ir anulētas.</w:t>
      </w:r>
      <w:r w:rsidR="00A70829">
        <w:rPr>
          <w:bCs/>
        </w:rPr>
        <w:t xml:space="preserve"> </w:t>
      </w:r>
      <w:r w:rsidR="00A70829" w:rsidRPr="00882E48">
        <w:rPr>
          <w:bCs/>
        </w:rPr>
        <w:t>Šāda sistēmu integrācija ir ievērojami samazinājusi administratīvo slogu, novēršot nepieciešamību pārsūtīt oficiālo informāciju papīra formātā.</w:t>
      </w:r>
    </w:p>
    <w:p w14:paraId="32A96174" w14:textId="5C65D9A0" w:rsidR="00A70829" w:rsidRDefault="00A70829" w:rsidP="00A70829">
      <w:pPr>
        <w:rPr>
          <w:bCs/>
        </w:rPr>
      </w:pPr>
      <w:r w:rsidRPr="00882E48">
        <w:rPr>
          <w:bCs/>
        </w:rPr>
        <w:lastRenderedPageBreak/>
        <w:t xml:space="preserve">Arī citu </w:t>
      </w:r>
      <w:r w:rsidR="00A24C07">
        <w:rPr>
          <w:bCs/>
        </w:rPr>
        <w:t>IS</w:t>
      </w:r>
      <w:r w:rsidRPr="00882E48">
        <w:rPr>
          <w:bCs/>
        </w:rPr>
        <w:t xml:space="preserve"> attīstība ir </w:t>
      </w:r>
      <w:r w:rsidR="00343DF4">
        <w:rPr>
          <w:bCs/>
        </w:rPr>
        <w:t>sekmējusi</w:t>
      </w:r>
      <w:r w:rsidRPr="00882E48">
        <w:rPr>
          <w:bCs/>
        </w:rPr>
        <w:t xml:space="preserve"> efektīvāku datu apmaiņu, un šī joma saglabās savu aktualitāti arī nākotnē. Piemēram, Migrācijas pakta kontekstā būs nepieciešams nodrošināt skrīninga procedūras, kā arī </w:t>
      </w:r>
      <w:r w:rsidR="003450CB">
        <w:rPr>
          <w:bCs/>
        </w:rPr>
        <w:t>ES</w:t>
      </w:r>
      <w:r w:rsidRPr="00882E48">
        <w:rPr>
          <w:bCs/>
        </w:rPr>
        <w:t xml:space="preserve"> līmenī tiek plānota vienotas migrācijas </w:t>
      </w:r>
      <w:r w:rsidR="00A24C07">
        <w:rPr>
          <w:bCs/>
        </w:rPr>
        <w:t>IS</w:t>
      </w:r>
      <w:r w:rsidRPr="00882E48">
        <w:rPr>
          <w:bCs/>
        </w:rPr>
        <w:t xml:space="preserve"> izveide, kam būs nepieciešama sasaiste ar nacionālā līmeņa reģistriem.</w:t>
      </w:r>
    </w:p>
    <w:p w14:paraId="1CC78897" w14:textId="6EC4C37A" w:rsidR="00D121A6" w:rsidRPr="00882E48" w:rsidRDefault="00D121A6" w:rsidP="00FE02DA">
      <w:pPr>
        <w:rPr>
          <w:bCs/>
        </w:rPr>
      </w:pPr>
      <w:r w:rsidRPr="00003736">
        <w:rPr>
          <w:b/>
        </w:rPr>
        <w:t>PMIF ietekme uz integrācijas procesu pilnveidošanu</w:t>
      </w:r>
    </w:p>
    <w:p w14:paraId="3D8EF659" w14:textId="6467847E" w:rsidR="00B77994" w:rsidRDefault="00D869A1" w:rsidP="00332598">
      <w:pPr>
        <w:rPr>
          <w:bCs/>
        </w:rPr>
      </w:pPr>
      <w:r>
        <w:rPr>
          <w:bCs/>
        </w:rPr>
        <w:t>PMIF ietvaros t</w:t>
      </w:r>
      <w:r w:rsidRPr="00D869A1">
        <w:rPr>
          <w:bCs/>
        </w:rPr>
        <w:t xml:space="preserve">ika nodrošināta visaptveroša pieeja </w:t>
      </w:r>
      <w:r w:rsidR="008972E4">
        <w:rPr>
          <w:bCs/>
        </w:rPr>
        <w:t>TVP</w:t>
      </w:r>
      <w:r w:rsidR="00E60AB6">
        <w:rPr>
          <w:bCs/>
        </w:rPr>
        <w:t xml:space="preserve"> un </w:t>
      </w:r>
      <w:r w:rsidRPr="00D869A1">
        <w:rPr>
          <w:bCs/>
        </w:rPr>
        <w:t>nepilsoņu integrācijai vietējā un reģionālā līmenī. Īstenoto pasākumu centrā bija administratīvās kapacitātes stiprināšana</w:t>
      </w:r>
      <w:r w:rsidR="003813A8">
        <w:rPr>
          <w:bCs/>
        </w:rPr>
        <w:t xml:space="preserve"> trīs būtiskās jomās </w:t>
      </w:r>
      <w:r w:rsidR="000151C5">
        <w:rPr>
          <w:rFonts w:cstheme="minorHAnsi"/>
        </w:rPr>
        <w:t>–</w:t>
      </w:r>
      <w:r w:rsidR="003813A8">
        <w:rPr>
          <w:bCs/>
        </w:rPr>
        <w:t xml:space="preserve"> </w:t>
      </w:r>
      <w:r w:rsidRPr="00D869A1">
        <w:rPr>
          <w:bCs/>
        </w:rPr>
        <w:t>integrācijas, legāl</w:t>
      </w:r>
      <w:r w:rsidR="003813A8">
        <w:rPr>
          <w:bCs/>
        </w:rPr>
        <w:t>aj</w:t>
      </w:r>
      <w:r w:rsidRPr="00D869A1">
        <w:rPr>
          <w:bCs/>
        </w:rPr>
        <w:t>ā migrācij</w:t>
      </w:r>
      <w:r w:rsidR="003813A8">
        <w:rPr>
          <w:bCs/>
        </w:rPr>
        <w:t>ā</w:t>
      </w:r>
      <w:r w:rsidRPr="00D869A1">
        <w:rPr>
          <w:bCs/>
        </w:rPr>
        <w:t xml:space="preserve"> un naturalizācijā, </w:t>
      </w:r>
      <w:r w:rsidR="00B77994">
        <w:rPr>
          <w:bCs/>
        </w:rPr>
        <w:t xml:space="preserve">vienlaikus izveidojot </w:t>
      </w:r>
      <w:r w:rsidRPr="00D869A1">
        <w:rPr>
          <w:bCs/>
        </w:rPr>
        <w:t>konsultatīv</w:t>
      </w:r>
      <w:r w:rsidR="00B77994">
        <w:rPr>
          <w:bCs/>
        </w:rPr>
        <w:t>ās</w:t>
      </w:r>
      <w:r w:rsidRPr="00D869A1">
        <w:rPr>
          <w:bCs/>
        </w:rPr>
        <w:t xml:space="preserve"> platform</w:t>
      </w:r>
      <w:r w:rsidR="00B77994">
        <w:rPr>
          <w:bCs/>
        </w:rPr>
        <w:t>as</w:t>
      </w:r>
      <w:r w:rsidRPr="00D869A1">
        <w:rPr>
          <w:bCs/>
        </w:rPr>
        <w:t xml:space="preserve"> starpkultūru dialoga veicināšanai. </w:t>
      </w:r>
    </w:p>
    <w:p w14:paraId="773809AA" w14:textId="6DB6F733" w:rsidR="00670620" w:rsidRDefault="008829EE" w:rsidP="00332598">
      <w:pPr>
        <w:rPr>
          <w:bCs/>
        </w:rPr>
      </w:pPr>
      <w:r>
        <w:rPr>
          <w:bCs/>
        </w:rPr>
        <w:t xml:space="preserve">Programmas </w:t>
      </w:r>
      <w:r w:rsidR="00614BD1">
        <w:rPr>
          <w:bCs/>
        </w:rPr>
        <w:t xml:space="preserve">īstenošanās laikā </w:t>
      </w:r>
      <w:r w:rsidR="00D869A1" w:rsidRPr="00D869A1">
        <w:rPr>
          <w:bCs/>
        </w:rPr>
        <w:t>tika pievērsta</w:t>
      </w:r>
      <w:r w:rsidR="00614BD1">
        <w:rPr>
          <w:bCs/>
        </w:rPr>
        <w:t xml:space="preserve"> uzmanība</w:t>
      </w:r>
      <w:r w:rsidR="00D869A1" w:rsidRPr="00D869A1">
        <w:rPr>
          <w:bCs/>
        </w:rPr>
        <w:t xml:space="preserve"> standartizētu integrācijas kursu nodrošināšanai un specifisko programmu izstrādei, īpaši atbalstot starptautiskās aizsardzības saņēmējus. </w:t>
      </w:r>
      <w:r w:rsidR="00246006">
        <w:rPr>
          <w:bCs/>
        </w:rPr>
        <w:t>Integrācijas process t</w:t>
      </w:r>
      <w:r w:rsidR="00D869A1" w:rsidRPr="00D869A1">
        <w:rPr>
          <w:bCs/>
        </w:rPr>
        <w:t xml:space="preserve">ika </w:t>
      </w:r>
      <w:r w:rsidR="00246006">
        <w:rPr>
          <w:bCs/>
        </w:rPr>
        <w:t>stiprināts ar mērķtiecīgiem pasāk</w:t>
      </w:r>
      <w:r w:rsidR="00C47230">
        <w:rPr>
          <w:bCs/>
        </w:rPr>
        <w:t xml:space="preserve">umiem </w:t>
      </w:r>
      <w:r w:rsidR="000151C5">
        <w:rPr>
          <w:rFonts w:cstheme="minorHAnsi"/>
        </w:rPr>
        <w:t>–</w:t>
      </w:r>
      <w:r w:rsidR="00C47230">
        <w:rPr>
          <w:bCs/>
        </w:rPr>
        <w:t xml:space="preserve"> tika</w:t>
      </w:r>
      <w:r w:rsidR="00246006" w:rsidRPr="00D869A1">
        <w:rPr>
          <w:bCs/>
        </w:rPr>
        <w:t xml:space="preserve"> </w:t>
      </w:r>
      <w:r w:rsidR="00C47230">
        <w:rPr>
          <w:bCs/>
        </w:rPr>
        <w:t xml:space="preserve">uzlabota </w:t>
      </w:r>
      <w:r w:rsidR="00D869A1" w:rsidRPr="00D869A1">
        <w:rPr>
          <w:bCs/>
        </w:rPr>
        <w:t>informācijas pieejamība, nodrošināti</w:t>
      </w:r>
      <w:r w:rsidR="00A209F5">
        <w:rPr>
          <w:bCs/>
        </w:rPr>
        <w:t>,</w:t>
      </w:r>
      <w:r w:rsidR="00D869A1" w:rsidRPr="00D869A1">
        <w:rPr>
          <w:bCs/>
        </w:rPr>
        <w:t xml:space="preserve"> </w:t>
      </w:r>
      <w:r w:rsidR="00C47230">
        <w:rPr>
          <w:bCs/>
        </w:rPr>
        <w:t xml:space="preserve">pielāgoti </w:t>
      </w:r>
      <w:r w:rsidR="00D869A1" w:rsidRPr="00D869A1">
        <w:rPr>
          <w:bCs/>
        </w:rPr>
        <w:t xml:space="preserve">valodu kursi dažādām mērķa grupām un </w:t>
      </w:r>
      <w:r w:rsidR="0004410A">
        <w:rPr>
          <w:bCs/>
        </w:rPr>
        <w:t>īstenota</w:t>
      </w:r>
      <w:r w:rsidR="00D869A1" w:rsidRPr="00D869A1">
        <w:rPr>
          <w:bCs/>
        </w:rPr>
        <w:t xml:space="preserve"> sabiedrības izpratne</w:t>
      </w:r>
      <w:r w:rsidR="0004410A">
        <w:rPr>
          <w:bCs/>
        </w:rPr>
        <w:t>s veicināšana</w:t>
      </w:r>
      <w:r w:rsidR="00D869A1" w:rsidRPr="00D869A1">
        <w:rPr>
          <w:bCs/>
        </w:rPr>
        <w:t xml:space="preserve">, izmantojot plašsaziņas līdzekļus. </w:t>
      </w:r>
    </w:p>
    <w:p w14:paraId="004BFD3E" w14:textId="2D6C320C" w:rsidR="00332598" w:rsidRPr="0037346E" w:rsidRDefault="00747931" w:rsidP="00E77EED">
      <w:pPr>
        <w:rPr>
          <w:bCs/>
        </w:rPr>
      </w:pPr>
      <w:r>
        <w:rPr>
          <w:bCs/>
        </w:rPr>
        <w:t>2020. gadā publicētais Migrantu integrācijas politikas indekss (MIPEX)</w:t>
      </w:r>
      <w:r w:rsidR="00832DF4">
        <w:rPr>
          <w:bCs/>
        </w:rPr>
        <w:t xml:space="preserve"> norāda, ka Latvija kopš 2015.gada ir uzlabojusi integrācijas politiku, nodrošināt vienlīdzīgākas iespējas u</w:t>
      </w:r>
      <w:r w:rsidR="00E02196">
        <w:rPr>
          <w:bCs/>
        </w:rPr>
        <w:t>n tādas pamattiesības kā tiesības uz veselības aprūpi un pilsonību. Savukārt tādos aspektos, kā ned</w:t>
      </w:r>
      <w:r w:rsidR="00A8408B">
        <w:rPr>
          <w:bCs/>
        </w:rPr>
        <w:t>iskriminācija, izglītība, politiskā līdzdalība un darba tirgus mobilitāte būtiskas izmaiņas nav novērotas.</w:t>
      </w:r>
      <w:r w:rsidR="00A8408B">
        <w:rPr>
          <w:rStyle w:val="Vresatsauce"/>
          <w:bCs/>
        </w:rPr>
        <w:footnoteReference w:id="14"/>
      </w:r>
      <w:r w:rsidR="00A8408B">
        <w:rPr>
          <w:bCs/>
        </w:rPr>
        <w:t xml:space="preserve">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646E0E02" w14:textId="77777777" w:rsidTr="00107F75">
        <w:tc>
          <w:tcPr>
            <w:tcW w:w="10252" w:type="dxa"/>
            <w:shd w:val="clear" w:color="auto" w:fill="F3B8FF" w:themeFill="accent6" w:themeFillTint="33"/>
          </w:tcPr>
          <w:p w14:paraId="01062961" w14:textId="77777777" w:rsidR="00143135" w:rsidRPr="008F64A0" w:rsidRDefault="00143135" w:rsidP="00A239D8">
            <w:pPr>
              <w:rPr>
                <w:i/>
                <w:iCs/>
                <w:color w:val="5A5A5A" w:themeColor="accent1" w:themeTint="BF"/>
              </w:rPr>
            </w:pPr>
            <w:r w:rsidRPr="008F64A0">
              <w:rPr>
                <w:i/>
                <w:iCs/>
                <w:color w:val="5A5A5A" w:themeColor="accent1" w:themeTint="BF"/>
              </w:rPr>
              <w:t>Apakšjautājums: Kā fonds dalībvalstīs veicināja taisnīgu un efektīvu atgriešanas stratēģiju stiprināšanu, kas veicina nelegālās imigrācijas apkarošanu, uzsvaru liekot uz atgriešanas ilgtspēju un efektīvu atpakaļuzņemšanu izcelsmes un tranzīta valstīs?</w:t>
            </w:r>
          </w:p>
        </w:tc>
      </w:tr>
    </w:tbl>
    <w:p w14:paraId="6D1C3D2A" w14:textId="789C08CE" w:rsidR="00143135" w:rsidRDefault="00E80D7B" w:rsidP="00ED52A8">
      <w:pPr>
        <w:rPr>
          <w:bCs/>
        </w:rPr>
      </w:pPr>
      <w:r>
        <w:rPr>
          <w:bCs/>
        </w:rPr>
        <w:t>Programmas ietvaros i</w:t>
      </w:r>
      <w:r w:rsidR="0036307E" w:rsidRPr="0036307E">
        <w:rPr>
          <w:bCs/>
        </w:rPr>
        <w:t xml:space="preserve">r īstenota kompleksa pieeja atgriešanas procedūru nodrošināšanai, galveno uzmanību pievēršot brīvprātīgās atgriešanās veicināšanai un atbilstošu aizturēšanas un izmitināšanas apstākļu nodrošināšanai. </w:t>
      </w:r>
      <w:r w:rsidR="0063083B">
        <w:rPr>
          <w:bCs/>
        </w:rPr>
        <w:t>VRS</w:t>
      </w:r>
      <w:r w:rsidR="0036307E" w:rsidRPr="0036307E">
        <w:rPr>
          <w:bCs/>
        </w:rPr>
        <w:t xml:space="preserve"> darbinieku profesionālā</w:t>
      </w:r>
      <w:r w:rsidR="00C611C2">
        <w:rPr>
          <w:bCs/>
        </w:rPr>
        <w:t>s</w:t>
      </w:r>
      <w:r w:rsidR="0036307E" w:rsidRPr="0036307E">
        <w:rPr>
          <w:bCs/>
        </w:rPr>
        <w:t xml:space="preserve"> kompetence</w:t>
      </w:r>
      <w:r w:rsidR="00C611C2">
        <w:rPr>
          <w:bCs/>
        </w:rPr>
        <w:t>s</w:t>
      </w:r>
      <w:r w:rsidR="0036307E" w:rsidRPr="0036307E">
        <w:rPr>
          <w:bCs/>
        </w:rPr>
        <w:t xml:space="preserve"> stiprinā</w:t>
      </w:r>
      <w:r w:rsidR="00EC1297">
        <w:rPr>
          <w:bCs/>
        </w:rPr>
        <w:t>šana tika īstenota</w:t>
      </w:r>
      <w:r w:rsidR="0036307E" w:rsidRPr="0036307E">
        <w:rPr>
          <w:bCs/>
        </w:rPr>
        <w:t xml:space="preserve"> ar mērķtiecīgām apmācībām atgriešanas un patvēruma jomā</w:t>
      </w:r>
      <w:r w:rsidR="00AD5D72">
        <w:rPr>
          <w:bCs/>
        </w:rPr>
        <w:t>.</w:t>
      </w:r>
      <w:r w:rsidR="0036307E" w:rsidRPr="0036307E">
        <w:rPr>
          <w:bCs/>
        </w:rPr>
        <w:t xml:space="preserve"> </w:t>
      </w:r>
      <w:r w:rsidR="00AD5D72">
        <w:rPr>
          <w:bCs/>
        </w:rPr>
        <w:t>V</w:t>
      </w:r>
      <w:r w:rsidR="0036307E" w:rsidRPr="0036307E">
        <w:rPr>
          <w:bCs/>
        </w:rPr>
        <w:t xml:space="preserve">ienlaikus </w:t>
      </w:r>
      <w:r w:rsidR="00AD5D72">
        <w:rPr>
          <w:bCs/>
        </w:rPr>
        <w:t xml:space="preserve">tika </w:t>
      </w:r>
      <w:r w:rsidR="0036307E" w:rsidRPr="0036307E">
        <w:rPr>
          <w:bCs/>
        </w:rPr>
        <w:t>modernizēt</w:t>
      </w:r>
      <w:r w:rsidR="00AD5D72">
        <w:rPr>
          <w:bCs/>
        </w:rPr>
        <w:t>a</w:t>
      </w:r>
      <w:r w:rsidR="0036307E" w:rsidRPr="0036307E">
        <w:rPr>
          <w:bCs/>
        </w:rPr>
        <w:t xml:space="preserve"> nepieciešam</w:t>
      </w:r>
      <w:r w:rsidR="00AD5D72">
        <w:rPr>
          <w:bCs/>
        </w:rPr>
        <w:t>ā</w:t>
      </w:r>
      <w:r w:rsidR="0036307E" w:rsidRPr="0036307E">
        <w:rPr>
          <w:bCs/>
        </w:rPr>
        <w:t xml:space="preserve"> infrastruktū</w:t>
      </w:r>
      <w:r w:rsidR="00AD5D72">
        <w:rPr>
          <w:bCs/>
        </w:rPr>
        <w:t>ra</w:t>
      </w:r>
      <w:r w:rsidR="0036307E" w:rsidRPr="0036307E">
        <w:rPr>
          <w:bCs/>
        </w:rPr>
        <w:t xml:space="preserve"> un tehnisk</w:t>
      </w:r>
      <w:r w:rsidR="0015455C">
        <w:rPr>
          <w:bCs/>
        </w:rPr>
        <w:t>ais</w:t>
      </w:r>
      <w:r w:rsidR="0036307E" w:rsidRPr="0036307E">
        <w:rPr>
          <w:bCs/>
        </w:rPr>
        <w:t xml:space="preserve"> aprīkojum</w:t>
      </w:r>
      <w:r w:rsidR="0015455C">
        <w:rPr>
          <w:bCs/>
        </w:rPr>
        <w:t>s</w:t>
      </w:r>
      <w:r w:rsidR="0036307E" w:rsidRPr="0036307E">
        <w:rPr>
          <w:bCs/>
        </w:rPr>
        <w:t xml:space="preserve">. Tika pilnveidota Kopējā migrācijas </w:t>
      </w:r>
      <w:r w:rsidR="00E85CAA">
        <w:rPr>
          <w:bCs/>
        </w:rPr>
        <w:t>IS</w:t>
      </w:r>
      <w:r w:rsidR="0036307E" w:rsidRPr="0036307E">
        <w:rPr>
          <w:bCs/>
        </w:rPr>
        <w:t xml:space="preserve"> un nodrošināta atbilstoša tehniskā bāze atgriešanas procedūru īstenošanai. Īpaša </w:t>
      </w:r>
      <w:r w:rsidR="00DF0F1E">
        <w:rPr>
          <w:bCs/>
        </w:rPr>
        <w:t xml:space="preserve">nozīmīgu uzlabojumi tika veikti </w:t>
      </w:r>
      <w:r w:rsidR="0036307E" w:rsidRPr="0036307E">
        <w:rPr>
          <w:bCs/>
        </w:rPr>
        <w:t xml:space="preserve">patvēruma meklētāju un nelegālo </w:t>
      </w:r>
      <w:r w:rsidR="008972E4">
        <w:rPr>
          <w:bCs/>
        </w:rPr>
        <w:t>TVP</w:t>
      </w:r>
      <w:r w:rsidR="0036307E" w:rsidRPr="0036307E">
        <w:rPr>
          <w:bCs/>
        </w:rPr>
        <w:t xml:space="preserve"> izmitināšanas apstākļu uzlabošanai, kā arī sniegts atbalsts brīvprātīgās atgriešanās un reintegrācijas procesā.</w:t>
      </w:r>
      <w:r w:rsidR="00693DF2">
        <w:rPr>
          <w:bCs/>
        </w:rPr>
        <w:t xml:space="preserve"> </w:t>
      </w:r>
    </w:p>
    <w:p w14:paraId="0A63EF81" w14:textId="06C86A08" w:rsidR="005F4990" w:rsidRPr="005F4990" w:rsidRDefault="00117796" w:rsidP="005F4990">
      <w:pPr>
        <w:rPr>
          <w:bCs/>
        </w:rPr>
      </w:pPr>
      <w:r>
        <w:rPr>
          <w:bCs/>
        </w:rPr>
        <w:t xml:space="preserve">Starptautiskās </w:t>
      </w:r>
      <w:r w:rsidRPr="00C96416">
        <w:rPr>
          <w:bCs/>
        </w:rPr>
        <w:t>migrācijas organizācijas</w:t>
      </w:r>
      <w:r>
        <w:rPr>
          <w:bCs/>
        </w:rPr>
        <w:t xml:space="preserve"> Latvijā pārstāvniecības realizētā</w:t>
      </w:r>
      <w:r w:rsidR="00693DF2">
        <w:rPr>
          <w:bCs/>
        </w:rPr>
        <w:t xml:space="preserve"> projekt</w:t>
      </w:r>
      <w:r w:rsidR="009E3BA0">
        <w:rPr>
          <w:bCs/>
        </w:rPr>
        <w:t>a “</w:t>
      </w:r>
      <w:r w:rsidR="009E3BA0" w:rsidRPr="009E3BA0">
        <w:rPr>
          <w:bCs/>
        </w:rPr>
        <w:t>Brīvprātīgās atgriešanās un reintegrācijas palīdzības sniegšana Latvijā</w:t>
      </w:r>
      <w:r w:rsidR="009E3BA0">
        <w:rPr>
          <w:bCs/>
        </w:rPr>
        <w:t>”</w:t>
      </w:r>
      <w:r w:rsidR="00931F51" w:rsidRPr="00931F51">
        <w:rPr>
          <w:rStyle w:val="Vresatsauce"/>
          <w:bCs/>
        </w:rPr>
        <w:t xml:space="preserve"> </w:t>
      </w:r>
      <w:r w:rsidR="00931F51">
        <w:rPr>
          <w:rStyle w:val="Vresatsauce"/>
          <w:bCs/>
        </w:rPr>
        <w:footnoteReference w:id="15"/>
      </w:r>
      <w:r w:rsidR="00931F51">
        <w:rPr>
          <w:bCs/>
        </w:rPr>
        <w:t xml:space="preserve"> </w:t>
      </w:r>
      <w:r w:rsidR="009E3BA0">
        <w:rPr>
          <w:bCs/>
        </w:rPr>
        <w:t>ietvaros</w:t>
      </w:r>
      <w:r>
        <w:rPr>
          <w:bCs/>
        </w:rPr>
        <w:t xml:space="preserve"> tika </w:t>
      </w:r>
      <w:r w:rsidR="003D77F2">
        <w:rPr>
          <w:bCs/>
        </w:rPr>
        <w:t>īsteno</w:t>
      </w:r>
      <w:r w:rsidR="00931F51">
        <w:rPr>
          <w:bCs/>
        </w:rPr>
        <w:t xml:space="preserve">tas </w:t>
      </w:r>
      <w:r w:rsidR="003D77F2">
        <w:rPr>
          <w:bCs/>
        </w:rPr>
        <w:t xml:space="preserve">aktivitātes, </w:t>
      </w:r>
      <w:r w:rsidR="00931F51">
        <w:rPr>
          <w:bCs/>
        </w:rPr>
        <w:t xml:space="preserve">lai </w:t>
      </w:r>
      <w:r w:rsidR="006A0F3C">
        <w:rPr>
          <w:bCs/>
        </w:rPr>
        <w:t>atbalstītu</w:t>
      </w:r>
      <w:r w:rsidR="00931F51">
        <w:rPr>
          <w:bCs/>
        </w:rPr>
        <w:t xml:space="preserve"> nelegāl</w:t>
      </w:r>
      <w:r w:rsidR="006A0F3C">
        <w:rPr>
          <w:bCs/>
        </w:rPr>
        <w:t>o</w:t>
      </w:r>
      <w:r w:rsidR="00931F51">
        <w:rPr>
          <w:bCs/>
        </w:rPr>
        <w:t xml:space="preserve"> imigrant</w:t>
      </w:r>
      <w:r w:rsidR="006A0F3C">
        <w:rPr>
          <w:bCs/>
        </w:rPr>
        <w:t>u atgriešanos</w:t>
      </w:r>
      <w:r w:rsidR="00450613">
        <w:rPr>
          <w:bCs/>
        </w:rPr>
        <w:t xml:space="preserve"> izcelsmes valstī. </w:t>
      </w:r>
      <w:r w:rsidR="005F4990" w:rsidRPr="005F4990">
        <w:rPr>
          <w:bCs/>
        </w:rPr>
        <w:t xml:space="preserve">Projekta </w:t>
      </w:r>
      <w:r w:rsidR="009E2EFA">
        <w:rPr>
          <w:bCs/>
        </w:rPr>
        <w:t xml:space="preserve">kvantitatīvie rādītāji </w:t>
      </w:r>
      <w:r w:rsidR="005F4990" w:rsidRPr="005F4990">
        <w:rPr>
          <w:bCs/>
        </w:rPr>
        <w:t>pārsnie</w:t>
      </w:r>
      <w:r w:rsidR="00DF5834">
        <w:rPr>
          <w:bCs/>
        </w:rPr>
        <w:t>dza</w:t>
      </w:r>
      <w:r w:rsidR="005F4990" w:rsidRPr="005F4990">
        <w:rPr>
          <w:bCs/>
        </w:rPr>
        <w:t xml:space="preserve"> sākotnēji plānot</w:t>
      </w:r>
      <w:r w:rsidR="00DF5834">
        <w:rPr>
          <w:bCs/>
        </w:rPr>
        <w:t>os</w:t>
      </w:r>
      <w:r w:rsidR="005F4990" w:rsidRPr="005F4990">
        <w:rPr>
          <w:bCs/>
        </w:rPr>
        <w:t xml:space="preserve"> rezultāt</w:t>
      </w:r>
      <w:r w:rsidR="00DF5834">
        <w:rPr>
          <w:bCs/>
        </w:rPr>
        <w:t>us</w:t>
      </w:r>
      <w:r w:rsidR="005F4990" w:rsidRPr="005F4990">
        <w:rPr>
          <w:bCs/>
        </w:rPr>
        <w:t xml:space="preserve">, </w:t>
      </w:r>
      <w:r w:rsidR="00CD1173">
        <w:rPr>
          <w:bCs/>
        </w:rPr>
        <w:t xml:space="preserve">jo </w:t>
      </w:r>
      <w:r w:rsidR="00CD1173" w:rsidRPr="005F4990">
        <w:rPr>
          <w:bCs/>
        </w:rPr>
        <w:t xml:space="preserve">brīvprātīgās atgriešanās palīdzības pieprasījums </w:t>
      </w:r>
      <w:r w:rsidR="0028033F">
        <w:rPr>
          <w:bCs/>
        </w:rPr>
        <w:t xml:space="preserve">bija </w:t>
      </w:r>
      <w:r w:rsidR="005F4990" w:rsidRPr="005F4990">
        <w:rPr>
          <w:bCs/>
        </w:rPr>
        <w:t xml:space="preserve">augstāks nekā prognozēts. Atbalsta pasākumi ietvēra ne tikai ceļa izdevumu segšanu uz izcelsmes valsti, bet arī kompleksu reintegrācijas atbalstu, kas tika nodrošināts sadarbībā ar Starptautiskās migrācijas organizācijas pārstāvniecībām </w:t>
      </w:r>
      <w:r w:rsidR="001B281F">
        <w:rPr>
          <w:bCs/>
        </w:rPr>
        <w:t>izcelsmes</w:t>
      </w:r>
      <w:r w:rsidR="001B281F" w:rsidRPr="005F4990">
        <w:rPr>
          <w:bCs/>
        </w:rPr>
        <w:t xml:space="preserve"> </w:t>
      </w:r>
      <w:r w:rsidR="005F4990" w:rsidRPr="005F4990">
        <w:rPr>
          <w:bCs/>
        </w:rPr>
        <w:t xml:space="preserve">valstīs. </w:t>
      </w:r>
      <w:r w:rsidR="00EC1E1D">
        <w:rPr>
          <w:bCs/>
        </w:rPr>
        <w:t>Tas</w:t>
      </w:r>
      <w:r w:rsidR="005F4990" w:rsidRPr="005F4990">
        <w:rPr>
          <w:bCs/>
        </w:rPr>
        <w:t xml:space="preserve"> ietvēra</w:t>
      </w:r>
      <w:r w:rsidR="00365403">
        <w:rPr>
          <w:bCs/>
        </w:rPr>
        <w:t xml:space="preserve"> tādus</w:t>
      </w:r>
      <w:r w:rsidR="005F4990" w:rsidRPr="005F4990">
        <w:rPr>
          <w:bCs/>
        </w:rPr>
        <w:t xml:space="preserve"> praktiskus risinājumus </w:t>
      </w:r>
      <w:r w:rsidR="00365403">
        <w:rPr>
          <w:bCs/>
        </w:rPr>
        <w:t>kā</w:t>
      </w:r>
      <w:r w:rsidR="005F4990" w:rsidRPr="005F4990">
        <w:rPr>
          <w:bCs/>
        </w:rPr>
        <w:t xml:space="preserve"> mājokļa īres izdevumu segšanu sākotnējā atgriešanās periodā vai finansiālu atbalstu lauksaimniecības uzsākšanai, </w:t>
      </w:r>
      <w:r w:rsidR="00E9130E">
        <w:rPr>
          <w:bCs/>
        </w:rPr>
        <w:t xml:space="preserve">ieskaitot </w:t>
      </w:r>
      <w:r w:rsidR="005F4990" w:rsidRPr="005F4990">
        <w:rPr>
          <w:bCs/>
        </w:rPr>
        <w:t>mājlopu</w:t>
      </w:r>
      <w:r w:rsidR="00E9130E">
        <w:rPr>
          <w:bCs/>
        </w:rPr>
        <w:t xml:space="preserve"> iegādi</w:t>
      </w:r>
      <w:r w:rsidR="005F4990" w:rsidRPr="005F4990">
        <w:rPr>
          <w:bCs/>
        </w:rPr>
        <w:t>.</w:t>
      </w:r>
    </w:p>
    <w:p w14:paraId="662B9A09" w14:textId="7B1A79EF" w:rsidR="00693DF2" w:rsidRDefault="005F4990" w:rsidP="005F4990">
      <w:pPr>
        <w:rPr>
          <w:bCs/>
        </w:rPr>
      </w:pPr>
      <w:r w:rsidRPr="005F4990">
        <w:rPr>
          <w:bCs/>
        </w:rPr>
        <w:t>Projekta rezultāt</w:t>
      </w:r>
      <w:r w:rsidR="00E9130E">
        <w:rPr>
          <w:bCs/>
        </w:rPr>
        <w:t>u analīze</w:t>
      </w:r>
      <w:r w:rsidRPr="005F4990">
        <w:rPr>
          <w:bCs/>
        </w:rPr>
        <w:t xml:space="preserve"> demonstrē divējādu pozitīvu ietekmi: pirmkārt, tika nodrošināta atbilstība </w:t>
      </w:r>
      <w:r w:rsidR="003450CB">
        <w:rPr>
          <w:bCs/>
        </w:rPr>
        <w:t>ES</w:t>
      </w:r>
      <w:r w:rsidRPr="005F4990">
        <w:rPr>
          <w:bCs/>
        </w:rPr>
        <w:t xml:space="preserve"> </w:t>
      </w:r>
      <w:r w:rsidR="00231E41">
        <w:rPr>
          <w:bCs/>
        </w:rPr>
        <w:t>standartiem</w:t>
      </w:r>
      <w:r w:rsidRPr="005F4990">
        <w:rPr>
          <w:bCs/>
        </w:rPr>
        <w:t xml:space="preserve"> par brīvprātīgas atgriešanās iespēju piedāvāšanu pirms piespiedu izraidīšanas pasākumu </w:t>
      </w:r>
      <w:r w:rsidRPr="005F4990">
        <w:rPr>
          <w:bCs/>
        </w:rPr>
        <w:lastRenderedPageBreak/>
        <w:t>īstenošanas</w:t>
      </w:r>
      <w:r w:rsidR="00231E41">
        <w:rPr>
          <w:rStyle w:val="Vresatsauce"/>
          <w:bCs/>
        </w:rPr>
        <w:footnoteReference w:id="16"/>
      </w:r>
      <w:r w:rsidRPr="005F4990">
        <w:rPr>
          <w:bCs/>
        </w:rPr>
        <w:t xml:space="preserve">; otrkārt, tika </w:t>
      </w:r>
      <w:r w:rsidR="00C900BB">
        <w:rPr>
          <w:bCs/>
        </w:rPr>
        <w:t>optimizēta</w:t>
      </w:r>
      <w:r w:rsidR="00C900BB" w:rsidRPr="005F4990">
        <w:rPr>
          <w:bCs/>
        </w:rPr>
        <w:t xml:space="preserve"> </w:t>
      </w:r>
      <w:r w:rsidRPr="005F4990">
        <w:rPr>
          <w:bCs/>
        </w:rPr>
        <w:t xml:space="preserve">valsts finanšu </w:t>
      </w:r>
      <w:r w:rsidR="00C900BB">
        <w:rPr>
          <w:bCs/>
        </w:rPr>
        <w:t>resursu izlietošana</w:t>
      </w:r>
      <w:r w:rsidRPr="005F4990">
        <w:rPr>
          <w:bCs/>
        </w:rPr>
        <w:t xml:space="preserve">, </w:t>
      </w:r>
      <w:r w:rsidR="00931A2C">
        <w:rPr>
          <w:bCs/>
        </w:rPr>
        <w:t xml:space="preserve">novēršot izdevumus, </w:t>
      </w:r>
      <w:r w:rsidRPr="005F4990">
        <w:rPr>
          <w:bCs/>
        </w:rPr>
        <w:t xml:space="preserve">kas citādi būtu nepieciešami </w:t>
      </w:r>
      <w:r w:rsidR="00BD1539">
        <w:rPr>
          <w:bCs/>
        </w:rPr>
        <w:t xml:space="preserve">piespiedu izraidīšanas gadījumā gan par </w:t>
      </w:r>
      <w:r w:rsidR="00026A96">
        <w:rPr>
          <w:bCs/>
        </w:rPr>
        <w:t>uzturēšan</w:t>
      </w:r>
      <w:r w:rsidR="00DC5EDA">
        <w:rPr>
          <w:bCs/>
        </w:rPr>
        <w:t>u</w:t>
      </w:r>
      <w:r w:rsidR="00026A96">
        <w:rPr>
          <w:bCs/>
        </w:rPr>
        <w:t xml:space="preserve"> līdz pie</w:t>
      </w:r>
      <w:r w:rsidR="00BD1539">
        <w:rPr>
          <w:bCs/>
        </w:rPr>
        <w:t>spiedu izraidīšana</w:t>
      </w:r>
      <w:r w:rsidR="00DC5EDA">
        <w:rPr>
          <w:bCs/>
        </w:rPr>
        <w:t>i</w:t>
      </w:r>
      <w:r w:rsidR="00BD1539">
        <w:rPr>
          <w:bCs/>
        </w:rPr>
        <w:t xml:space="preserve">, gan </w:t>
      </w:r>
      <w:r w:rsidR="00F00FFF">
        <w:rPr>
          <w:bCs/>
        </w:rPr>
        <w:t>piespiedu izraidīšanas procedūr</w:t>
      </w:r>
      <w:r w:rsidR="009F0210">
        <w:rPr>
          <w:bCs/>
        </w:rPr>
        <w:t>u īstenošanu.</w:t>
      </w:r>
      <w:r w:rsidRPr="005F4990">
        <w:rPr>
          <w:bCs/>
        </w:rPr>
        <w:t xml:space="preserve"> </w:t>
      </w:r>
    </w:p>
    <w:p w14:paraId="3CCAD13F" w14:textId="4473756C" w:rsidR="007660B7" w:rsidRDefault="00266010" w:rsidP="005F4990">
      <w:r>
        <w:t xml:space="preserve">Projekta īstenošana ir demonstrējusi, ka fonda atbalstītā pieeja efektīvi kombinē gan </w:t>
      </w:r>
      <w:r w:rsidR="003450CB">
        <w:t>ES</w:t>
      </w:r>
      <w:r>
        <w:t xml:space="preserve"> politikas prasību izpildi, gan praktiskus risinājumus nelegālās </w:t>
      </w:r>
      <w:r w:rsidR="00D006D3">
        <w:t>i</w:t>
      </w:r>
      <w:r>
        <w:t>migrācijas mazināšanai, vienlaikus nodrošinot cilvēktiesību ievērošanu un valsts resursu lietderīgu izmantošanu. Īpaši nozīmīga ir izveidotā sadarbības platforma ar izcelsmes valstīm, kas veicina ilgtspējīgu atgriešanas procesu īstenošanu.</w:t>
      </w:r>
      <w:r w:rsidR="00F957C2">
        <w:t xml:space="preserve"> </w:t>
      </w:r>
    </w:p>
    <w:p w14:paraId="75881623" w14:textId="5D51BCFC" w:rsidR="00266010" w:rsidRDefault="004A6C68" w:rsidP="005F4990">
      <w:pPr>
        <w:rPr>
          <w:bCs/>
        </w:rPr>
      </w:pPr>
      <w:r>
        <w:t>Kā pilnveidojams aspekts</w:t>
      </w:r>
      <w:r w:rsidR="00492D35">
        <w:t xml:space="preserve"> atgriešanas jomā </w:t>
      </w:r>
      <w:r>
        <w:t>ekspertu paneļa ietvaros tikusi identi</w:t>
      </w:r>
      <w:r w:rsidR="00842B51">
        <w:t xml:space="preserve">ficēta </w:t>
      </w:r>
      <w:r w:rsidRPr="004A6C68">
        <w:t>ar mērķa grupu strādājošo pušu zināšan</w:t>
      </w:r>
      <w:r w:rsidR="00842B51">
        <w:t>u</w:t>
      </w:r>
      <w:r w:rsidRPr="004A6C68">
        <w:t xml:space="preserve"> un izpratn</w:t>
      </w:r>
      <w:r w:rsidR="00842B51">
        <w:t>es uzlabošana</w:t>
      </w:r>
      <w:r w:rsidRPr="004A6C68">
        <w:t xml:space="preserve"> par atgriešanas un izraidīšanas procesiem. Piemēram, Sabiedrības integrācijas fonda pārstāvji, kuri 2021.-2027. gada plānošanas periodā nodrošina </w:t>
      </w:r>
      <w:r w:rsidR="00B810FD">
        <w:t>vienas pieturas aģentūras</w:t>
      </w:r>
      <w:r w:rsidRPr="004A6C68">
        <w:t xml:space="preserve"> funkciju migrantiem, norāda, ka regulāri saskaras ar situācijām, kad mērķa grupas pārstāvji vēršas pie viņiem ar šiem procesiem saistītiem jautājumiem. Tādēļ būtu lietderīgi pilnveidot visu iesaistīto pušu kopējo izpratni par atgriešanas un izraidīšanas procesiem, lai sniegtais atbalsts varētu būt </w:t>
      </w:r>
      <w:r w:rsidR="00B810FD">
        <w:t>efektīvāks</w:t>
      </w:r>
      <w:r w:rsidRPr="004A6C68">
        <w:t>.</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52D14322" w14:textId="77777777" w:rsidTr="00107F75">
        <w:tc>
          <w:tcPr>
            <w:tcW w:w="10252" w:type="dxa"/>
            <w:shd w:val="clear" w:color="auto" w:fill="F3B8FF" w:themeFill="accent6" w:themeFillTint="33"/>
          </w:tcPr>
          <w:p w14:paraId="6F6362C6" w14:textId="77777777" w:rsidR="00143135" w:rsidRPr="008F64A0" w:rsidRDefault="00143135" w:rsidP="00A239D8">
            <w:pPr>
              <w:rPr>
                <w:i/>
                <w:iCs/>
                <w:color w:val="5A5A5A" w:themeColor="accent1" w:themeTint="BF"/>
              </w:rPr>
            </w:pPr>
            <w:r w:rsidRPr="008F64A0">
              <w:rPr>
                <w:i/>
                <w:iCs/>
                <w:color w:val="5A5A5A" w:themeColor="accent1" w:themeTint="BF"/>
              </w:rPr>
              <w:t>Apakšjautājums: Kā fonds veicināja solidaritātes un atbildības dalīšanas starp dalībvalstīm stiprināšanu, tostarp īstenojot praktisku sadarbību, un jo īpaši ar tām dalībvalstīm, kuras visvairāk ietekmē migrācijas un patvēruma plūsmas?</w:t>
            </w:r>
          </w:p>
        </w:tc>
      </w:tr>
    </w:tbl>
    <w:p w14:paraId="41095D46" w14:textId="7C0A3C8E" w:rsidR="00143135" w:rsidRPr="008F64A0" w:rsidRDefault="00143135" w:rsidP="00143135">
      <w:pPr>
        <w:rPr>
          <w:bCs/>
        </w:rPr>
      </w:pPr>
      <w:r w:rsidRPr="008F64A0">
        <w:rPr>
          <w:bCs/>
        </w:rPr>
        <w:t xml:space="preserve">Atbilstoši Nacionālajai programmai, PMIF ietvaros nav tikušas īstenotas aktivitātes mērķa “stiprināt solidaritāti un atbildības dalīšanu starp dalībvalstīm, īpaši ar tām, kuras visvairāk ietekmē migrācijas un patvēruma plūsmas, tostarp īstenojot praktisku sadarbību” sasniegšanai.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436E0C0B" w14:textId="77777777" w:rsidTr="00107F75">
        <w:tc>
          <w:tcPr>
            <w:tcW w:w="10252" w:type="dxa"/>
            <w:shd w:val="clear" w:color="auto" w:fill="F3B8FF" w:themeFill="accent6" w:themeFillTint="33"/>
          </w:tcPr>
          <w:p w14:paraId="1F4C0BD1" w14:textId="77777777" w:rsidR="00143135" w:rsidRPr="008F64A0" w:rsidRDefault="00143135" w:rsidP="00A239D8">
            <w:pPr>
              <w:rPr>
                <w:i/>
                <w:iCs/>
                <w:color w:val="5A5A5A" w:themeColor="accent1" w:themeTint="BF"/>
              </w:rPr>
            </w:pPr>
            <w:r w:rsidRPr="008F64A0">
              <w:rPr>
                <w:i/>
                <w:iCs/>
                <w:color w:val="5A5A5A" w:themeColor="accent1" w:themeTint="BF"/>
              </w:rPr>
              <w:t>Apakšjautājums: Kā fonds veicināja atbalsta sniegšanu dalībvalstīm attiecīgi pamatotās ārkārtas situācijās, kad ir nepieciešama steidzama rīcība?</w:t>
            </w:r>
          </w:p>
        </w:tc>
      </w:tr>
    </w:tbl>
    <w:p w14:paraId="4CBDCB93" w14:textId="006B8412" w:rsidR="005E3689" w:rsidRPr="00DF146B" w:rsidRDefault="00DF146B" w:rsidP="005E3689">
      <w:pPr>
        <w:rPr>
          <w:bCs/>
        </w:rPr>
      </w:pPr>
      <w:r>
        <w:rPr>
          <w:bCs/>
        </w:rPr>
        <w:t xml:space="preserve">Īpašo gadījumu ietvaros tika īstenoti pasākumi personu, </w:t>
      </w:r>
      <w:r w:rsidRPr="00DF146B">
        <w:rPr>
          <w:bCs/>
        </w:rPr>
        <w:t>kurām nepieciešama starptautiskā aizsardzība, pārvietoša</w:t>
      </w:r>
      <w:r>
        <w:rPr>
          <w:bCs/>
        </w:rPr>
        <w:t>na</w:t>
      </w:r>
      <w:r w:rsidRPr="00DF146B">
        <w:rPr>
          <w:bCs/>
        </w:rPr>
        <w:t>i no Itālijas, Grieķijas un Turcijas un uzņemšana</w:t>
      </w:r>
      <w:r>
        <w:rPr>
          <w:bCs/>
        </w:rPr>
        <w:t>i</w:t>
      </w:r>
      <w:r w:rsidRPr="00DF146B">
        <w:rPr>
          <w:bCs/>
        </w:rPr>
        <w:t xml:space="preserve"> Latvijā</w:t>
      </w:r>
      <w:r w:rsidR="00657F66">
        <w:rPr>
          <w:bCs/>
        </w:rPr>
        <w:t xml:space="preserve"> </w:t>
      </w:r>
      <w:r w:rsidR="000151C5">
        <w:rPr>
          <w:rFonts w:cstheme="minorHAnsi"/>
        </w:rPr>
        <w:t>–</w:t>
      </w:r>
      <w:r w:rsidR="00657F66">
        <w:rPr>
          <w:bCs/>
        </w:rPr>
        <w:t xml:space="preserve"> </w:t>
      </w:r>
      <w:r w:rsidR="00657F66">
        <w:t>valstīs, kuras saskārās ar ārkārtas situāciju saistībā ar lielu patvēruma meklētāju pieplūdumu</w:t>
      </w:r>
      <w:r>
        <w:rPr>
          <w:bCs/>
        </w:rPr>
        <w:t xml:space="preserve">. </w:t>
      </w:r>
      <w:r w:rsidR="00B127CD">
        <w:rPr>
          <w:bCs/>
        </w:rPr>
        <w:t>Atbalsta pasākumu rezultātā t</w:t>
      </w:r>
      <w:r w:rsidR="00950F7F">
        <w:rPr>
          <w:bCs/>
        </w:rPr>
        <w:t xml:space="preserve">ika uzņemti 46 </w:t>
      </w:r>
      <w:r w:rsidR="00071BB5">
        <w:rPr>
          <w:bCs/>
        </w:rPr>
        <w:t xml:space="preserve">bēgļi no </w:t>
      </w:r>
      <w:r w:rsidR="00950F7F">
        <w:rPr>
          <w:bCs/>
        </w:rPr>
        <w:t xml:space="preserve">Sīrijas, kā arī </w:t>
      </w:r>
      <w:r w:rsidR="007B1A62">
        <w:rPr>
          <w:bCs/>
        </w:rPr>
        <w:t>34 pārvietotie patvēruma meklētāji no Itālijas un 294 — no Grieķijas</w:t>
      </w:r>
      <w:r w:rsidR="00913863">
        <w:rPr>
          <w:bCs/>
        </w:rPr>
        <w:t xml:space="preserve">, </w:t>
      </w:r>
      <w:r w:rsidR="00913863">
        <w:t>tādējādi sniedzot tiešu atbalstu dalībvalstīm krīzes situācijā un īstenojot ES solidaritātes principus praksē</w:t>
      </w:r>
      <w:r w:rsidR="007B1A62">
        <w:rPr>
          <w:bCs/>
        </w:rPr>
        <w:t xml:space="preserve">. </w:t>
      </w:r>
    </w:p>
    <w:p w14:paraId="3C5D3D98" w14:textId="60AC4AC8" w:rsidR="00143135" w:rsidRPr="008F64A0" w:rsidRDefault="00143135" w:rsidP="00BF4167">
      <w:pPr>
        <w:pStyle w:val="Sarakstarindkopa"/>
        <w:numPr>
          <w:ilvl w:val="2"/>
          <w:numId w:val="42"/>
        </w:numPr>
        <w:rPr>
          <w:b/>
        </w:rPr>
      </w:pPr>
      <w:r w:rsidRPr="008F64A0">
        <w:rPr>
          <w:b/>
        </w:rPr>
        <w:t>Kritērijs “Lietderīgums”</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7D64074B" w14:textId="77777777" w:rsidTr="00D40533">
        <w:tc>
          <w:tcPr>
            <w:tcW w:w="10252" w:type="dxa"/>
            <w:shd w:val="clear" w:color="auto" w:fill="82009B" w:themeFill="accent6"/>
          </w:tcPr>
          <w:p w14:paraId="6010BE5E" w14:textId="77777777" w:rsidR="00143135" w:rsidRPr="008F64A0" w:rsidRDefault="00143135" w:rsidP="00A239D8">
            <w:pPr>
              <w:rPr>
                <w:b/>
              </w:rPr>
            </w:pPr>
            <w:r w:rsidRPr="008F64A0">
              <w:rPr>
                <w:b/>
              </w:rPr>
              <w:t xml:space="preserve">Izvērtēšanas kritērija jautājums: </w:t>
            </w:r>
            <w:r w:rsidRPr="008F64A0">
              <w:rPr>
                <w:bCs/>
              </w:rPr>
              <w:t>Vai fonda vispārīgie mērķi tika sasniegti par saprātīgām izmaksām?</w:t>
            </w:r>
          </w:p>
        </w:tc>
      </w:tr>
    </w:tbl>
    <w:p w14:paraId="2FE31828" w14:textId="5C535AAB" w:rsidR="00C0414E" w:rsidRDefault="006677A8" w:rsidP="00143135">
      <w:pPr>
        <w:rPr>
          <w:bCs/>
        </w:rPr>
      </w:pPr>
      <w:r>
        <w:rPr>
          <w:bCs/>
        </w:rPr>
        <w:t xml:space="preserve">PMIF programmas ietvaros SM, īpašo gadījumu un tehniskās palīdzības aktivitātēm kopumā </w:t>
      </w:r>
      <w:r w:rsidR="00EE3735">
        <w:rPr>
          <w:bCs/>
        </w:rPr>
        <w:t>tika piešķirti</w:t>
      </w:r>
      <w:r>
        <w:rPr>
          <w:bCs/>
        </w:rPr>
        <w:t xml:space="preserve"> 18</w:t>
      </w:r>
      <w:r w:rsidR="00BA74AF">
        <w:rPr>
          <w:bCs/>
        </w:rPr>
        <w:t> </w:t>
      </w:r>
      <w:r>
        <w:rPr>
          <w:bCs/>
        </w:rPr>
        <w:t>919</w:t>
      </w:r>
      <w:r w:rsidR="00BA74AF">
        <w:rPr>
          <w:bCs/>
        </w:rPr>
        <w:t xml:space="preserve"> 989 </w:t>
      </w:r>
      <w:r w:rsidR="00BA74AF">
        <w:rPr>
          <w:bCs/>
          <w:i/>
          <w:iCs/>
        </w:rPr>
        <w:t xml:space="preserve">euro, </w:t>
      </w:r>
      <w:r w:rsidR="00BA74AF">
        <w:rPr>
          <w:bCs/>
        </w:rPr>
        <w:t xml:space="preserve">no kuriem kopumā tika apgūti </w:t>
      </w:r>
      <w:r w:rsidR="00477683">
        <w:rPr>
          <w:bCs/>
        </w:rPr>
        <w:t xml:space="preserve">17 434 987 </w:t>
      </w:r>
      <w:r w:rsidR="00477683">
        <w:rPr>
          <w:bCs/>
          <w:i/>
          <w:iCs/>
        </w:rPr>
        <w:t>euro</w:t>
      </w:r>
      <w:r w:rsidR="00477683">
        <w:rPr>
          <w:bCs/>
        </w:rPr>
        <w:t xml:space="preserve"> jeb </w:t>
      </w:r>
      <w:r w:rsidR="00BA74AF">
        <w:rPr>
          <w:bCs/>
        </w:rPr>
        <w:t>92 %</w:t>
      </w:r>
      <w:r w:rsidR="00BA74AF">
        <w:rPr>
          <w:bCs/>
          <w:i/>
          <w:iCs/>
        </w:rPr>
        <w:t xml:space="preserve">. </w:t>
      </w:r>
      <w:r w:rsidR="00BA74AF">
        <w:rPr>
          <w:bCs/>
        </w:rPr>
        <w:t xml:space="preserve">Vienlaikus, </w:t>
      </w:r>
      <w:r w:rsidR="00477683">
        <w:rPr>
          <w:bCs/>
        </w:rPr>
        <w:t xml:space="preserve">veicot </w:t>
      </w:r>
      <w:r w:rsidR="002B54A8">
        <w:rPr>
          <w:bCs/>
        </w:rPr>
        <w:t>finansējuma analīz</w:t>
      </w:r>
      <w:r w:rsidR="00477683">
        <w:rPr>
          <w:bCs/>
        </w:rPr>
        <w:t>i</w:t>
      </w:r>
      <w:r w:rsidR="002B54A8">
        <w:rPr>
          <w:bCs/>
        </w:rPr>
        <w:t xml:space="preserve"> </w:t>
      </w:r>
      <w:r w:rsidR="00BA74AF">
        <w:rPr>
          <w:bCs/>
        </w:rPr>
        <w:t xml:space="preserve">SM </w:t>
      </w:r>
      <w:r w:rsidR="002B54A8">
        <w:rPr>
          <w:bCs/>
        </w:rPr>
        <w:t>griezumā</w:t>
      </w:r>
      <w:r w:rsidR="0097679E">
        <w:rPr>
          <w:bCs/>
        </w:rPr>
        <w:t>,</w:t>
      </w:r>
      <w:r w:rsidR="002B54A8">
        <w:rPr>
          <w:bCs/>
        </w:rPr>
        <w:t xml:space="preserve"> </w:t>
      </w:r>
      <w:r w:rsidR="0097679E">
        <w:rPr>
          <w:bCs/>
        </w:rPr>
        <w:t>konstatēts</w:t>
      </w:r>
      <w:r w:rsidR="002B54A8">
        <w:rPr>
          <w:bCs/>
        </w:rPr>
        <w:t>, ka SM2 ietvaros</w:t>
      </w:r>
      <w:r w:rsidR="0097679E">
        <w:rPr>
          <w:bCs/>
        </w:rPr>
        <w:t xml:space="preserve"> realizētais</w:t>
      </w:r>
      <w:r w:rsidR="002B54A8">
        <w:rPr>
          <w:bCs/>
        </w:rPr>
        <w:t xml:space="preserve"> finansējum</w:t>
      </w:r>
      <w:r w:rsidR="0097679E">
        <w:rPr>
          <w:bCs/>
        </w:rPr>
        <w:t>a apjoms</w:t>
      </w:r>
      <w:r w:rsidR="002B54A8">
        <w:rPr>
          <w:bCs/>
        </w:rPr>
        <w:t xml:space="preserve"> ir pārsnie</w:t>
      </w:r>
      <w:r w:rsidR="0097679E">
        <w:rPr>
          <w:bCs/>
        </w:rPr>
        <w:t>dzis</w:t>
      </w:r>
      <w:r w:rsidR="001C4024">
        <w:rPr>
          <w:bCs/>
        </w:rPr>
        <w:t xml:space="preserve"> sākotnēji plānoto</w:t>
      </w:r>
      <w:r w:rsidR="00722DDB">
        <w:rPr>
          <w:bCs/>
        </w:rPr>
        <w:t>, bet pārēj</w:t>
      </w:r>
      <w:r w:rsidR="008C2162">
        <w:rPr>
          <w:bCs/>
        </w:rPr>
        <w:t>iem SM atvēlētais finansējums nav apgūts pilnībā (</w:t>
      </w:r>
      <w:r w:rsidR="008C2162" w:rsidRPr="00D1372A">
        <w:rPr>
          <w:bCs/>
        </w:rPr>
        <w:fldChar w:fldCharType="begin"/>
      </w:r>
      <w:r w:rsidR="008C2162" w:rsidRPr="00D1372A">
        <w:rPr>
          <w:bCs/>
        </w:rPr>
        <w:instrText xml:space="preserve"> REF _Ref189824176 \h </w:instrText>
      </w:r>
      <w:r w:rsidR="00483F90" w:rsidRPr="00D1372A">
        <w:rPr>
          <w:bCs/>
        </w:rPr>
        <w:instrText xml:space="preserve"> \* MERGEFORMAT </w:instrText>
      </w:r>
      <w:r w:rsidR="008C2162" w:rsidRPr="00D1372A">
        <w:rPr>
          <w:bCs/>
        </w:rPr>
      </w:r>
      <w:r w:rsidR="008C2162" w:rsidRPr="00D1372A">
        <w:rPr>
          <w:bCs/>
        </w:rPr>
        <w:fldChar w:fldCharType="separate"/>
      </w:r>
      <w:r w:rsidR="000523B6">
        <w:t xml:space="preserve">Attēls </w:t>
      </w:r>
      <w:r w:rsidR="000523B6">
        <w:rPr>
          <w:noProof/>
        </w:rPr>
        <w:t>5</w:t>
      </w:r>
      <w:r w:rsidR="008C2162" w:rsidRPr="00D1372A">
        <w:rPr>
          <w:bCs/>
        </w:rPr>
        <w:fldChar w:fldCharType="end"/>
      </w:r>
      <w:r w:rsidR="008C2162">
        <w:rPr>
          <w:bCs/>
        </w:rPr>
        <w:t>).</w:t>
      </w:r>
      <w:r w:rsidR="00892D18">
        <w:rPr>
          <w:bCs/>
        </w:rPr>
        <w:t xml:space="preserve"> </w:t>
      </w:r>
      <w:r w:rsidR="006D401D">
        <w:rPr>
          <w:bCs/>
        </w:rPr>
        <w:t>Balstoties uz</w:t>
      </w:r>
      <w:r w:rsidR="00753018">
        <w:rPr>
          <w:bCs/>
        </w:rPr>
        <w:t xml:space="preserve"> 1.</w:t>
      </w:r>
      <w:r w:rsidR="00BC6215">
        <w:rPr>
          <w:bCs/>
        </w:rPr>
        <w:t>2</w:t>
      </w:r>
      <w:r w:rsidR="00753018">
        <w:rPr>
          <w:bCs/>
        </w:rPr>
        <w:t>.1. nodaļā veikt</w:t>
      </w:r>
      <w:r w:rsidR="006D401D">
        <w:rPr>
          <w:bCs/>
        </w:rPr>
        <w:t>o</w:t>
      </w:r>
      <w:r w:rsidR="00753018">
        <w:rPr>
          <w:bCs/>
        </w:rPr>
        <w:t xml:space="preserve"> analīzi, </w:t>
      </w:r>
      <w:r w:rsidR="00FA6D02">
        <w:rPr>
          <w:bCs/>
        </w:rPr>
        <w:t xml:space="preserve">var secināt, ka </w:t>
      </w:r>
      <w:r w:rsidR="00753018">
        <w:rPr>
          <w:bCs/>
        </w:rPr>
        <w:t xml:space="preserve">PMIF ietvaros ir izdevies </w:t>
      </w:r>
      <w:r w:rsidR="00597FB6">
        <w:rPr>
          <w:bCs/>
        </w:rPr>
        <w:t xml:space="preserve">sasniegt gandrīz visus plānotos rezultatīvos rādītājus, daļu no tiem ievērojami pārsniedzot. </w:t>
      </w:r>
      <w:r w:rsidR="00641C04">
        <w:rPr>
          <w:bCs/>
        </w:rPr>
        <w:t>P</w:t>
      </w:r>
      <w:r w:rsidR="003545E9">
        <w:rPr>
          <w:bCs/>
        </w:rPr>
        <w:t>apildu</w:t>
      </w:r>
      <w:r w:rsidR="00641C04">
        <w:rPr>
          <w:bCs/>
        </w:rPr>
        <w:t>s jāakcentē</w:t>
      </w:r>
      <w:r w:rsidR="003545E9">
        <w:rPr>
          <w:bCs/>
        </w:rPr>
        <w:t xml:space="preserve">, </w:t>
      </w:r>
      <w:r w:rsidR="00B75813">
        <w:rPr>
          <w:bCs/>
        </w:rPr>
        <w:t>k</w:t>
      </w:r>
      <w:r w:rsidR="00004BA9">
        <w:rPr>
          <w:bCs/>
        </w:rPr>
        <w:t>a</w:t>
      </w:r>
      <w:r w:rsidR="003545E9">
        <w:rPr>
          <w:bCs/>
        </w:rPr>
        <w:t xml:space="preserve"> PMIF</w:t>
      </w:r>
      <w:r w:rsidR="00B75813">
        <w:rPr>
          <w:bCs/>
        </w:rPr>
        <w:t xml:space="preserve"> </w:t>
      </w:r>
      <w:r w:rsidR="003545E9">
        <w:rPr>
          <w:bCs/>
        </w:rPr>
        <w:t>mērķu sasniegšan</w:t>
      </w:r>
      <w:r w:rsidR="00004BA9">
        <w:rPr>
          <w:bCs/>
        </w:rPr>
        <w:t>u</w:t>
      </w:r>
      <w:r w:rsidR="003545E9">
        <w:rPr>
          <w:bCs/>
        </w:rPr>
        <w:t xml:space="preserve"> </w:t>
      </w:r>
      <w:r w:rsidR="00B75813">
        <w:rPr>
          <w:bCs/>
        </w:rPr>
        <w:t xml:space="preserve">ir </w:t>
      </w:r>
      <w:r w:rsidR="00004BA9">
        <w:rPr>
          <w:bCs/>
        </w:rPr>
        <w:t xml:space="preserve">sekmējuši </w:t>
      </w:r>
      <w:r w:rsidR="00B75813">
        <w:rPr>
          <w:bCs/>
        </w:rPr>
        <w:t xml:space="preserve">projekti bez definētiem rezultātu rādītājiem. </w:t>
      </w:r>
    </w:p>
    <w:p w14:paraId="40FC41E0" w14:textId="77777777" w:rsidR="00341ED1" w:rsidRDefault="00341ED1" w:rsidP="00143135">
      <w:pPr>
        <w:rPr>
          <w:b/>
        </w:rPr>
      </w:pPr>
    </w:p>
    <w:p w14:paraId="4484147C" w14:textId="0B6E665F" w:rsidR="00C0414E" w:rsidRDefault="00C0414E" w:rsidP="00C0414E">
      <w:pPr>
        <w:pStyle w:val="GraphTitle"/>
      </w:pPr>
      <w:bookmarkStart w:id="26" w:name="_Ref189824176"/>
      <w:bookmarkStart w:id="27" w:name="_Ref191388601"/>
      <w:r>
        <w:lastRenderedPageBreak/>
        <w:t xml:space="preserve">Attēls </w:t>
      </w:r>
      <w:r w:rsidR="00C47EA2">
        <w:fldChar w:fldCharType="begin"/>
      </w:r>
      <w:r w:rsidR="00C47EA2">
        <w:instrText xml:space="preserve"> SEQ Attēls \* ARABIC </w:instrText>
      </w:r>
      <w:r w:rsidR="00C47EA2">
        <w:fldChar w:fldCharType="separate"/>
      </w:r>
      <w:r w:rsidR="000523B6">
        <w:t>5</w:t>
      </w:r>
      <w:r w:rsidR="00C47EA2">
        <w:fldChar w:fldCharType="end"/>
      </w:r>
      <w:bookmarkEnd w:id="26"/>
      <w:r w:rsidR="00483F90">
        <w:t>.</w:t>
      </w:r>
      <w:r>
        <w:t xml:space="preserve"> </w:t>
      </w:r>
      <w:r w:rsidRPr="00450F6A">
        <w:t xml:space="preserve">PMIF plānotais un apgūtais finansējums sadalījumā pa SM, miljoni </w:t>
      </w:r>
      <w:r w:rsidRPr="00C0414E">
        <w:rPr>
          <w:i/>
          <w:iCs/>
        </w:rPr>
        <w:t>euro</w:t>
      </w:r>
      <w:bookmarkEnd w:id="27"/>
    </w:p>
    <w:p w14:paraId="28098CFB" w14:textId="7490A6C3" w:rsidR="00AB230E" w:rsidRDefault="00A81097" w:rsidP="00143135">
      <w:pPr>
        <w:rPr>
          <w:b/>
        </w:rPr>
      </w:pPr>
      <w:r>
        <w:rPr>
          <w:noProof/>
        </w:rPr>
        <w:drawing>
          <wp:inline distT="0" distB="0" distL="0" distR="0" wp14:anchorId="6C5A8FE2" wp14:editId="61C66855">
            <wp:extent cx="6419850" cy="2362200"/>
            <wp:effectExtent l="0" t="0" r="0" b="0"/>
            <wp:docPr id="1924249036" name="Diagramma 1">
              <a:extLst xmlns:a="http://schemas.openxmlformats.org/drawingml/2006/main">
                <a:ext uri="{FF2B5EF4-FFF2-40B4-BE49-F238E27FC236}">
                  <a16:creationId xmlns:a16="http://schemas.microsoft.com/office/drawing/2014/main" id="{69E3B583-3858-FDAD-C1DB-AA36F6F14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840F40" w14:textId="0C0D2394" w:rsidR="00C0414E" w:rsidRPr="00A070AF" w:rsidRDefault="00C0414E" w:rsidP="007F5044">
      <w:pPr>
        <w:jc w:val="right"/>
        <w:rPr>
          <w:rStyle w:val="Izsmalcintsizclums"/>
        </w:rPr>
      </w:pPr>
      <w:r w:rsidRPr="00A070AF">
        <w:rPr>
          <w:rStyle w:val="Izsmalcintsizclums"/>
        </w:rPr>
        <w:t>Avots: PMIF nacionālā programma un 2024.gada PMIF ieviešanas ziņojums</w:t>
      </w:r>
    </w:p>
    <w:p w14:paraId="3E21EDA3" w14:textId="311CB46A" w:rsidR="00F855E8" w:rsidRDefault="00A3138A" w:rsidP="00F855E8">
      <w:r>
        <w:t>F</w:t>
      </w:r>
      <w:r w:rsidR="00B913B6">
        <w:t xml:space="preserve">inansējumu saņēmēju aptaujas rezultāti </w:t>
      </w:r>
      <w:r>
        <w:t>sniedz</w:t>
      </w:r>
      <w:r w:rsidR="000A3863">
        <w:t xml:space="preserve"> pozitīvu vērtējumu</w:t>
      </w:r>
      <w:r w:rsidR="00B913B6">
        <w:t xml:space="preserve"> </w:t>
      </w:r>
      <w:r w:rsidR="000A3863">
        <w:t xml:space="preserve">pieejamā </w:t>
      </w:r>
      <w:r w:rsidR="00123F46">
        <w:t>finansējuma</w:t>
      </w:r>
      <w:r w:rsidR="000A3863">
        <w:t xml:space="preserve"> atbilstībai projektu </w:t>
      </w:r>
      <w:r w:rsidR="00D90818">
        <w:t>sasniedzamajiem</w:t>
      </w:r>
      <w:r w:rsidR="000A3863">
        <w:t xml:space="preserve"> rezultātiem</w:t>
      </w:r>
      <w:r w:rsidR="00721F3F">
        <w:t xml:space="preserve"> – </w:t>
      </w:r>
      <w:r w:rsidR="00C005B4" w:rsidRPr="007B2BB7">
        <w:t>7</w:t>
      </w:r>
      <w:r w:rsidR="00721F3F">
        <w:t>9</w:t>
      </w:r>
      <w:r w:rsidR="00701ACD" w:rsidRPr="007B2BB7">
        <w:t> </w:t>
      </w:r>
      <w:r w:rsidR="009B14B3" w:rsidRPr="007B2BB7">
        <w:t>%</w:t>
      </w:r>
      <w:r w:rsidR="00B75813" w:rsidRPr="007B2BB7">
        <w:t xml:space="preserve"> </w:t>
      </w:r>
      <w:r w:rsidR="00D90818">
        <w:t xml:space="preserve">respondentu apstiprina, ka </w:t>
      </w:r>
      <w:r w:rsidR="009B14B3" w:rsidRPr="007B2BB7">
        <w:t>finansējums ir bijis pilnībā atbilstošs</w:t>
      </w:r>
      <w:r w:rsidR="00D91B8E" w:rsidRPr="007B2BB7">
        <w:t xml:space="preserve">, savukārt </w:t>
      </w:r>
      <w:r w:rsidR="00F30600" w:rsidRPr="007B2BB7">
        <w:t>1</w:t>
      </w:r>
      <w:r w:rsidR="00F2740B">
        <w:t>1</w:t>
      </w:r>
      <w:r w:rsidR="00E9513B" w:rsidRPr="007B2BB7">
        <w:t> </w:t>
      </w:r>
      <w:r w:rsidR="00D91B8E" w:rsidRPr="007B2BB7">
        <w:t xml:space="preserve">% </w:t>
      </w:r>
      <w:r w:rsidR="0088555A">
        <w:t xml:space="preserve">aptaujāto </w:t>
      </w:r>
      <w:r w:rsidR="00D91B8E" w:rsidRPr="007B2BB7">
        <w:t>norāda</w:t>
      </w:r>
      <w:r w:rsidR="0088555A">
        <w:t xml:space="preserve"> uz </w:t>
      </w:r>
      <w:r w:rsidR="00D91B8E" w:rsidRPr="007B2BB7">
        <w:t>daļēj</w:t>
      </w:r>
      <w:r w:rsidR="0088555A">
        <w:t>u</w:t>
      </w:r>
      <w:r w:rsidR="00D91B8E" w:rsidRPr="007B2BB7">
        <w:t xml:space="preserve"> </w:t>
      </w:r>
      <w:r w:rsidR="006B4AB5">
        <w:t xml:space="preserve">tā </w:t>
      </w:r>
      <w:r w:rsidR="00D91B8E" w:rsidRPr="007B2BB7">
        <w:t>atbilst</w:t>
      </w:r>
      <w:r w:rsidR="0088555A">
        <w:t>ību</w:t>
      </w:r>
      <w:r w:rsidR="00F30600" w:rsidRPr="007B2BB7">
        <w:t xml:space="preserve"> (</w:t>
      </w:r>
      <w:r w:rsidR="00964600">
        <w:rPr>
          <w:highlight w:val="yellow"/>
        </w:rPr>
        <w:fldChar w:fldCharType="begin"/>
      </w:r>
      <w:r w:rsidR="00964600">
        <w:instrText xml:space="preserve"> REF _Ref190265770 \h </w:instrText>
      </w:r>
      <w:r w:rsidR="00964600">
        <w:rPr>
          <w:highlight w:val="yellow"/>
        </w:rPr>
      </w:r>
      <w:r w:rsidR="00964600">
        <w:rPr>
          <w:highlight w:val="yellow"/>
        </w:rPr>
        <w:fldChar w:fldCharType="separate"/>
      </w:r>
      <w:r w:rsidR="000523B6">
        <w:t xml:space="preserve">Attēls </w:t>
      </w:r>
      <w:r w:rsidR="000523B6">
        <w:rPr>
          <w:noProof/>
        </w:rPr>
        <w:t>6</w:t>
      </w:r>
      <w:r w:rsidR="00964600">
        <w:rPr>
          <w:highlight w:val="yellow"/>
        </w:rPr>
        <w:fldChar w:fldCharType="end"/>
      </w:r>
      <w:r w:rsidR="00F30600" w:rsidRPr="007B2BB7">
        <w:t>)</w:t>
      </w:r>
      <w:r w:rsidR="00D91B8E" w:rsidRPr="007B2BB7">
        <w:t>.</w:t>
      </w:r>
      <w:r w:rsidR="00D91B8E">
        <w:t xml:space="preserve"> </w:t>
      </w:r>
    </w:p>
    <w:p w14:paraId="39D99477" w14:textId="747CA446" w:rsidR="00F30600" w:rsidRDefault="00F30600" w:rsidP="00233987">
      <w:pPr>
        <w:pStyle w:val="GraphTitle"/>
      </w:pPr>
      <w:bookmarkStart w:id="28" w:name="_Ref190265770"/>
      <w:bookmarkStart w:id="29" w:name="_Ref191388602"/>
      <w:r>
        <w:t xml:space="preserve">Attēls </w:t>
      </w:r>
      <w:r w:rsidR="00C47EA2">
        <w:fldChar w:fldCharType="begin"/>
      </w:r>
      <w:r w:rsidR="00C47EA2">
        <w:instrText xml:space="preserve"> SEQ Attēls \* ARABIC </w:instrText>
      </w:r>
      <w:r w:rsidR="00C47EA2">
        <w:fldChar w:fldCharType="separate"/>
      </w:r>
      <w:r w:rsidR="000523B6">
        <w:t>6</w:t>
      </w:r>
      <w:r w:rsidR="00C47EA2">
        <w:fldChar w:fldCharType="end"/>
      </w:r>
      <w:bookmarkEnd w:id="28"/>
      <w:r>
        <w:t xml:space="preserve">. </w:t>
      </w:r>
      <w:r w:rsidR="00B76F0C">
        <w:t xml:space="preserve">Finansējuma saņēmēju </w:t>
      </w:r>
      <w:r w:rsidR="00E43DBF">
        <w:t xml:space="preserve">vērtējums par </w:t>
      </w:r>
      <w:r w:rsidR="00233987" w:rsidRPr="00233987">
        <w:t>pieejamā finansējuma atbilstību sasniedzamajiem rezultātiem</w:t>
      </w:r>
      <w:bookmarkEnd w:id="29"/>
    </w:p>
    <w:p w14:paraId="3DE55F53" w14:textId="2B234E6E" w:rsidR="00701ACD" w:rsidRDefault="00B14012" w:rsidP="00F855E8">
      <w:r>
        <w:rPr>
          <w:noProof/>
        </w:rPr>
        <w:drawing>
          <wp:inline distT="0" distB="0" distL="0" distR="0" wp14:anchorId="0484934D" wp14:editId="300762AB">
            <wp:extent cx="6496050" cy="1343025"/>
            <wp:effectExtent l="0" t="0" r="0" b="0"/>
            <wp:docPr id="1291735040" name="Chart 1">
              <a:extLst xmlns:a="http://schemas.openxmlformats.org/drawingml/2006/main">
                <a:ext uri="{FF2B5EF4-FFF2-40B4-BE49-F238E27FC236}">
                  <a16:creationId xmlns:a16="http://schemas.microsoft.com/office/drawing/2014/main" id="{B3665B33-FE13-4CF2-A963-85E7A568B7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0411664" w14:textId="35B05F98" w:rsidR="00233987" w:rsidRPr="00785D09" w:rsidRDefault="00233987" w:rsidP="00233987">
      <w:pPr>
        <w:jc w:val="right"/>
        <w:rPr>
          <w:rStyle w:val="Izsmalcintsizclums"/>
        </w:rPr>
      </w:pPr>
      <w:r w:rsidRPr="00785D09">
        <w:rPr>
          <w:rStyle w:val="Izsmalcintsizclums"/>
        </w:rPr>
        <w:t>Avots: Finansējuma saņēmēju aptauja, n=</w:t>
      </w:r>
      <w:r w:rsidR="00B14012" w:rsidRPr="00785D09">
        <w:rPr>
          <w:rStyle w:val="Izsmalcintsizclums"/>
        </w:rPr>
        <w:t>19</w:t>
      </w:r>
    </w:p>
    <w:p w14:paraId="5D64CE3B" w14:textId="51985ECA" w:rsidR="00A4726F" w:rsidRDefault="00A133C1" w:rsidP="00F855E8">
      <w:r>
        <w:t>Kar</w:t>
      </w:r>
      <w:r w:rsidR="0065483D">
        <w:t>a</w:t>
      </w:r>
      <w:r>
        <w:t xml:space="preserve"> Ukrainā un ģeopolitiskās izmaiņ</w:t>
      </w:r>
      <w:r w:rsidR="0065483D">
        <w:t>u</w:t>
      </w:r>
      <w:r>
        <w:t xml:space="preserve"> ietekmē</w:t>
      </w:r>
      <w:r w:rsidR="005C680D">
        <w:t xml:space="preserve">, </w:t>
      </w:r>
      <w:r>
        <w:t>fonda īstenošan</w:t>
      </w:r>
      <w:r w:rsidR="005C680D">
        <w:t>as process saskārās ar būtiskiem izaicinājumiem. Tie izpaudās</w:t>
      </w:r>
      <w:r>
        <w:t xml:space="preserve"> </w:t>
      </w:r>
      <w:r w:rsidR="005C680D">
        <w:t>gan</w:t>
      </w:r>
      <w:r>
        <w:t xml:space="preserve"> vispārēj</w:t>
      </w:r>
      <w:r w:rsidR="005C680D">
        <w:t>ā</w:t>
      </w:r>
      <w:r>
        <w:t xml:space="preserve"> cenu </w:t>
      </w:r>
      <w:r w:rsidR="00F460CA">
        <w:t>līmeņa pieaugumā</w:t>
      </w:r>
      <w:r w:rsidR="00B84651">
        <w:t>,</w:t>
      </w:r>
      <w:r>
        <w:t xml:space="preserve"> </w:t>
      </w:r>
      <w:r w:rsidR="00F460CA">
        <w:t>gan ievērojamā</w:t>
      </w:r>
      <w:r w:rsidR="00891731">
        <w:t xml:space="preserve"> mērķu gr</w:t>
      </w:r>
      <w:r w:rsidR="00136413">
        <w:t>u</w:t>
      </w:r>
      <w:r w:rsidR="00891731">
        <w:t>pas paplašināšanās tendencē</w:t>
      </w:r>
      <w:r w:rsidR="004C73D3">
        <w:t xml:space="preserve"> saistībā ar</w:t>
      </w:r>
      <w:r>
        <w:t xml:space="preserve"> migrācijas plūsm</w:t>
      </w:r>
      <w:r w:rsidR="004C73D3">
        <w:t>as pieaugumu</w:t>
      </w:r>
      <w:r>
        <w:t xml:space="preserve">, </w:t>
      </w:r>
      <w:r w:rsidR="004C73D3">
        <w:t xml:space="preserve">kas </w:t>
      </w:r>
      <w:r w:rsidR="00850B7D">
        <w:t>rad</w:t>
      </w:r>
      <w:r w:rsidR="004C73D3">
        <w:t>īja</w:t>
      </w:r>
      <w:r w:rsidR="00850B7D">
        <w:t xml:space="preserve"> nepieciešamību pēc papildu finans</w:t>
      </w:r>
      <w:r w:rsidR="00A4726F">
        <w:t>iālā nodrošinājuma</w:t>
      </w:r>
      <w:r w:rsidR="00850B7D">
        <w:t xml:space="preserve"> aktivitāšu īstenošanai</w:t>
      </w:r>
      <w:r w:rsidR="00B6688F">
        <w:t>.</w:t>
      </w:r>
    </w:p>
    <w:p w14:paraId="49ED0B83" w14:textId="55AC98DA" w:rsidR="00AF6DD6" w:rsidRDefault="00B6688F" w:rsidP="00F855E8">
      <w:r>
        <w:t>Atbildīgās iestādes pārraudzī</w:t>
      </w:r>
      <w:r w:rsidR="00A4726F">
        <w:t>tajos</w:t>
      </w:r>
      <w:r>
        <w:t xml:space="preserve"> </w:t>
      </w:r>
      <w:r w:rsidR="00A35D45">
        <w:t>p</w:t>
      </w:r>
      <w:r>
        <w:t>rojekt</w:t>
      </w:r>
      <w:r w:rsidR="00A4726F">
        <w:t>os</w:t>
      </w:r>
      <w:r w:rsidR="00A35D45">
        <w:t xml:space="preserve"> finansējuma saņēmēji</w:t>
      </w:r>
      <w:r>
        <w:t xml:space="preserve"> atzinīgi </w:t>
      </w:r>
      <w:r w:rsidR="00CE78D9">
        <w:t>no</w:t>
      </w:r>
      <w:r>
        <w:t xml:space="preserve">vērtē iespējas rast papildu finanšu līdzekļus izmaksu pieauguma </w:t>
      </w:r>
      <w:r w:rsidR="00E905E8">
        <w:t>kompensēšanai</w:t>
      </w:r>
      <w:r>
        <w:t xml:space="preserve">. </w:t>
      </w:r>
      <w:r w:rsidR="00AF6DD6">
        <w:t>Vienlaikus gadījumos, kad kādā</w:t>
      </w:r>
      <w:r w:rsidR="00253EE1">
        <w:t xml:space="preserve"> no</w:t>
      </w:r>
      <w:r w:rsidR="00AF6DD6">
        <w:t xml:space="preserve"> aktivitātē</w:t>
      </w:r>
      <w:r w:rsidR="00253EE1">
        <w:t>m</w:t>
      </w:r>
      <w:r w:rsidR="00AF6DD6">
        <w:t xml:space="preserve"> radās finanšu ietaupījums</w:t>
      </w:r>
      <w:r w:rsidR="00264F4D">
        <w:t>,</w:t>
      </w:r>
      <w:r w:rsidR="00B2258E">
        <w:t xml:space="preserve"> tika piemērota </w:t>
      </w:r>
      <w:r w:rsidR="00AF6DD6">
        <w:t>elastīg</w:t>
      </w:r>
      <w:r w:rsidR="00B2258E">
        <w:t xml:space="preserve">a </w:t>
      </w:r>
      <w:r w:rsidR="00AF6DD6">
        <w:t>pieej</w:t>
      </w:r>
      <w:r w:rsidR="00B2258E">
        <w:t>a</w:t>
      </w:r>
      <w:r w:rsidR="00AF6DD6">
        <w:t xml:space="preserve"> finansējuma pārplānošanai citām aktivitātēm vai citu projektu pasākumu nodrošināšanai</w:t>
      </w:r>
      <w:r w:rsidR="00A35D45">
        <w:t xml:space="preserve">, lai sekmētu lietderīgu un efektīvu līdzekļu izmantošanu. </w:t>
      </w:r>
    </w:p>
    <w:p w14:paraId="2533EC24" w14:textId="4353FAEB" w:rsidR="00DA6BDD" w:rsidRDefault="00254D56" w:rsidP="00F855E8">
      <w:r>
        <w:t>A</w:t>
      </w:r>
      <w:r w:rsidR="00DA6BDD">
        <w:t>tbildīgās iestādes pārstāvji</w:t>
      </w:r>
      <w:r>
        <w:t xml:space="preserve"> </w:t>
      </w:r>
      <w:r w:rsidR="00F872CF">
        <w:t>norādīja uz</w:t>
      </w:r>
      <w:r>
        <w:t xml:space="preserve"> būtisk</w:t>
      </w:r>
      <w:r w:rsidR="00F872CF">
        <w:t>ām izmaiņām</w:t>
      </w:r>
      <w:r>
        <w:t xml:space="preserve"> finansējuma plāno</w:t>
      </w:r>
      <w:r w:rsidR="00F872CF">
        <w:t>šan</w:t>
      </w:r>
      <w:r w:rsidR="000F5204">
        <w:t>ā programmas īstenošanas gaitā.</w:t>
      </w:r>
      <w:r w:rsidR="009D3130">
        <w:t xml:space="preserve"> S</w:t>
      </w:r>
      <w:r w:rsidR="00587037">
        <w:t>āk</w:t>
      </w:r>
      <w:r w:rsidR="009D3130">
        <w:t>otnēji</w:t>
      </w:r>
      <w:r w:rsidR="00587037">
        <w:t xml:space="preserve">, kad prognozētais mērķa grupu pārstāvju skaits bija salīdzinoši </w:t>
      </w:r>
      <w:r w:rsidR="009D3130">
        <w:t>mazs</w:t>
      </w:r>
      <w:r w:rsidR="00587037">
        <w:t xml:space="preserve">, </w:t>
      </w:r>
      <w:r w:rsidR="009D3130">
        <w:t xml:space="preserve">lielākā daļa </w:t>
      </w:r>
      <w:r w:rsidR="00587037">
        <w:t xml:space="preserve">finansējuma </w:t>
      </w:r>
      <w:r w:rsidR="009D3130">
        <w:t xml:space="preserve">tika </w:t>
      </w:r>
      <w:r w:rsidR="00587037">
        <w:t>novirzīt</w:t>
      </w:r>
      <w:r w:rsidR="009D3130">
        <w:t>a</w:t>
      </w:r>
      <w:r w:rsidR="00587037">
        <w:t xml:space="preserve"> </w:t>
      </w:r>
      <w:r w:rsidR="002379D9">
        <w:t>IT sistēmu attīstība</w:t>
      </w:r>
      <w:r w:rsidR="00C23F80">
        <w:t>i</w:t>
      </w:r>
      <w:r w:rsidR="002379D9">
        <w:t xml:space="preserve">. Taču, </w:t>
      </w:r>
      <w:r w:rsidR="001079A4">
        <w:t xml:space="preserve">līdz ar </w:t>
      </w:r>
      <w:r w:rsidR="002379D9">
        <w:t xml:space="preserve">patvēruma meklētāju un </w:t>
      </w:r>
      <w:r w:rsidR="008972E4">
        <w:t>TVP</w:t>
      </w:r>
      <w:r w:rsidR="002379D9">
        <w:t xml:space="preserve"> skaita</w:t>
      </w:r>
      <w:r w:rsidR="001079A4">
        <w:t xml:space="preserve"> pieaugumu</w:t>
      </w:r>
      <w:r w:rsidR="002379D9">
        <w:t xml:space="preserve"> Latvijā, </w:t>
      </w:r>
      <w:r w:rsidR="006411AD">
        <w:t xml:space="preserve">finansējumu nācās pārplānot, </w:t>
      </w:r>
      <w:r w:rsidR="00BF7F11">
        <w:t xml:space="preserve">palielinot </w:t>
      </w:r>
      <w:r w:rsidR="006411AD">
        <w:t>mērķa grupu atbalstam</w:t>
      </w:r>
      <w:r w:rsidR="00EE57B8">
        <w:t xml:space="preserve"> paredzēto līdzekļu apjomu</w:t>
      </w:r>
      <w:r w:rsidR="006411AD">
        <w:t>.</w:t>
      </w:r>
    </w:p>
    <w:p w14:paraId="21C1DA77" w14:textId="4DA728EE" w:rsidR="007B26BD" w:rsidRDefault="00B6688F" w:rsidP="00F855E8">
      <w:r>
        <w:lastRenderedPageBreak/>
        <w:t>Savukārt deleģētās iestādes pārraudzībā esošo projektu finansējuma saņēmēji</w:t>
      </w:r>
      <w:r w:rsidR="00913EFE">
        <w:t xml:space="preserve">, kuru projekti tika </w:t>
      </w:r>
      <w:r w:rsidR="00E03F67">
        <w:t>atlasīti</w:t>
      </w:r>
      <w:r w:rsidR="00BA0B3C">
        <w:t xml:space="preserve"> </w:t>
      </w:r>
      <w:r w:rsidR="00A35D45">
        <w:t xml:space="preserve">atklāta projektu konkursu </w:t>
      </w:r>
      <w:r w:rsidR="00E03F67">
        <w:t>kārtībā</w:t>
      </w:r>
      <w:r w:rsidR="00913EFE">
        <w:t xml:space="preserve">, </w:t>
      </w:r>
      <w:r w:rsidR="00E03F67">
        <w:t xml:space="preserve">akcentē </w:t>
      </w:r>
      <w:r w:rsidR="000404D7">
        <w:t xml:space="preserve">konkursa nolikumā ietvertās prasības, </w:t>
      </w:r>
      <w:r w:rsidR="00C7209A">
        <w:t xml:space="preserve">kas </w:t>
      </w:r>
      <w:r w:rsidR="00913EFE">
        <w:t>ierobežo</w:t>
      </w:r>
      <w:r w:rsidR="00C7209A">
        <w:t>ja</w:t>
      </w:r>
      <w:r w:rsidR="00913EFE">
        <w:t xml:space="preserve"> iespēj</w:t>
      </w:r>
      <w:r w:rsidR="009329E1">
        <w:t>as</w:t>
      </w:r>
      <w:r w:rsidR="00913EFE">
        <w:t xml:space="preserve"> pārplānot piešķirto budžetu</w:t>
      </w:r>
      <w:r w:rsidR="007B26BD">
        <w:t xml:space="preserve">, lai pielāgotos mainīgajiem </w:t>
      </w:r>
      <w:r w:rsidR="00A35D45">
        <w:t>apstākļiem</w:t>
      </w:r>
      <w:r w:rsidR="007B26BD">
        <w:t>.</w:t>
      </w:r>
    </w:p>
    <w:p w14:paraId="09E87183" w14:textId="1ADDA96B" w:rsidR="009B4BED" w:rsidRPr="000F76D2" w:rsidRDefault="003D2C02" w:rsidP="00F855E8">
      <w:r>
        <w:t>Finansējuma saņēmēju aptaujā v</w:t>
      </w:r>
      <w:r w:rsidR="000F76D2">
        <w:t>isvairāk</w:t>
      </w:r>
      <w:r w:rsidR="0002653C" w:rsidRPr="000F76D2">
        <w:t xml:space="preserve"> jeb </w:t>
      </w:r>
      <w:r w:rsidR="00E1505C">
        <w:t>17</w:t>
      </w:r>
      <w:r w:rsidR="00D91B8E" w:rsidRPr="000F76D2">
        <w:t xml:space="preserve"> </w:t>
      </w:r>
      <w:r>
        <w:t>respondentu</w:t>
      </w:r>
      <w:r w:rsidR="00D91B8E" w:rsidRPr="000F76D2">
        <w:t xml:space="preserve"> </w:t>
      </w:r>
      <w:r w:rsidR="009B4BED" w:rsidRPr="000F76D2">
        <w:t>norādīja</w:t>
      </w:r>
      <w:r w:rsidR="00D91B8E" w:rsidRPr="000F76D2">
        <w:t>, ka</w:t>
      </w:r>
      <w:r w:rsidR="00CC6457" w:rsidRPr="000F76D2">
        <w:t xml:space="preserve"> pasākumu</w:t>
      </w:r>
      <w:r w:rsidR="008F5ECF">
        <w:t xml:space="preserve"> plānošanā balstās uz </w:t>
      </w:r>
      <w:r w:rsidR="00A536A2" w:rsidRPr="000F76D2">
        <w:t>līdzšinēj</w:t>
      </w:r>
      <w:r w:rsidR="008F5ECF">
        <w:t>o</w:t>
      </w:r>
      <w:r w:rsidR="00A536A2" w:rsidRPr="000F76D2">
        <w:t xml:space="preserve"> pieredz</w:t>
      </w:r>
      <w:r w:rsidR="008F5ECF">
        <w:t>i</w:t>
      </w:r>
      <w:r w:rsidR="00A536A2" w:rsidRPr="000F76D2">
        <w:t xml:space="preserve"> līdzīgu pasākumu īstenošanā.</w:t>
      </w:r>
      <w:r w:rsidR="00C81968" w:rsidRPr="000F76D2">
        <w:t xml:space="preserve"> Tāpat finansējuma</w:t>
      </w:r>
      <w:r w:rsidR="00C55BA8" w:rsidRPr="000F76D2">
        <w:t xml:space="preserve"> saņēmēji norādīja, </w:t>
      </w:r>
      <w:r w:rsidR="0002653C" w:rsidRPr="000F76D2">
        <w:t>ka tiek ņemtas vērā ārēji noteikt</w:t>
      </w:r>
      <w:r w:rsidR="006F6FE3" w:rsidRPr="000F76D2">
        <w:t>ās prasības</w:t>
      </w:r>
      <w:r w:rsidR="00BE5E0E" w:rsidRPr="000F76D2">
        <w:t xml:space="preserve">, piemēram, </w:t>
      </w:r>
      <w:r w:rsidR="00D22B5A" w:rsidRPr="000F76D2">
        <w:t xml:space="preserve">ES regulās, nacionālajos normatīvajos aktos, kā arī </w:t>
      </w:r>
      <w:r w:rsidR="00B51B8F">
        <w:t>vajadzības, kas ir identificētas</w:t>
      </w:r>
      <w:r w:rsidR="00B55CB1">
        <w:t>,</w:t>
      </w:r>
      <w:r w:rsidR="00B51B8F">
        <w:t xml:space="preserve"> veicot</w:t>
      </w:r>
      <w:r w:rsidR="00C20487" w:rsidRPr="000F76D2">
        <w:t xml:space="preserve"> </w:t>
      </w:r>
      <w:r w:rsidR="00866758">
        <w:t xml:space="preserve">iestādes, organizācijas vai </w:t>
      </w:r>
      <w:r w:rsidR="00C20487" w:rsidRPr="000F76D2">
        <w:t xml:space="preserve">mērķa grupu </w:t>
      </w:r>
      <w:r w:rsidR="00866758">
        <w:t xml:space="preserve">vajadzību </w:t>
      </w:r>
      <w:r w:rsidR="00B51B8F">
        <w:t>i</w:t>
      </w:r>
      <w:r w:rsidR="00B15B00" w:rsidRPr="000F76D2">
        <w:t>epriekšēj</w:t>
      </w:r>
      <w:r w:rsidR="00B51B8F">
        <w:t>u izpēti</w:t>
      </w:r>
      <w:r w:rsidR="00B15B00" w:rsidRPr="000F76D2">
        <w:t xml:space="preserve"> (</w:t>
      </w:r>
      <w:r w:rsidR="003548CD">
        <w:rPr>
          <w:highlight w:val="yellow"/>
        </w:rPr>
        <w:fldChar w:fldCharType="begin"/>
      </w:r>
      <w:r w:rsidR="003548CD">
        <w:instrText xml:space="preserve"> REF _Ref190266089 \h </w:instrText>
      </w:r>
      <w:r w:rsidR="003548CD">
        <w:rPr>
          <w:highlight w:val="yellow"/>
        </w:rPr>
      </w:r>
      <w:r w:rsidR="003548CD">
        <w:rPr>
          <w:highlight w:val="yellow"/>
        </w:rPr>
        <w:fldChar w:fldCharType="separate"/>
      </w:r>
      <w:r w:rsidR="000523B6">
        <w:t xml:space="preserve">Attēls </w:t>
      </w:r>
      <w:r w:rsidR="000523B6">
        <w:rPr>
          <w:noProof/>
        </w:rPr>
        <w:t>7</w:t>
      </w:r>
      <w:r w:rsidR="003548CD">
        <w:rPr>
          <w:highlight w:val="yellow"/>
        </w:rPr>
        <w:fldChar w:fldCharType="end"/>
      </w:r>
      <w:r w:rsidR="00B15B00" w:rsidRPr="000F76D2">
        <w:t>).</w:t>
      </w:r>
    </w:p>
    <w:p w14:paraId="252F5EB4" w14:textId="707FBAA2" w:rsidR="000F76D2" w:rsidRDefault="000F76D2" w:rsidP="000F76D2">
      <w:pPr>
        <w:pStyle w:val="GraphTitle"/>
      </w:pPr>
      <w:bookmarkStart w:id="30" w:name="_Ref190266089"/>
      <w:bookmarkStart w:id="31" w:name="_Ref191388604"/>
      <w:r>
        <w:t xml:space="preserve">Attēls </w:t>
      </w:r>
      <w:r w:rsidR="00C47EA2">
        <w:fldChar w:fldCharType="begin"/>
      </w:r>
      <w:r w:rsidR="00C47EA2">
        <w:instrText xml:space="preserve"> SEQ Attēls \* ARABIC </w:instrText>
      </w:r>
      <w:r w:rsidR="00C47EA2">
        <w:fldChar w:fldCharType="separate"/>
      </w:r>
      <w:r w:rsidR="000523B6">
        <w:t>7</w:t>
      </w:r>
      <w:r w:rsidR="00C47EA2">
        <w:fldChar w:fldCharType="end"/>
      </w:r>
      <w:bookmarkEnd w:id="30"/>
      <w:r>
        <w:t xml:space="preserve">. Finansējuma saņēmēju vērtējums par aspektiem, kas </w:t>
      </w:r>
      <w:r w:rsidRPr="00642965">
        <w:t>tika ņemti vērā, plānojot projekta/-u pasākumus un aktivitātes</w:t>
      </w:r>
      <w:bookmarkEnd w:id="31"/>
    </w:p>
    <w:p w14:paraId="429C7100" w14:textId="1E774F6D" w:rsidR="007F07CF" w:rsidRDefault="00E1505C" w:rsidP="00F855E8">
      <w:r>
        <w:rPr>
          <w:noProof/>
        </w:rPr>
        <w:drawing>
          <wp:inline distT="0" distB="0" distL="0" distR="0" wp14:anchorId="622EC0B8" wp14:editId="5021CFD6">
            <wp:extent cx="6572250" cy="1739900"/>
            <wp:effectExtent l="0" t="0" r="0" b="0"/>
            <wp:docPr id="1682056678" name="Chart 1">
              <a:extLst xmlns:a="http://schemas.openxmlformats.org/drawingml/2006/main">
                <a:ext uri="{FF2B5EF4-FFF2-40B4-BE49-F238E27FC236}">
                  <a16:creationId xmlns:a16="http://schemas.microsoft.com/office/drawing/2014/main" id="{053A11E8-E620-457D-9E69-35B2B4F5E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A01DB99" w14:textId="2BFAF5CE" w:rsidR="007C5185" w:rsidRPr="00785D09" w:rsidRDefault="007C5185" w:rsidP="007C5185">
      <w:pPr>
        <w:jc w:val="right"/>
        <w:rPr>
          <w:rStyle w:val="Izsmalcintsizclums"/>
        </w:rPr>
      </w:pPr>
      <w:r w:rsidRPr="00785D09">
        <w:rPr>
          <w:rStyle w:val="Izsmalcintsizclums"/>
        </w:rPr>
        <w:t>Avots: Finansējuma saņēmēju aptauja, n=</w:t>
      </w:r>
      <w:r w:rsidR="00D517C4" w:rsidRPr="00785D09">
        <w:rPr>
          <w:rStyle w:val="Izsmalcintsizclums"/>
        </w:rPr>
        <w:t>19</w:t>
      </w:r>
    </w:p>
    <w:p w14:paraId="7611181D" w14:textId="20DA227B" w:rsidR="00A32E1B" w:rsidRDefault="00A32E1B" w:rsidP="00F855E8">
      <w:r>
        <w:t>Projektu izvērtēšanas laikā lietderības aspekts tika vērtēts projekta iesniegum</w:t>
      </w:r>
      <w:r w:rsidR="00785E69">
        <w:t>u</w:t>
      </w:r>
      <w:r>
        <w:t xml:space="preserve"> kvalitātes un budžeta kritēriju kontekstā. </w:t>
      </w:r>
      <w:r w:rsidR="00785E69">
        <w:t>Vienlaikus Programmas īstenošanas laikā</w:t>
      </w:r>
      <w:r w:rsidR="002A7B84">
        <w:t xml:space="preserve"> tika ieviesta papildu </w:t>
      </w:r>
      <w:r w:rsidR="00477FAF">
        <w:t xml:space="preserve">kontroles </w:t>
      </w:r>
      <w:r w:rsidR="002A7B84">
        <w:t>procedūra</w:t>
      </w:r>
      <w:r w:rsidR="00477FAF">
        <w:t>, kas paredzēja</w:t>
      </w:r>
      <w:r w:rsidR="00154BB9">
        <w:t xml:space="preserve"> finansējuma saņēmējiem,</w:t>
      </w:r>
      <w:r w:rsidR="002A7B84">
        <w:t xml:space="preserve"> </w:t>
      </w:r>
      <w:r w:rsidR="00154BB9">
        <w:t>v</w:t>
      </w:r>
      <w:r w:rsidR="00785E69">
        <w:t xml:space="preserve">eicot projektu grozījumus vai iesniedzot jaunus projektu iesniegumus, </w:t>
      </w:r>
      <w:r w:rsidR="007C21B1">
        <w:t>pievieno</w:t>
      </w:r>
      <w:r w:rsidR="00154BB9">
        <w:t>t</w:t>
      </w:r>
      <w:r w:rsidR="007C21B1">
        <w:t xml:space="preserve"> </w:t>
      </w:r>
      <w:r w:rsidR="00785E69">
        <w:t>tirgus izpētes dokumentācij</w:t>
      </w:r>
      <w:r w:rsidR="00154BB9">
        <w:t>u. Šī prasība tika ieviesta,</w:t>
      </w:r>
      <w:r w:rsidR="00785E69">
        <w:t xml:space="preserve"> lai gūtu pārliecību</w:t>
      </w:r>
      <w:r w:rsidR="003B4388">
        <w:t xml:space="preserve"> par</w:t>
      </w:r>
      <w:r w:rsidR="00785E69">
        <w:t xml:space="preserve"> </w:t>
      </w:r>
      <w:r w:rsidR="00230F04">
        <w:t>budžetā ieplānot</w:t>
      </w:r>
      <w:r w:rsidR="003B4388">
        <w:t>o</w:t>
      </w:r>
      <w:r w:rsidR="00230F04">
        <w:t xml:space="preserve"> līdzekļ</w:t>
      </w:r>
      <w:r w:rsidR="003B4388">
        <w:t>u</w:t>
      </w:r>
      <w:r w:rsidR="00230F04">
        <w:t xml:space="preserve"> atbilst</w:t>
      </w:r>
      <w:r w:rsidR="003B4388">
        <w:t>ību</w:t>
      </w:r>
      <w:r w:rsidR="00230F04">
        <w:t xml:space="preserve"> tirgus </w:t>
      </w:r>
      <w:r w:rsidR="003B4388">
        <w:t xml:space="preserve">cenu </w:t>
      </w:r>
      <w:r w:rsidR="00230F04">
        <w:t>līmenim.</w:t>
      </w:r>
    </w:p>
    <w:p w14:paraId="3918575E" w14:textId="4D11C36D" w:rsidR="00EF4000" w:rsidRPr="00B16D79" w:rsidRDefault="00F70221" w:rsidP="00F855E8">
      <w:r>
        <w:t>Programm</w:t>
      </w:r>
      <w:r w:rsidR="00B37AD2">
        <w:t>as</w:t>
      </w:r>
      <w:r>
        <w:t xml:space="preserve"> uzraudzības un pārvaldības sistēmā </w:t>
      </w:r>
      <w:r w:rsidR="00F90D34">
        <w:t>bija</w:t>
      </w:r>
      <w:r w:rsidRPr="00F70221">
        <w:t xml:space="preserve"> nodrošināti mehānismi, kas sekmē</w:t>
      </w:r>
      <w:r w:rsidR="00B37AD2">
        <w:t>ja</w:t>
      </w:r>
      <w:r>
        <w:t xml:space="preserve"> projektu</w:t>
      </w:r>
      <w:r w:rsidRPr="00F70221">
        <w:t xml:space="preserve"> izmaksu atbilstību tirgus </w:t>
      </w:r>
      <w:r w:rsidR="00B37AD2">
        <w:t>situācijai.</w:t>
      </w:r>
      <w:r w:rsidRPr="00F70221">
        <w:t xml:space="preserve"> </w:t>
      </w:r>
      <w:r w:rsidR="00EF4000">
        <w:t>Piemēram, granta līgum</w:t>
      </w:r>
      <w:r w:rsidR="00E746D0">
        <w:t>a pielikum</w:t>
      </w:r>
      <w:r w:rsidR="00A91662">
        <w:t xml:space="preserve">ā </w:t>
      </w:r>
      <w:r w:rsidR="00CD79D3">
        <w:t>definētie</w:t>
      </w:r>
      <w:r w:rsidR="00EF4000">
        <w:t xml:space="preserve"> izmaksu attiecināmības </w:t>
      </w:r>
      <w:r w:rsidR="00E746D0">
        <w:t>pamatprincip</w:t>
      </w:r>
      <w:r w:rsidR="001D7B51">
        <w:t>i</w:t>
      </w:r>
      <w:r w:rsidR="00CD79D3">
        <w:t xml:space="preserve"> </w:t>
      </w:r>
      <w:r w:rsidR="00E746D0">
        <w:t>noteica finansējuma saņēmēj</w:t>
      </w:r>
      <w:r w:rsidR="00CD79D3">
        <w:t>u</w:t>
      </w:r>
      <w:r w:rsidR="00E746D0">
        <w:t xml:space="preserve"> pienākumu</w:t>
      </w:r>
      <w:r w:rsidR="00CD79D3">
        <w:t>s</w:t>
      </w:r>
      <w:r w:rsidR="00FB16AA" w:rsidRPr="00FB16AA">
        <w:t xml:space="preserve"> iepirkum</w:t>
      </w:r>
      <w:r w:rsidR="00A82D04">
        <w:t>os</w:t>
      </w:r>
      <w:r w:rsidR="00FB16AA" w:rsidRPr="00FB16AA">
        <w:t xml:space="preserve"> un </w:t>
      </w:r>
      <w:r w:rsidR="004B0BFF">
        <w:t>līgum</w:t>
      </w:r>
      <w:r w:rsidR="00A82D04">
        <w:t>os</w:t>
      </w:r>
      <w:r w:rsidR="00E60325">
        <w:t xml:space="preserve"> par</w:t>
      </w:r>
      <w:r w:rsidR="00FB16AA" w:rsidRPr="00FB16AA">
        <w:t xml:space="preserve"> preču piegād</w:t>
      </w:r>
      <w:r w:rsidR="00E60325">
        <w:t>i</w:t>
      </w:r>
      <w:r w:rsidR="00FB16AA" w:rsidRPr="00FB16AA">
        <w:t xml:space="preserve"> vai pakalpojum</w:t>
      </w:r>
      <w:r w:rsidR="00E60325">
        <w:t>iem</w:t>
      </w:r>
      <w:r w:rsidR="00FB16AA" w:rsidRPr="00FB16AA">
        <w:t xml:space="preserve"> </w:t>
      </w:r>
      <w:r w:rsidR="00EF55C1">
        <w:t>ievērot</w:t>
      </w:r>
      <w:r w:rsidR="00FB16AA" w:rsidRPr="00FB16AA">
        <w:t xml:space="preserve"> labas saimnieciskās prakses, </w:t>
      </w:r>
      <w:r w:rsidR="0060094A">
        <w:t xml:space="preserve">procesa </w:t>
      </w:r>
      <w:r w:rsidR="00FB16AA" w:rsidRPr="00FB16AA">
        <w:t>caurskatāmīb</w:t>
      </w:r>
      <w:r w:rsidR="008309F4">
        <w:t>u</w:t>
      </w:r>
      <w:r w:rsidR="00FB16AA" w:rsidRPr="00FB16AA">
        <w:t xml:space="preserve"> un godīgas konkurences princip</w:t>
      </w:r>
      <w:r w:rsidR="00EF55C1">
        <w:t>u</w:t>
      </w:r>
      <w:r w:rsidR="00FB16AA" w:rsidRPr="00FB16AA">
        <w:t xml:space="preserve">s, kā arī </w:t>
      </w:r>
      <w:r w:rsidR="007C4138">
        <w:t xml:space="preserve">nodrošināt </w:t>
      </w:r>
      <w:r w:rsidR="00FB16AA" w:rsidRPr="00FB16AA">
        <w:t>piešķirtā finansējuma</w:t>
      </w:r>
      <w:r w:rsidR="006965F1">
        <w:t xml:space="preserve"> lietderīgu</w:t>
      </w:r>
      <w:r w:rsidR="00FB16AA" w:rsidRPr="00FB16AA">
        <w:t xml:space="preserve"> izlietojum</w:t>
      </w:r>
      <w:r w:rsidR="007C4138">
        <w:t>u</w:t>
      </w:r>
      <w:r w:rsidR="00EF55C1">
        <w:t xml:space="preserve">. Vienlaikus, finansējuma saņēmējiem </w:t>
      </w:r>
      <w:r w:rsidR="00585B4A">
        <w:t xml:space="preserve">bija noteikts pienākums veikt cenu aptauju vai tirgus izpēti gadījumos, kad </w:t>
      </w:r>
      <w:r w:rsidR="006319CB" w:rsidRPr="0093421F">
        <w:t>līdzīga veida preču iegād</w:t>
      </w:r>
      <w:r w:rsidR="00D46DEB">
        <w:t>es</w:t>
      </w:r>
      <w:r w:rsidR="006319CB" w:rsidRPr="0093421F">
        <w:t>, pakalpojumu saņemšan</w:t>
      </w:r>
      <w:r w:rsidR="00D46DEB">
        <w:t>as</w:t>
      </w:r>
      <w:r w:rsidR="006319CB" w:rsidRPr="0093421F">
        <w:t xml:space="preserve"> vai būvdarb</w:t>
      </w:r>
      <w:r w:rsidR="00D46DEB">
        <w:t>u kopējā summa</w:t>
      </w:r>
      <w:r w:rsidR="006319CB" w:rsidRPr="0093421F">
        <w:t xml:space="preserve"> </w:t>
      </w:r>
      <w:r w:rsidR="00D46DEB">
        <w:t>bija</w:t>
      </w:r>
      <w:r w:rsidR="00D46DEB" w:rsidRPr="0093421F">
        <w:t xml:space="preserve"> </w:t>
      </w:r>
      <w:r w:rsidR="006319CB" w:rsidRPr="0093421F">
        <w:t xml:space="preserve">lielāka par 1 500 </w:t>
      </w:r>
      <w:r w:rsidR="006319CB">
        <w:rPr>
          <w:i/>
          <w:iCs/>
        </w:rPr>
        <w:t>euro</w:t>
      </w:r>
      <w:r w:rsidR="00D46DEB">
        <w:t>.</w:t>
      </w:r>
      <w:r w:rsidR="006319CB">
        <w:t xml:space="preserve"> </w:t>
      </w:r>
      <w:r w:rsidR="00D46DEB">
        <w:t xml:space="preserve">Šādos gadījumos bija </w:t>
      </w:r>
      <w:r w:rsidR="00B34D28">
        <w:t xml:space="preserve">jāapkopo </w:t>
      </w:r>
      <w:r w:rsidR="00EF55C1">
        <w:t>vismaz 3 pretendentu piedāvājum</w:t>
      </w:r>
      <w:r w:rsidR="00B34D28">
        <w:t>i</w:t>
      </w:r>
      <w:r w:rsidR="005B7F35">
        <w:rPr>
          <w:i/>
          <w:iCs/>
        </w:rPr>
        <w:t xml:space="preserve">, </w:t>
      </w:r>
      <w:r w:rsidR="00B34D28">
        <w:t>izvēloties</w:t>
      </w:r>
      <w:r w:rsidR="005B7F35">
        <w:t xml:space="preserve"> piegādātāj</w:t>
      </w:r>
      <w:r w:rsidR="00B34D28">
        <w:t>u</w:t>
      </w:r>
      <w:r w:rsidR="005B7F35">
        <w:t xml:space="preserve"> ar zemāk</w:t>
      </w:r>
      <w:r w:rsidR="00C331EB">
        <w:t>ās</w:t>
      </w:r>
      <w:r w:rsidR="005B7F35">
        <w:t xml:space="preserve"> cen</w:t>
      </w:r>
      <w:r w:rsidR="00C331EB">
        <w:t>as</w:t>
      </w:r>
      <w:r w:rsidR="00B34D28">
        <w:t xml:space="preserve"> piedāvājumu</w:t>
      </w:r>
      <w:r w:rsidR="00B16D79">
        <w:rPr>
          <w:i/>
          <w:iCs/>
        </w:rPr>
        <w:t xml:space="preserve">. </w:t>
      </w:r>
    </w:p>
    <w:p w14:paraId="179D1547" w14:textId="30831E09" w:rsidR="006937E0" w:rsidRDefault="00B34D28" w:rsidP="00F855E8">
      <w:r>
        <w:t>Papildu tam</w:t>
      </w:r>
      <w:r w:rsidR="00430E87">
        <w:t>,</w:t>
      </w:r>
      <w:r>
        <w:t xml:space="preserve"> </w:t>
      </w:r>
      <w:r w:rsidR="000724E0">
        <w:t>valsts pārvaldes iestā</w:t>
      </w:r>
      <w:r w:rsidR="00D93BBD">
        <w:t>d</w:t>
      </w:r>
      <w:r w:rsidR="00430E87">
        <w:t>ēm kā finansējuma saņēmējiem bija</w:t>
      </w:r>
      <w:r w:rsidR="00D93BBD">
        <w:t xml:space="preserve"> saistošas Publiskā iepirkumu likumu prasības, k</w:t>
      </w:r>
      <w:r w:rsidR="001C0AE0">
        <w:t xml:space="preserve">urās ir noteiktas līgumcenu robežvērtības, </w:t>
      </w:r>
      <w:r w:rsidR="00167460">
        <w:t>kas nosaka</w:t>
      </w:r>
      <w:r w:rsidR="001C0AE0">
        <w:t xml:space="preserve"> </w:t>
      </w:r>
      <w:r w:rsidR="00E94737">
        <w:t xml:space="preserve">obligātu </w:t>
      </w:r>
      <w:r w:rsidR="001C0AE0">
        <w:t xml:space="preserve">publiskā iepirkuma </w:t>
      </w:r>
      <w:r w:rsidR="00E94737">
        <w:t xml:space="preserve">likuma normu </w:t>
      </w:r>
      <w:r w:rsidR="00167460">
        <w:t>piemērošan</w:t>
      </w:r>
      <w:r w:rsidR="00E94737">
        <w:t>u, kas</w:t>
      </w:r>
      <w:r w:rsidR="00167460">
        <w:t xml:space="preserve"> ir vērstas</w:t>
      </w:r>
      <w:r w:rsidR="003214D1">
        <w:t xml:space="preserve"> uz</w:t>
      </w:r>
      <w:r w:rsidR="00E94737">
        <w:t xml:space="preserve"> iepirkuma atklātumu,</w:t>
      </w:r>
      <w:r w:rsidR="008659AF">
        <w:t xml:space="preserve"> vienlīdzīga</w:t>
      </w:r>
      <w:r w:rsidR="003214D1">
        <w:t>s</w:t>
      </w:r>
      <w:r w:rsidR="008659AF">
        <w:t xml:space="preserve"> konkurence</w:t>
      </w:r>
      <w:r w:rsidR="003214D1">
        <w:t>s nodrošināšanu</w:t>
      </w:r>
      <w:r w:rsidR="00E94737">
        <w:t xml:space="preserve">, līdzekļu efektīvu izlietošanu </w:t>
      </w:r>
      <w:r w:rsidR="00847FF8">
        <w:t xml:space="preserve">un </w:t>
      </w:r>
      <w:r w:rsidR="003214D1">
        <w:t xml:space="preserve">optimālākā piegādātāja izvēli, balstoties uz </w:t>
      </w:r>
      <w:r w:rsidR="00E94737">
        <w:t xml:space="preserve">saimnieciski izdevīgāka piedāvājuma </w:t>
      </w:r>
      <w:r w:rsidR="003214D1">
        <w:t>principu</w:t>
      </w:r>
      <w:r w:rsidR="006937E0">
        <w:t xml:space="preserve">. </w:t>
      </w:r>
    </w:p>
    <w:p w14:paraId="04F4C557" w14:textId="0D744A3A" w:rsidR="00381009" w:rsidRDefault="0055099B" w:rsidP="00F855E8">
      <w:r>
        <w:t>D</w:t>
      </w:r>
      <w:r w:rsidR="00E16C7C">
        <w:t>eleģē</w:t>
      </w:r>
      <w:r w:rsidR="005D3745">
        <w:t>t</w:t>
      </w:r>
      <w:r w:rsidR="00E16C7C">
        <w:t>ās iestādes pārstāvji</w:t>
      </w:r>
      <w:r w:rsidR="00014A99">
        <w:t xml:space="preserve"> </w:t>
      </w:r>
      <w:r w:rsidR="00C43320">
        <w:t>identificē</w:t>
      </w:r>
      <w:r w:rsidR="00E16C7C">
        <w:t xml:space="preserve"> augstāku izmaksu līmeni apmācību organizēšanai PMIF, salīdzin</w:t>
      </w:r>
      <w:r w:rsidR="00977371">
        <w:t>ot</w:t>
      </w:r>
      <w:r w:rsidR="00E16C7C">
        <w:t xml:space="preserve"> ar citiem līdzvērtīgiem pasākumiem</w:t>
      </w:r>
      <w:r w:rsidR="00F70221">
        <w:t xml:space="preserve"> valst</w:t>
      </w:r>
      <w:r w:rsidR="00F476AB">
        <w:t>s mērogā</w:t>
      </w:r>
      <w:r w:rsidR="00E16C7C">
        <w:t xml:space="preserve">. </w:t>
      </w:r>
      <w:r w:rsidR="00F476AB">
        <w:t xml:space="preserve">Šī izmaksu atšķirība tiek </w:t>
      </w:r>
      <w:r w:rsidR="00E16C7C">
        <w:t>skaidrot</w:t>
      </w:r>
      <w:r w:rsidR="00F476AB">
        <w:t>a</w:t>
      </w:r>
      <w:r w:rsidR="00E16C7C">
        <w:t xml:space="preserve"> ar to, ka</w:t>
      </w:r>
      <w:r w:rsidR="00543BE1">
        <w:t xml:space="preserve"> PMIF</w:t>
      </w:r>
      <w:r w:rsidR="00E16C7C">
        <w:t xml:space="preserve"> </w:t>
      </w:r>
      <w:r w:rsidR="00543BE1">
        <w:t xml:space="preserve">projektu budžetos tiek </w:t>
      </w:r>
      <w:r w:rsidR="00E16C7C">
        <w:t>ietvert</w:t>
      </w:r>
      <w:r w:rsidR="00543BE1">
        <w:t>as</w:t>
      </w:r>
      <w:r w:rsidR="00E16C7C">
        <w:t xml:space="preserve"> </w:t>
      </w:r>
      <w:r w:rsidR="00C11B9D">
        <w:t xml:space="preserve">papildu </w:t>
      </w:r>
      <w:r w:rsidR="00E16C7C">
        <w:t>izmaks</w:t>
      </w:r>
      <w:r w:rsidR="00543BE1">
        <w:t>as</w:t>
      </w:r>
      <w:r w:rsidR="00C11B9D">
        <w:t xml:space="preserve">, kas saistītas ar </w:t>
      </w:r>
      <w:r w:rsidR="00E16C7C">
        <w:t>pasniedzēju sagatavošanos nodarbībām, atbalsta pakalpojumu</w:t>
      </w:r>
      <w:r w:rsidR="00F57D3A">
        <w:t xml:space="preserve"> (</w:t>
      </w:r>
      <w:r w:rsidR="00E16C7C">
        <w:t>piemēram, supervīziju</w:t>
      </w:r>
      <w:r w:rsidR="00F57D3A">
        <w:t>)</w:t>
      </w:r>
      <w:r w:rsidR="00E16C7C">
        <w:t xml:space="preserve"> nodrošināšanu, kā arī neformālu pasākumu</w:t>
      </w:r>
      <w:r w:rsidR="001E39DE">
        <w:t>, tostarp</w:t>
      </w:r>
      <w:r w:rsidR="00E16C7C">
        <w:t xml:space="preserve"> </w:t>
      </w:r>
      <w:r w:rsidR="001E39DE">
        <w:t xml:space="preserve">sarunvalodas klubu, organizēšanu un </w:t>
      </w:r>
      <w:r w:rsidR="00E16C7C">
        <w:t>īstenoš</w:t>
      </w:r>
      <w:r w:rsidR="001E39DE">
        <w:t>u</w:t>
      </w:r>
      <w:r w:rsidR="00E16C7C">
        <w:t xml:space="preserve">. Šie papildu elementi savukārt sekmē sniegto </w:t>
      </w:r>
      <w:r w:rsidR="00E16C7C">
        <w:lastRenderedPageBreak/>
        <w:t xml:space="preserve">pakalpojumu kvalitāti, ko </w:t>
      </w:r>
      <w:r w:rsidR="0057549F">
        <w:t xml:space="preserve">apstiprina </w:t>
      </w:r>
      <w:r w:rsidR="00E16C7C">
        <w:t>arī mērķa grupas</w:t>
      </w:r>
      <w:r w:rsidR="0057549F">
        <w:t xml:space="preserve"> pozitīvais</w:t>
      </w:r>
      <w:r w:rsidR="00673127">
        <w:t xml:space="preserve"> vērtējums. Dalībnieki norāda</w:t>
      </w:r>
      <w:r w:rsidR="006C6D1D">
        <w:t>, ka kursi lielākoties ir bijuši noderīgi un snieguši nepieciešamo atbalstu, piemēram, valsts valodas zināšanu pamatpārbaudes eksāmena nokārtošanai.</w:t>
      </w:r>
      <w:r w:rsidR="006C6D1D">
        <w:rPr>
          <w:rStyle w:val="Vresatsauce"/>
        </w:rPr>
        <w:footnoteReference w:id="17"/>
      </w:r>
      <w:r w:rsidR="00381009">
        <w:t xml:space="preserve"> Savukārt, kā norāda šo projektu finansējuma saņēmēji, aktivitātes tiek plānotas atbilstoši projektu konkursa nolikuma</w:t>
      </w:r>
      <w:r w:rsidR="000D42A8">
        <w:t xml:space="preserve"> prasībām</w:t>
      </w:r>
      <w:r w:rsidR="00381009">
        <w:t xml:space="preserve">, izvērtējot </w:t>
      </w:r>
      <w:r w:rsidR="00972000">
        <w:t xml:space="preserve">gan </w:t>
      </w:r>
      <w:r w:rsidR="00381009">
        <w:t>īstenojamo pasākumu</w:t>
      </w:r>
      <w:r w:rsidR="00BC272C">
        <w:t xml:space="preserve"> specifiku, gan</w:t>
      </w:r>
      <w:r w:rsidR="00381009">
        <w:t xml:space="preserve"> pieejamo finansējumu, attiecīgi plānojot </w:t>
      </w:r>
      <w:r w:rsidR="00252CDD">
        <w:t xml:space="preserve">darbības, ko ir iespējams īstenot. </w:t>
      </w:r>
    </w:p>
    <w:p w14:paraId="00626BD5" w14:textId="3BAD60DA" w:rsidR="0055099B" w:rsidRPr="00EB4F51" w:rsidRDefault="000767CD" w:rsidP="00F855E8">
      <w:r w:rsidRPr="00EB4F51">
        <w:t>Programm</w:t>
      </w:r>
      <w:r w:rsidR="00BC272C">
        <w:t>as</w:t>
      </w:r>
      <w:r w:rsidRPr="00EB4F51">
        <w:t xml:space="preserve"> administratīv</w:t>
      </w:r>
      <w:r w:rsidR="00BC272C">
        <w:t>ā</w:t>
      </w:r>
      <w:r w:rsidRPr="00EB4F51">
        <w:t xml:space="preserve"> slog</w:t>
      </w:r>
      <w:r w:rsidR="00BC272C">
        <w:t>a novērtējumā</w:t>
      </w:r>
      <w:r w:rsidRPr="00EB4F51">
        <w:t xml:space="preserve">, </w:t>
      </w:r>
      <w:r w:rsidR="006F102E">
        <w:t>izmantojot</w:t>
      </w:r>
      <w:r w:rsidRPr="00EB4F51">
        <w:t xml:space="preserve"> skal</w:t>
      </w:r>
      <w:r w:rsidR="006F102E">
        <w:t>u</w:t>
      </w:r>
      <w:r w:rsidRPr="00EB4F51">
        <w:t xml:space="preserve"> no 1 līdz 5</w:t>
      </w:r>
      <w:r w:rsidR="006F102E">
        <w:t xml:space="preserve"> (</w:t>
      </w:r>
      <w:r w:rsidR="005D63B7">
        <w:t xml:space="preserve">kur </w:t>
      </w:r>
      <w:r w:rsidR="00DA1852">
        <w:t xml:space="preserve">1 </w:t>
      </w:r>
      <w:r w:rsidR="006F102E">
        <w:t xml:space="preserve">apzīmē </w:t>
      </w:r>
      <w:r w:rsidR="00DA1852">
        <w:t>liel</w:t>
      </w:r>
      <w:r w:rsidR="006F102E">
        <w:t>u</w:t>
      </w:r>
      <w:r w:rsidR="00DA1852">
        <w:t xml:space="preserve"> administratīv</w:t>
      </w:r>
      <w:r w:rsidR="006F102E">
        <w:t xml:space="preserve">o </w:t>
      </w:r>
      <w:r w:rsidR="00DA1852">
        <w:t>slog</w:t>
      </w:r>
      <w:r w:rsidR="006F102E">
        <w:t>u</w:t>
      </w:r>
      <w:r w:rsidR="00DA1852">
        <w:t>, bet 5 — optimāl</w:t>
      </w:r>
      <w:r w:rsidR="006F102E">
        <w:t>u)</w:t>
      </w:r>
      <w:r w:rsidR="00DA1852">
        <w:t>,</w:t>
      </w:r>
      <w:r w:rsidR="006F102E">
        <w:t xml:space="preserve"> finansējuma saņēmēji</w:t>
      </w:r>
      <w:r w:rsidRPr="00EB4F51">
        <w:t xml:space="preserve"> to </w:t>
      </w:r>
      <w:r w:rsidR="00DA1852">
        <w:t xml:space="preserve">vidēji </w:t>
      </w:r>
      <w:r w:rsidRPr="00EB4F51">
        <w:t xml:space="preserve">novērtē ar </w:t>
      </w:r>
      <w:r w:rsidR="00886136" w:rsidRPr="00EB4F51">
        <w:t>2,</w:t>
      </w:r>
      <w:r w:rsidR="007738A8" w:rsidRPr="00EB4F51">
        <w:t>2</w:t>
      </w:r>
      <w:r w:rsidR="00886136" w:rsidRPr="00EB4F51">
        <w:t>6</w:t>
      </w:r>
      <w:r w:rsidRPr="00EB4F51">
        <w:t xml:space="preserve">, kas </w:t>
      </w:r>
      <w:r w:rsidR="00B0300D">
        <w:t>norāda</w:t>
      </w:r>
      <w:r w:rsidRPr="00EB4F51">
        <w:t xml:space="preserve">, ka </w:t>
      </w:r>
      <w:r w:rsidR="00157965" w:rsidRPr="00EB4F51">
        <w:t>P</w:t>
      </w:r>
      <w:r w:rsidRPr="00EB4F51">
        <w:t>rogramm</w:t>
      </w:r>
      <w:r w:rsidR="00157965" w:rsidRPr="00EB4F51">
        <w:t>u</w:t>
      </w:r>
      <w:r w:rsidRPr="00EB4F51">
        <w:t xml:space="preserve"> slogs ir</w:t>
      </w:r>
      <w:r w:rsidR="005D63B7">
        <w:t xml:space="preserve"> bijis</w:t>
      </w:r>
      <w:r w:rsidRPr="00EB4F51">
        <w:t xml:space="preserve"> </w:t>
      </w:r>
      <w:r w:rsidR="00EB4F51" w:rsidRPr="00EB4F51">
        <w:t>drīzāk liels</w:t>
      </w:r>
      <w:r w:rsidRPr="00EB4F51">
        <w:t xml:space="preserve">. </w:t>
      </w:r>
    </w:p>
    <w:p w14:paraId="59F3BEE9" w14:textId="08B4BF22" w:rsidR="008E65EA" w:rsidRDefault="008503E2" w:rsidP="00F855E8">
      <w:r>
        <w:t>F</w:t>
      </w:r>
      <w:r w:rsidR="00EF1500" w:rsidRPr="00215DED">
        <w:t>inansējuma saņēmēju vērtējum</w:t>
      </w:r>
      <w:r>
        <w:t>ā</w:t>
      </w:r>
      <w:r w:rsidR="00EF1500" w:rsidRPr="00215DED">
        <w:t xml:space="preserve"> projektu īstenošan</w:t>
      </w:r>
      <w:r w:rsidR="008E65EA">
        <w:t>as</w:t>
      </w:r>
      <w:r w:rsidR="00EF1500" w:rsidRPr="00215DED">
        <w:t xml:space="preserve"> gaitu</w:t>
      </w:r>
      <w:r w:rsidR="008E65EA">
        <w:t xml:space="preserve"> visvairāk ietekmējušas šādas administratīvas procedūras:</w:t>
      </w:r>
    </w:p>
    <w:p w14:paraId="5B14E6AF" w14:textId="4864C87A" w:rsidR="00AC5A7B" w:rsidRDefault="0021385E" w:rsidP="00AC5A7B">
      <w:pPr>
        <w:pStyle w:val="Sarakstarindkopa"/>
        <w:numPr>
          <w:ilvl w:val="0"/>
          <w:numId w:val="33"/>
        </w:numPr>
      </w:pPr>
      <w:r>
        <w:t xml:space="preserve">grozījumu veikšana </w:t>
      </w:r>
      <w:r w:rsidR="00232CB5" w:rsidRPr="00215DED">
        <w:t>projektu līgum</w:t>
      </w:r>
      <w:r>
        <w:t>os</w:t>
      </w:r>
      <w:r w:rsidR="00F2179F">
        <w:t>, tai skaitā</w:t>
      </w:r>
      <w:r w:rsidR="00232CB5" w:rsidRPr="00215DED">
        <w:t xml:space="preserve"> iesnieguma form</w:t>
      </w:r>
      <w:r>
        <w:t>ās,</w:t>
      </w:r>
      <w:r w:rsidR="00130175">
        <w:t xml:space="preserve"> </w:t>
      </w:r>
    </w:p>
    <w:p w14:paraId="6F721AFE" w14:textId="02699942" w:rsidR="00AC5A7B" w:rsidRDefault="00EF1500" w:rsidP="00AC5A7B">
      <w:pPr>
        <w:pStyle w:val="Sarakstarindkopa"/>
        <w:numPr>
          <w:ilvl w:val="0"/>
          <w:numId w:val="33"/>
        </w:numPr>
      </w:pPr>
      <w:r w:rsidRPr="00215DED">
        <w:t>iepirkumu procedūru dokumentācijas sagatavošan</w:t>
      </w:r>
      <w:r w:rsidR="00AC5A7B">
        <w:t>a</w:t>
      </w:r>
      <w:r w:rsidR="004814B2" w:rsidRPr="00215DED">
        <w:t xml:space="preserve"> un</w:t>
      </w:r>
      <w:r w:rsidR="0016461C">
        <w:t xml:space="preserve"> iepirkumu</w:t>
      </w:r>
      <w:r w:rsidR="004814B2" w:rsidRPr="00215DED">
        <w:t xml:space="preserve"> īstenošan</w:t>
      </w:r>
      <w:r w:rsidR="00AC5A7B">
        <w:t>a</w:t>
      </w:r>
      <w:r w:rsidRPr="00215DED">
        <w:t xml:space="preserve">, </w:t>
      </w:r>
    </w:p>
    <w:p w14:paraId="645DE5AB" w14:textId="23D93B4D" w:rsidR="00441FC6" w:rsidRDefault="00EF1500" w:rsidP="00AC5A7B">
      <w:pPr>
        <w:pStyle w:val="Sarakstarindkopa"/>
        <w:numPr>
          <w:ilvl w:val="0"/>
          <w:numId w:val="33"/>
        </w:numPr>
      </w:pPr>
      <w:r w:rsidRPr="00215DED">
        <w:t>projektu atskaišu iesniegšanas biežum</w:t>
      </w:r>
      <w:r w:rsidR="00AC5A7B">
        <w:t>s</w:t>
      </w:r>
      <w:r w:rsidRPr="00215DED">
        <w:t xml:space="preserve"> un ietveramās informācijas detalizācij</w:t>
      </w:r>
      <w:r w:rsidR="00D06A70">
        <w:t>a</w:t>
      </w:r>
      <w:r w:rsidRPr="00215DED">
        <w:t xml:space="preserve">. </w:t>
      </w:r>
    </w:p>
    <w:p w14:paraId="15C460D2" w14:textId="0BEA7253" w:rsidR="00CF597C" w:rsidRDefault="00441FC6" w:rsidP="00441FC6">
      <w:r>
        <w:t>Papildu minētajām procedūrām, būtiska ietekme uz projektu ievieša</w:t>
      </w:r>
      <w:r w:rsidR="00005D63">
        <w:t xml:space="preserve">nu bijusi </w:t>
      </w:r>
      <w:r w:rsidR="00EF1500" w:rsidRPr="00BA059D">
        <w:t>arī vienotas projektu uzraudzības sistēmas trūkum</w:t>
      </w:r>
      <w:r w:rsidR="004A4FF7">
        <w:t>am</w:t>
      </w:r>
      <w:r w:rsidR="00BA059D">
        <w:t xml:space="preserve"> (</w:t>
      </w:r>
      <w:r w:rsidR="00961333" w:rsidRPr="00441FC6">
        <w:rPr>
          <w:highlight w:val="yellow"/>
        </w:rPr>
        <w:fldChar w:fldCharType="begin"/>
      </w:r>
      <w:r w:rsidR="00961333">
        <w:instrText xml:space="preserve"> REF _Ref190266653 \h </w:instrText>
      </w:r>
      <w:r w:rsidR="00961333" w:rsidRPr="00441FC6">
        <w:rPr>
          <w:highlight w:val="yellow"/>
        </w:rPr>
      </w:r>
      <w:r w:rsidR="00961333" w:rsidRPr="00441FC6">
        <w:rPr>
          <w:highlight w:val="yellow"/>
        </w:rPr>
        <w:fldChar w:fldCharType="separate"/>
      </w:r>
      <w:r w:rsidR="000523B6">
        <w:t xml:space="preserve">Attēls </w:t>
      </w:r>
      <w:r w:rsidR="000523B6">
        <w:rPr>
          <w:noProof/>
        </w:rPr>
        <w:t>8</w:t>
      </w:r>
      <w:r w:rsidR="00961333" w:rsidRPr="00441FC6">
        <w:rPr>
          <w:highlight w:val="yellow"/>
        </w:rPr>
        <w:fldChar w:fldCharType="end"/>
      </w:r>
      <w:r w:rsidR="00BA059D">
        <w:t>)</w:t>
      </w:r>
      <w:r w:rsidR="0066383D" w:rsidRPr="00BA059D">
        <w:t>.</w:t>
      </w:r>
      <w:r w:rsidR="0066383D">
        <w:t xml:space="preserve"> </w:t>
      </w:r>
    </w:p>
    <w:p w14:paraId="4A5A2D60" w14:textId="06ACF4B4" w:rsidR="00BA059D" w:rsidRDefault="00BA059D" w:rsidP="00EA0486">
      <w:pPr>
        <w:pStyle w:val="GraphTitle"/>
      </w:pPr>
      <w:bookmarkStart w:id="32" w:name="_Ref190266653"/>
      <w:bookmarkStart w:id="33" w:name="_Ref191388606"/>
      <w:r>
        <w:t xml:space="preserve">Attēls </w:t>
      </w:r>
      <w:r w:rsidR="00C47EA2">
        <w:fldChar w:fldCharType="begin"/>
      </w:r>
      <w:r w:rsidR="00C47EA2">
        <w:instrText xml:space="preserve"> SEQ Attēls \* ARABIC </w:instrText>
      </w:r>
      <w:r w:rsidR="00C47EA2">
        <w:fldChar w:fldCharType="separate"/>
      </w:r>
      <w:r w:rsidR="000523B6">
        <w:t>8</w:t>
      </w:r>
      <w:r w:rsidR="00C47EA2">
        <w:fldChar w:fldCharType="end"/>
      </w:r>
      <w:bookmarkEnd w:id="32"/>
      <w:r>
        <w:t>. Finansējuma saņēmēju vērtējums par</w:t>
      </w:r>
      <w:r w:rsidR="00EA0486">
        <w:t xml:space="preserve"> </w:t>
      </w:r>
      <w:r w:rsidR="00EA0486" w:rsidRPr="00EA0486">
        <w:t xml:space="preserve">administratīvajām procedūrām, </w:t>
      </w:r>
      <w:r w:rsidR="00EA0486">
        <w:t>kas</w:t>
      </w:r>
      <w:r w:rsidR="00EA0486" w:rsidRPr="00EA0486">
        <w:t xml:space="preserve"> visvairāk ietekmēja projekta/-u īstenošanas gaitu</w:t>
      </w:r>
      <w:bookmarkEnd w:id="33"/>
    </w:p>
    <w:p w14:paraId="08E87C0E" w14:textId="2AC30615" w:rsidR="00272074" w:rsidRDefault="006C100D" w:rsidP="00F855E8">
      <w:r>
        <w:rPr>
          <w:noProof/>
        </w:rPr>
        <w:drawing>
          <wp:inline distT="0" distB="0" distL="0" distR="0" wp14:anchorId="16CD13C5" wp14:editId="3C2F2793">
            <wp:extent cx="6546850" cy="3568700"/>
            <wp:effectExtent l="0" t="0" r="6350" b="0"/>
            <wp:docPr id="571522868" name="Chart 1">
              <a:extLst xmlns:a="http://schemas.openxmlformats.org/drawingml/2006/main">
                <a:ext uri="{FF2B5EF4-FFF2-40B4-BE49-F238E27FC236}">
                  <a16:creationId xmlns:a16="http://schemas.microsoft.com/office/drawing/2014/main" id="{0113A216-5EAC-4F0E-BF0C-B5D7BA4764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39D47F" w14:textId="4C65C2AE" w:rsidR="006A765F" w:rsidRPr="00785D09" w:rsidRDefault="00726525" w:rsidP="006A765F">
      <w:pPr>
        <w:jc w:val="right"/>
        <w:rPr>
          <w:rStyle w:val="Izsmalcintsizclums"/>
        </w:rPr>
      </w:pPr>
      <w:r w:rsidRPr="00785D09">
        <w:rPr>
          <w:rStyle w:val="Izsmalcintsizclums"/>
        </w:rPr>
        <w:t>Avots: Finansējuma saņēmēju aptauja, n=</w:t>
      </w:r>
      <w:r w:rsidR="006C100D" w:rsidRPr="00785D09">
        <w:rPr>
          <w:rStyle w:val="Izsmalcintsizclums"/>
        </w:rPr>
        <w:t>19</w:t>
      </w:r>
    </w:p>
    <w:p w14:paraId="7FFBF7B0" w14:textId="1865C3CD" w:rsidR="005F770C" w:rsidRDefault="005F770C" w:rsidP="009600BD">
      <w:r>
        <w:t>Arī revīzijas iestādes pārstāvji</w:t>
      </w:r>
      <w:r w:rsidR="00642384">
        <w:t xml:space="preserve"> identificē</w:t>
      </w:r>
      <w:r>
        <w:t xml:space="preserve"> </w:t>
      </w:r>
      <w:r w:rsidR="00912A72" w:rsidRPr="00912A72">
        <w:t xml:space="preserve">publisko iepirkumu procedūras kā vienu no būtiskākajiem izaicinājumiem projektu īstenošanā. </w:t>
      </w:r>
      <w:r w:rsidR="00642384">
        <w:t>Atbildīgās</w:t>
      </w:r>
      <w:r w:rsidR="00912A72" w:rsidRPr="00912A72">
        <w:t xml:space="preserve"> iestādes ieviestās iepirkumu pirmspārbaudes ir ievērojami uzlabojušas procesu kvalitāti, tādējādi samazinot neatbilstību skaitu iepirkumu īstenošanas gaitā. Tomēr joprojām pastāv izaicinājumi saistībā ar finansējuma saņēmēju ierobežoto kapacitāti</w:t>
      </w:r>
      <w:r w:rsidR="002762C3">
        <w:t xml:space="preserve">, ko ietekmē gan </w:t>
      </w:r>
      <w:r w:rsidR="00912A72" w:rsidRPr="00912A72">
        <w:t xml:space="preserve"> </w:t>
      </w:r>
      <w:r w:rsidR="00912A72" w:rsidRPr="00912A72">
        <w:lastRenderedPageBreak/>
        <w:t xml:space="preserve">ievērojamais iepirkumu apjoms, </w:t>
      </w:r>
      <w:r w:rsidR="002762C3">
        <w:t xml:space="preserve">gan </w:t>
      </w:r>
      <w:r w:rsidR="00912A72" w:rsidRPr="00912A72">
        <w:t xml:space="preserve">prakse, ka </w:t>
      </w:r>
      <w:r w:rsidR="002762C3">
        <w:t xml:space="preserve">projektu </w:t>
      </w:r>
      <w:r w:rsidR="00912A72" w:rsidRPr="00912A72">
        <w:t xml:space="preserve">iepirkumu </w:t>
      </w:r>
      <w:r w:rsidR="002762C3">
        <w:t>nodrošināšana</w:t>
      </w:r>
      <w:r w:rsidR="00912A72" w:rsidRPr="00912A72">
        <w:t xml:space="preserve"> bieži tiek noteikta kā papildu darba pienākums esošajiem darbiniekiem.</w:t>
      </w:r>
    </w:p>
    <w:p w14:paraId="722C0B86" w14:textId="6442FC7C" w:rsidR="009600BD" w:rsidRDefault="009600BD" w:rsidP="009600BD">
      <w:r>
        <w:t xml:space="preserve">Projektu grozījumu process, lai arī bija iespējams, radīja </w:t>
      </w:r>
      <w:r w:rsidR="00FC4CAB">
        <w:t xml:space="preserve">ievērojamu </w:t>
      </w:r>
      <w:r>
        <w:t xml:space="preserve">administratīvo slogu </w:t>
      </w:r>
      <w:r w:rsidR="0043081A">
        <w:t xml:space="preserve">pat </w:t>
      </w:r>
      <w:r w:rsidR="0095194D">
        <w:t>relatīvi</w:t>
      </w:r>
      <w:r w:rsidR="0043081A">
        <w:t xml:space="preserve"> maznozīmīgu izmaiņu gadījumos</w:t>
      </w:r>
      <w:r w:rsidR="0095194D">
        <w:t xml:space="preserve">, </w:t>
      </w:r>
      <w:r>
        <w:t xml:space="preserve">piemēram, </w:t>
      </w:r>
      <w:r w:rsidR="0095194D">
        <w:t xml:space="preserve">veicot </w:t>
      </w:r>
      <w:r>
        <w:t xml:space="preserve">projektā iesaistītā personāla </w:t>
      </w:r>
      <w:r w:rsidR="0095194D">
        <w:t>iz</w:t>
      </w:r>
      <w:r>
        <w:t>maiņ</w:t>
      </w:r>
      <w:r w:rsidR="0095194D">
        <w:t>as</w:t>
      </w:r>
      <w:r>
        <w:t xml:space="preserve">. </w:t>
      </w:r>
      <w:r w:rsidR="0080064D">
        <w:t>Resursu un laika ietilpīga bija i</w:t>
      </w:r>
      <w:r>
        <w:t>kmēneša finanšu atskaišu sagatavošana</w:t>
      </w:r>
      <w:r w:rsidR="00CE7884">
        <w:t>, ņemot vērā</w:t>
      </w:r>
      <w:r>
        <w:t xml:space="preserve"> tajās ietveramās informācijas detalizācijas </w:t>
      </w:r>
      <w:r w:rsidR="00CE7884">
        <w:t>pakāpi</w:t>
      </w:r>
      <w:r w:rsidR="008A10EB">
        <w:t xml:space="preserve"> un iesniedzamās </w:t>
      </w:r>
      <w:r w:rsidR="00E100A1">
        <w:t>pamatojošās dokumentācijas apjomu.</w:t>
      </w:r>
      <w:r>
        <w:t xml:space="preserve"> </w:t>
      </w:r>
      <w:r w:rsidR="00EF635C">
        <w:t xml:space="preserve">Turpretī </w:t>
      </w:r>
      <w:r>
        <w:t xml:space="preserve">pozitīvi vērtējama </w:t>
      </w:r>
      <w:r w:rsidR="00EF635C">
        <w:t xml:space="preserve">ieviestā </w:t>
      </w:r>
      <w:r>
        <w:t>prakse, ka</w:t>
      </w:r>
      <w:r w:rsidR="00EF635C">
        <w:t>s ļāva</w:t>
      </w:r>
      <w:r>
        <w:t xml:space="preserve"> nebūtiskas atskaišu satur</w:t>
      </w:r>
      <w:r w:rsidR="009549BE">
        <w:t xml:space="preserve">a neprecizitātes </w:t>
      </w:r>
      <w:r>
        <w:t>labot nākamajā pārskata periodā, tādējādi ne</w:t>
      </w:r>
      <w:r w:rsidR="007F6BA6">
        <w:t>aiz</w:t>
      </w:r>
      <w:r>
        <w:t xml:space="preserve">kavējot </w:t>
      </w:r>
      <w:r w:rsidR="00927C5B">
        <w:t xml:space="preserve">atskaišu </w:t>
      </w:r>
      <w:r>
        <w:t>apstiprināšanas procesu.</w:t>
      </w:r>
    </w:p>
    <w:p w14:paraId="5C9A306B" w14:textId="77777777" w:rsidR="00E41F11" w:rsidRDefault="007F6BA6" w:rsidP="009600BD">
      <w:r>
        <w:t xml:space="preserve">Nozīmīgu </w:t>
      </w:r>
      <w:r w:rsidR="009600BD">
        <w:t xml:space="preserve">administratīvo slogu radīja </w:t>
      </w:r>
      <w:r>
        <w:t xml:space="preserve">arī izvēlētais </w:t>
      </w:r>
      <w:r w:rsidR="009600BD">
        <w:t xml:space="preserve">atskaišu iesniegšanas formāts </w:t>
      </w:r>
      <w:r w:rsidR="00D504F0">
        <w:t>—</w:t>
      </w:r>
      <w:r w:rsidR="009600BD">
        <w:t xml:space="preserve"> gan</w:t>
      </w:r>
      <w:r w:rsidR="009600BD" w:rsidRPr="00927C5B">
        <w:rPr>
          <w:i/>
          <w:iCs/>
        </w:rPr>
        <w:t xml:space="preserve"> Excel</w:t>
      </w:r>
      <w:r w:rsidR="009600BD">
        <w:t xml:space="preserve"> form</w:t>
      </w:r>
      <w:r w:rsidR="008A51A0">
        <w:t>āta</w:t>
      </w:r>
      <w:r w:rsidR="009600BD">
        <w:t xml:space="preserve"> izmantošana projekta progresa pārskat</w:t>
      </w:r>
      <w:r w:rsidR="008A51A0">
        <w:t>u sagatavošanai</w:t>
      </w:r>
      <w:r w:rsidR="009600BD">
        <w:t>, gan pamatojošās dokumentācijas iesniegšana</w:t>
      </w:r>
      <w:r w:rsidR="00333607">
        <w:t>s process</w:t>
      </w:r>
      <w:r w:rsidR="009600BD">
        <w:t>, k</w:t>
      </w:r>
      <w:r w:rsidR="00333607">
        <w:t>as</w:t>
      </w:r>
      <w:r w:rsidR="00D504F0">
        <w:t xml:space="preserve"> </w:t>
      </w:r>
      <w:r w:rsidR="009600BD">
        <w:t>plānošanas perioda sākum</w:t>
      </w:r>
      <w:r w:rsidR="00333607">
        <w:t>posm</w:t>
      </w:r>
      <w:r w:rsidR="009600BD">
        <w:t xml:space="preserve">ā </w:t>
      </w:r>
      <w:r w:rsidR="00D504F0">
        <w:t xml:space="preserve">lielākoties </w:t>
      </w:r>
      <w:r w:rsidR="00333607">
        <w:t xml:space="preserve">tika </w:t>
      </w:r>
      <w:r w:rsidR="00D504F0">
        <w:t>nodrošinā</w:t>
      </w:r>
      <w:r w:rsidR="00333607">
        <w:t>ts</w:t>
      </w:r>
      <w:r w:rsidR="009600BD">
        <w:t xml:space="preserve"> papīra formātā. </w:t>
      </w:r>
    </w:p>
    <w:p w14:paraId="1EC2FE28" w14:textId="2B4840F9" w:rsidR="009600BD" w:rsidRDefault="00E41F11" w:rsidP="009600BD">
      <w:r>
        <w:t>Gan f</w:t>
      </w:r>
      <w:r w:rsidR="00927C5B">
        <w:t>inansējuma saņēmēji</w:t>
      </w:r>
      <w:r>
        <w:t>, gan revīzijas iestādes pārstāvji</w:t>
      </w:r>
      <w:r w:rsidR="00927C5B">
        <w:t xml:space="preserve"> </w:t>
      </w:r>
      <w:r w:rsidR="00CF7990">
        <w:t xml:space="preserve">pozitīvi </w:t>
      </w:r>
      <w:r w:rsidR="00927C5B">
        <w:t>novērtē</w:t>
      </w:r>
      <w:r w:rsidR="00CF7990">
        <w:t>ja</w:t>
      </w:r>
      <w:r w:rsidR="00927C5B">
        <w:t xml:space="preserve"> P</w:t>
      </w:r>
      <w:r w:rsidR="009600BD">
        <w:t>rogrammu īstenošanas gaitā notiku</w:t>
      </w:r>
      <w:r w:rsidR="00927C5B">
        <w:t>šo</w:t>
      </w:r>
      <w:r w:rsidR="009600BD">
        <w:t xml:space="preserve"> pārej</w:t>
      </w:r>
      <w:r w:rsidR="00927C5B">
        <w:t>u</w:t>
      </w:r>
      <w:r w:rsidR="009600BD">
        <w:t xml:space="preserve"> uz elektronisko dokumentu apriti</w:t>
      </w:r>
      <w:r w:rsidR="00927C5B">
        <w:t>, kas</w:t>
      </w:r>
      <w:r w:rsidR="009600BD">
        <w:t xml:space="preserve"> sekmēja administratīvā sloga mazināšanu.</w:t>
      </w:r>
      <w:r w:rsidR="008D3BCC" w:rsidRPr="008D3BCC">
        <w:t xml:space="preserve"> </w:t>
      </w:r>
      <w:r w:rsidR="008D3BCC">
        <w:t xml:space="preserve">Vienlaikus tiek norādīts uz nepieciešamību </w:t>
      </w:r>
      <w:r w:rsidR="00846DD6">
        <w:t xml:space="preserve">pēc </w:t>
      </w:r>
      <w:r w:rsidR="008D3BCC">
        <w:t>vienot</w:t>
      </w:r>
      <w:r w:rsidR="00846DD6">
        <w:t>as</w:t>
      </w:r>
      <w:r w:rsidR="008D3BCC">
        <w:t xml:space="preserve"> projektu uzraudzības sistēm</w:t>
      </w:r>
      <w:r w:rsidR="00846DD6">
        <w:t>as</w:t>
      </w:r>
      <w:r w:rsidR="008D3BCC">
        <w:t>, kas vienkāršotu atskaišu iesniegšanas procesu.</w:t>
      </w:r>
    </w:p>
    <w:p w14:paraId="399CFC5B" w14:textId="5BB512F0" w:rsidR="009600BD" w:rsidRDefault="00C93A63" w:rsidP="009600BD">
      <w:bookmarkStart w:id="34" w:name="_Hlk190692303"/>
      <w:r>
        <w:t xml:space="preserve">Atsevišķi </w:t>
      </w:r>
      <w:r w:rsidR="00927C5B">
        <w:t>f</w:t>
      </w:r>
      <w:r w:rsidR="009600BD">
        <w:t xml:space="preserve">inansējuma saņēmēji </w:t>
      </w:r>
      <w:r>
        <w:t xml:space="preserve">identificēja </w:t>
      </w:r>
      <w:r w:rsidR="00927C5B">
        <w:t xml:space="preserve">arī </w:t>
      </w:r>
      <w:r w:rsidR="009600BD">
        <w:t xml:space="preserve">komunikācijas </w:t>
      </w:r>
      <w:r>
        <w:t xml:space="preserve">problēmas </w:t>
      </w:r>
      <w:r w:rsidR="009600BD">
        <w:t>ar uzraugošajām iestādēm</w:t>
      </w:r>
      <w:r w:rsidR="00E975C8">
        <w:t>. Tās galvenokārt izpaudās kā</w:t>
      </w:r>
      <w:r w:rsidR="009600BD">
        <w:t xml:space="preserve"> ilg</w:t>
      </w:r>
      <w:r w:rsidR="00E975C8">
        <w:t>stoša</w:t>
      </w:r>
      <w:r w:rsidR="009600BD">
        <w:t xml:space="preserve"> atbilžu gaidīšana</w:t>
      </w:r>
      <w:r w:rsidR="00E975C8">
        <w:t xml:space="preserve"> </w:t>
      </w:r>
      <w:r w:rsidR="009600BD">
        <w:t>problēmsituācij</w:t>
      </w:r>
      <w:r w:rsidR="00E975C8">
        <w:t>u risināšanas gadījumos</w:t>
      </w:r>
      <w:r w:rsidR="003B27D7">
        <w:t xml:space="preserve">. Piemēram, lai arī neformālās konsultācijas </w:t>
      </w:r>
      <w:r w:rsidR="00B60810">
        <w:t>tika novērtētas kā</w:t>
      </w:r>
      <w:r w:rsidR="003B27D7">
        <w:t xml:space="preserve"> efektīvas, tomēr oficiāla korespondence un lēmumu pieņemšana </w:t>
      </w:r>
      <w:r w:rsidR="00FF575C">
        <w:t>mēdza būt</w:t>
      </w:r>
      <w:r w:rsidR="003B27D7">
        <w:t xml:space="preserve"> </w:t>
      </w:r>
      <w:r w:rsidR="00CB196D">
        <w:t xml:space="preserve">laikietilpīgs process. </w:t>
      </w:r>
      <w:r w:rsidR="00B60810" w:rsidRPr="00B60810">
        <w:t xml:space="preserve"> </w:t>
      </w:r>
      <w:r w:rsidR="00B60810" w:rsidRPr="006A6D35">
        <w:t>Jāuzsver, ka šī komunikācijas problēma tika identificēta tikai daļas finansējuma saņēmēju vidū un neatspoguļo vispārējo situāciju.</w:t>
      </w:r>
    </w:p>
    <w:bookmarkEnd w:id="34"/>
    <w:p w14:paraId="4C314485" w14:textId="34C6A9D9" w:rsidR="00365789" w:rsidRDefault="00365789" w:rsidP="009600BD">
      <w:r w:rsidRPr="00365789">
        <w:t xml:space="preserve">Deleģēto iestāžu projektos papildus identificēti izaicinājumi, kas saistīti ar konkursu vērtēšanas un līgumu slēgšanas procesa ilgumu. Šie faktori ievērojami samazināja projektu faktisko īstenošanas laiku. Turklāt, ņemot vērā to, ka projektu īstenošanas termiņi bija ierobežoti un nereti īsāki par vienu gadu, finansējuma saņēmēju ieskatā </w:t>
      </w:r>
      <w:r>
        <w:t>atskaišu iesniegšanas biežums</w:t>
      </w:r>
      <w:r w:rsidRPr="00365789">
        <w:t>, kam paralēli tika veiktas arī projektu pārbaudes īstenošanas vietās, radīja nesamērīgu administratīvo slogu. Tāpat tika identificētas grūtības mērķa grupas precīzā definēšanā un atbilstošu kritēriju noteikšanā.</w:t>
      </w:r>
    </w:p>
    <w:p w14:paraId="1C6CC633" w14:textId="05DEB779" w:rsidR="009600BD" w:rsidRDefault="009600BD" w:rsidP="009600BD">
      <w:r>
        <w:t xml:space="preserve">Gan deleģētās, gan atbildīgās iestādes pārraudzībā esošo projektu finansējuma saņēmēji kopumā </w:t>
      </w:r>
      <w:r w:rsidR="00835E27">
        <w:t xml:space="preserve">sniedz </w:t>
      </w:r>
      <w:r>
        <w:t>pozitīv</w:t>
      </w:r>
      <w:r w:rsidR="00835E27">
        <w:t>u</w:t>
      </w:r>
      <w:r>
        <w:t xml:space="preserve"> vērtē</w:t>
      </w:r>
      <w:r w:rsidR="00835E27">
        <w:t>jumu</w:t>
      </w:r>
      <w:r>
        <w:t xml:space="preserve"> sadarbīb</w:t>
      </w:r>
      <w:r w:rsidR="00835E27">
        <w:t>ai</w:t>
      </w:r>
      <w:r>
        <w:t xml:space="preserve"> ar uzraugošajām iestādēm</w:t>
      </w:r>
      <w:r w:rsidR="00835E27">
        <w:t>.</w:t>
      </w:r>
      <w:r>
        <w:t xml:space="preserve"> </w:t>
      </w:r>
      <w:r w:rsidR="00835E27">
        <w:t>Ī</w:t>
      </w:r>
      <w:r>
        <w:t xml:space="preserve">paši </w:t>
      </w:r>
      <w:r w:rsidR="005C12DC">
        <w:t xml:space="preserve">augstu tiek vērtētas </w:t>
      </w:r>
      <w:r>
        <w:t xml:space="preserve">iespējas </w:t>
      </w:r>
      <w:r w:rsidR="000D678D">
        <w:t>iesaistīties</w:t>
      </w:r>
      <w:r w:rsidR="005C12DC">
        <w:t xml:space="preserve"> </w:t>
      </w:r>
      <w:r>
        <w:t>disku</w:t>
      </w:r>
      <w:r w:rsidR="005C12DC">
        <w:t>sijās</w:t>
      </w:r>
      <w:r>
        <w:t xml:space="preserve"> par projektu īstenošanas prasībām un to pilnveidošanu. Tomēr</w:t>
      </w:r>
      <w:r w:rsidR="000D678D">
        <w:t xml:space="preserve"> finansējumu saņēmēji</w:t>
      </w:r>
      <w:r>
        <w:t xml:space="preserve"> </w:t>
      </w:r>
      <w:r w:rsidR="000D678D">
        <w:t>norāda uz</w:t>
      </w:r>
      <w:r>
        <w:t xml:space="preserve"> nepieciešamīb</w:t>
      </w:r>
      <w:r w:rsidR="000D678D">
        <w:t>u</w:t>
      </w:r>
      <w:r>
        <w:t xml:space="preserve"> </w:t>
      </w:r>
      <w:r w:rsidR="00823CA7">
        <w:t>paplašināt</w:t>
      </w:r>
      <w:r>
        <w:t xml:space="preserve"> konsultatīvā atbalsta </w:t>
      </w:r>
      <w:r w:rsidR="00823CA7">
        <w:t xml:space="preserve">pieejamību </w:t>
      </w:r>
      <w:r>
        <w:t xml:space="preserve">projektu īstenošanas </w:t>
      </w:r>
      <w:r w:rsidR="00C04B9B">
        <w:t>gaitā</w:t>
      </w:r>
      <w:r>
        <w:t xml:space="preserve">. Lai gan </w:t>
      </w:r>
      <w:r w:rsidR="00C04B9B">
        <w:t xml:space="preserve">pastāvošās </w:t>
      </w:r>
      <w:r>
        <w:t xml:space="preserve">administratīvās prasības rada papildu slodzi projektu īstenošanā, tās tiek </w:t>
      </w:r>
      <w:r w:rsidR="00C04B9B">
        <w:t xml:space="preserve">uzskatītas par </w:t>
      </w:r>
      <w:r>
        <w:t>pamatot</w:t>
      </w:r>
      <w:r w:rsidR="00C04B9B">
        <w:t>ām</w:t>
      </w:r>
      <w:r>
        <w:t xml:space="preserve"> un nepiecieša</w:t>
      </w:r>
      <w:r w:rsidR="00C04B9B">
        <w:t>mām</w:t>
      </w:r>
      <w:r>
        <w:t xml:space="preserve">, vienlaikus </w:t>
      </w:r>
      <w:r w:rsidR="00C04B9B">
        <w:t xml:space="preserve">akcentējot </w:t>
      </w:r>
      <w:r w:rsidR="00637487">
        <w:t>vajadzību</w:t>
      </w:r>
      <w:r>
        <w:t xml:space="preserve"> pēc elastīgākas pieejas </w:t>
      </w:r>
      <w:r w:rsidR="00637487">
        <w:t xml:space="preserve">specifiskās </w:t>
      </w:r>
      <w:r>
        <w:t>situācijās.</w:t>
      </w:r>
    </w:p>
    <w:p w14:paraId="556DF979" w14:textId="4515513A" w:rsidR="001861FD" w:rsidRPr="001861FD" w:rsidRDefault="001861FD" w:rsidP="001861FD">
      <w:pPr>
        <w:rPr>
          <w:rFonts w:cstheme="minorHAnsi"/>
        </w:rPr>
      </w:pPr>
      <w:r w:rsidRPr="001861FD">
        <w:rPr>
          <w:rFonts w:cstheme="minorHAnsi"/>
        </w:rPr>
        <w:t>Projektu īstenotāju aptaujas rezultāti atklāj neviendabīgu vērtējumu par administratīvā sloga dinamiku dažādos Programmu plānošanas periodos</w:t>
      </w:r>
      <w:r>
        <w:rPr>
          <w:rFonts w:cstheme="minorHAnsi"/>
        </w:rPr>
        <w:t xml:space="preserve"> (</w:t>
      </w:r>
      <w:r>
        <w:rPr>
          <w:rFonts w:cstheme="minorHAnsi"/>
        </w:rPr>
        <w:fldChar w:fldCharType="begin"/>
      </w:r>
      <w:r>
        <w:rPr>
          <w:rFonts w:cstheme="minorHAnsi"/>
        </w:rPr>
        <w:instrText xml:space="preserve"> REF _Ref190268951 \h </w:instrText>
      </w:r>
      <w:r>
        <w:rPr>
          <w:rFonts w:cstheme="minorHAnsi"/>
        </w:rPr>
      </w:r>
      <w:r>
        <w:rPr>
          <w:rFonts w:cstheme="minorHAnsi"/>
        </w:rPr>
        <w:fldChar w:fldCharType="separate"/>
      </w:r>
      <w:r w:rsidR="000523B6">
        <w:t xml:space="preserve">Attēls </w:t>
      </w:r>
      <w:r w:rsidR="000523B6">
        <w:rPr>
          <w:noProof/>
        </w:rPr>
        <w:t>9</w:t>
      </w:r>
      <w:r>
        <w:rPr>
          <w:rFonts w:cstheme="minorHAnsi"/>
        </w:rPr>
        <w:fldChar w:fldCharType="end"/>
      </w:r>
      <w:r>
        <w:rPr>
          <w:rFonts w:cstheme="minorHAnsi"/>
        </w:rPr>
        <w:t>)</w:t>
      </w:r>
      <w:r w:rsidRPr="001861FD">
        <w:rPr>
          <w:rFonts w:cstheme="minorHAnsi"/>
        </w:rPr>
        <w:t xml:space="preserve">. Salīdzinot 2007.-2013. gada </w:t>
      </w:r>
      <w:r w:rsidR="00A26F79">
        <w:rPr>
          <w:rFonts w:cstheme="minorHAnsi"/>
        </w:rPr>
        <w:t>un</w:t>
      </w:r>
      <w:r w:rsidRPr="001861FD">
        <w:rPr>
          <w:rFonts w:cstheme="minorHAnsi"/>
        </w:rPr>
        <w:t xml:space="preserve"> 2014.-2020. gada </w:t>
      </w:r>
      <w:r w:rsidR="00A26F79">
        <w:rPr>
          <w:rFonts w:cstheme="minorHAnsi"/>
        </w:rPr>
        <w:t xml:space="preserve">plānošanas </w:t>
      </w:r>
      <w:r w:rsidRPr="001861FD">
        <w:rPr>
          <w:rFonts w:cstheme="minorHAnsi"/>
        </w:rPr>
        <w:t>periodu</w:t>
      </w:r>
      <w:r w:rsidR="00C5592B">
        <w:rPr>
          <w:rFonts w:cstheme="minorHAnsi"/>
        </w:rPr>
        <w:t>s</w:t>
      </w:r>
      <w:r w:rsidRPr="001861FD">
        <w:rPr>
          <w:rFonts w:cstheme="minorHAnsi"/>
        </w:rPr>
        <w:t xml:space="preserve">, finansējuma saņēmēju viedokļi sadalās līdzīgi – </w:t>
      </w:r>
      <w:r w:rsidR="00E019EB">
        <w:rPr>
          <w:rFonts w:cstheme="minorHAnsi"/>
        </w:rPr>
        <w:t>seši</w:t>
      </w:r>
      <w:r w:rsidRPr="001861FD">
        <w:rPr>
          <w:rFonts w:cstheme="minorHAnsi"/>
        </w:rPr>
        <w:t xml:space="preserve"> respondenti norāda uz administratīvā sloga </w:t>
      </w:r>
      <w:r w:rsidRPr="004446B3">
        <w:rPr>
          <w:rFonts w:cstheme="minorHAnsi"/>
        </w:rPr>
        <w:t xml:space="preserve">samazināšanos vai relatīvu samazināšanos, savukārt </w:t>
      </w:r>
      <w:r w:rsidR="00E019EB" w:rsidRPr="004446B3">
        <w:rPr>
          <w:rFonts w:cstheme="minorHAnsi"/>
        </w:rPr>
        <w:t>pieci</w:t>
      </w:r>
      <w:r w:rsidRPr="004446B3">
        <w:rPr>
          <w:rFonts w:cstheme="minorHAnsi"/>
        </w:rPr>
        <w:t xml:space="preserve"> respondent</w:t>
      </w:r>
      <w:r w:rsidR="00F66464" w:rsidRPr="004446B3">
        <w:rPr>
          <w:rFonts w:cstheme="minorHAnsi"/>
        </w:rPr>
        <w:t>i</w:t>
      </w:r>
      <w:r w:rsidRPr="004446B3">
        <w:rPr>
          <w:rFonts w:cstheme="minorHAnsi"/>
        </w:rPr>
        <w:t xml:space="preserve"> uzskata, ka tas ir palielinājies vai </w:t>
      </w:r>
      <w:r w:rsidR="005E155A" w:rsidRPr="004446B3">
        <w:rPr>
          <w:rFonts w:cstheme="minorHAnsi"/>
        </w:rPr>
        <w:t>drīzāk</w:t>
      </w:r>
      <w:r w:rsidRPr="004446B3">
        <w:rPr>
          <w:rFonts w:cstheme="minorHAnsi"/>
        </w:rPr>
        <w:t xml:space="preserve"> palielinājies.</w:t>
      </w:r>
      <w:r w:rsidR="00AC2652" w:rsidRPr="004446B3">
        <w:rPr>
          <w:rFonts w:cstheme="minorHAnsi"/>
        </w:rPr>
        <w:t xml:space="preserve"> </w:t>
      </w:r>
      <w:r w:rsidR="004446B3">
        <w:rPr>
          <w:rFonts w:cstheme="minorHAnsi"/>
        </w:rPr>
        <w:t>Savukārt</w:t>
      </w:r>
      <w:r w:rsidR="00F67B73" w:rsidRPr="004446B3">
        <w:rPr>
          <w:rFonts w:cstheme="minorHAnsi"/>
        </w:rPr>
        <w:t xml:space="preserve"> intervijās finansējuma saņēmēji norāda, ka 2014.-2020. gada plānošanas periodā dažādas administratīvās prasības bija samazinājušās, piemēram, </w:t>
      </w:r>
      <w:r w:rsidR="00F130DC" w:rsidRPr="004446B3">
        <w:rPr>
          <w:rFonts w:cstheme="minorHAnsi"/>
        </w:rPr>
        <w:t>samazinot pamatojošās dokumentācijas apjomu.</w:t>
      </w:r>
    </w:p>
    <w:p w14:paraId="1E08F5FF" w14:textId="4A99DE1A" w:rsidR="002C1A9B" w:rsidRDefault="001861FD" w:rsidP="001861FD">
      <w:pPr>
        <w:rPr>
          <w:rFonts w:cstheme="minorHAnsi"/>
        </w:rPr>
      </w:pPr>
      <w:r w:rsidRPr="001861FD">
        <w:rPr>
          <w:rFonts w:cstheme="minorHAnsi"/>
        </w:rPr>
        <w:t xml:space="preserve">Attiecībā uz 2021.-2027. gada plānošanas periodu vairākums respondentu norāda uz administratīvā sloga pieaugumu. Šādu vērtējumu būtiski ietekmē deleģētās iestādes projektu finansējuma saņēmēju </w:t>
      </w:r>
      <w:r w:rsidR="003B75E8">
        <w:rPr>
          <w:rFonts w:cstheme="minorHAnsi"/>
        </w:rPr>
        <w:t>viedo</w:t>
      </w:r>
      <w:r w:rsidR="00470A90">
        <w:rPr>
          <w:rFonts w:cstheme="minorHAnsi"/>
        </w:rPr>
        <w:t>k</w:t>
      </w:r>
      <w:r w:rsidR="003B75E8">
        <w:rPr>
          <w:rFonts w:cstheme="minorHAnsi"/>
        </w:rPr>
        <w:t>lis. Veikto</w:t>
      </w:r>
      <w:r w:rsidRPr="001861FD">
        <w:rPr>
          <w:rFonts w:cstheme="minorHAnsi"/>
        </w:rPr>
        <w:t xml:space="preserve"> intervij</w:t>
      </w:r>
      <w:r w:rsidR="003B75E8">
        <w:rPr>
          <w:rFonts w:cstheme="minorHAnsi"/>
        </w:rPr>
        <w:t>u gaitā ti</w:t>
      </w:r>
      <w:r w:rsidR="007E3901">
        <w:rPr>
          <w:rFonts w:cstheme="minorHAnsi"/>
        </w:rPr>
        <w:t xml:space="preserve">ka </w:t>
      </w:r>
      <w:r w:rsidRPr="001861FD">
        <w:rPr>
          <w:rFonts w:cstheme="minorHAnsi"/>
        </w:rPr>
        <w:t xml:space="preserve">uzsvērts ievērojams administratīvā sloga pieaugums vienkāršoto </w:t>
      </w:r>
      <w:r w:rsidR="007E3901">
        <w:rPr>
          <w:rFonts w:cstheme="minorHAnsi"/>
        </w:rPr>
        <w:t xml:space="preserve">izmaksu </w:t>
      </w:r>
      <w:r w:rsidR="00470A90">
        <w:rPr>
          <w:rFonts w:cstheme="minorHAnsi"/>
        </w:rPr>
        <w:lastRenderedPageBreak/>
        <w:t>ieviešanas</w:t>
      </w:r>
      <w:r w:rsidR="007E3901">
        <w:rPr>
          <w:rFonts w:cstheme="minorHAnsi"/>
        </w:rPr>
        <w:t xml:space="preserve"> dēļ</w:t>
      </w:r>
      <w:r w:rsidR="00470A90">
        <w:rPr>
          <w:rFonts w:cstheme="minorHAnsi"/>
        </w:rPr>
        <w:t xml:space="preserve"> </w:t>
      </w:r>
      <w:r w:rsidR="00470A90" w:rsidRPr="00470A90">
        <w:rPr>
          <w:rFonts w:cstheme="minorHAnsi"/>
        </w:rPr>
        <w:t>un ar to saistīto atskaitīšanās procesu, kas ietver apjomīgas pamatojošās dokumentācijas sagatavošanu un iesniegšanu finansējuma saņēmējiem, bet to pārbaudi — deleģētās iestādes pārstāvjiem.</w:t>
      </w:r>
    </w:p>
    <w:p w14:paraId="70E78122" w14:textId="0E3F5945" w:rsidR="00C13B82" w:rsidRDefault="00C13B82" w:rsidP="00C13B82">
      <w:pPr>
        <w:pStyle w:val="GraphTitle"/>
      </w:pPr>
      <w:bookmarkStart w:id="35" w:name="_Ref190268951"/>
      <w:bookmarkStart w:id="36" w:name="_Ref191388607"/>
      <w:r>
        <w:t xml:space="preserve">Attēls </w:t>
      </w:r>
      <w:r w:rsidR="00C47EA2">
        <w:fldChar w:fldCharType="begin"/>
      </w:r>
      <w:r w:rsidR="00C47EA2">
        <w:instrText xml:space="preserve"> SEQ Attēls \* ARABIC </w:instrText>
      </w:r>
      <w:r w:rsidR="00C47EA2">
        <w:fldChar w:fldCharType="separate"/>
      </w:r>
      <w:r w:rsidR="000523B6">
        <w:t>9</w:t>
      </w:r>
      <w:r w:rsidR="00C47EA2">
        <w:fldChar w:fldCharType="end"/>
      </w:r>
      <w:bookmarkEnd w:id="35"/>
      <w:r>
        <w:t>. Finansējuma saņēmēju vērtējums par administratīvo sloga izmaiņām</w:t>
      </w:r>
      <w:r w:rsidR="00094BE4">
        <w:t xml:space="preserve"> </w:t>
      </w:r>
      <w:r>
        <w:t xml:space="preserve"> dažādu plānošanas periodu ietvaros</w:t>
      </w:r>
      <w:r w:rsidR="00094BE4">
        <w:t>, salīdzinot ar 2014-2020.gada plānošanas periodu</w:t>
      </w:r>
      <w:bookmarkEnd w:id="36"/>
    </w:p>
    <w:p w14:paraId="4AEFE0AF" w14:textId="7D43D8E5" w:rsidR="00EA0486" w:rsidRDefault="00A84AC5" w:rsidP="009600BD">
      <w:pPr>
        <w:rPr>
          <w:rFonts w:cstheme="minorHAnsi"/>
        </w:rPr>
      </w:pPr>
      <w:r>
        <w:rPr>
          <w:noProof/>
        </w:rPr>
        <w:drawing>
          <wp:inline distT="0" distB="0" distL="0" distR="0" wp14:anchorId="2EE4BAB6" wp14:editId="780DFC47">
            <wp:extent cx="6496050" cy="2680494"/>
            <wp:effectExtent l="0" t="0" r="0" b="5715"/>
            <wp:docPr id="1165353363" name="Chart 1">
              <a:extLst xmlns:a="http://schemas.openxmlformats.org/drawingml/2006/main">
                <a:ext uri="{FF2B5EF4-FFF2-40B4-BE49-F238E27FC236}">
                  <a16:creationId xmlns:a16="http://schemas.microsoft.com/office/drawing/2014/main" id="{E75F5492-96CA-41DD-8771-AE90D7D7FA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A5740C8" w14:textId="095F9DCC" w:rsidR="00C13B82" w:rsidRPr="00785D09" w:rsidRDefault="00C13B82" w:rsidP="00C13B82">
      <w:pPr>
        <w:jc w:val="right"/>
        <w:rPr>
          <w:rStyle w:val="Izsmalcintsizclums"/>
        </w:rPr>
      </w:pPr>
      <w:r w:rsidRPr="00785D09">
        <w:rPr>
          <w:rStyle w:val="Izsmalcintsizclums"/>
        </w:rPr>
        <w:t>Avots: Finansējuma saņēmēju aptauja, n=</w:t>
      </w:r>
      <w:r w:rsidR="00A84AC5" w:rsidRPr="00785D09">
        <w:rPr>
          <w:rStyle w:val="Izsmalcintsizclums"/>
        </w:rPr>
        <w:t>19</w:t>
      </w:r>
    </w:p>
    <w:p w14:paraId="513BE17C" w14:textId="19336FE2" w:rsidR="00D96F8A" w:rsidRDefault="00010A00" w:rsidP="009600BD">
      <w:pPr>
        <w:rPr>
          <w:rFonts w:cstheme="minorHAnsi"/>
        </w:rPr>
      </w:pPr>
      <w:r>
        <w:rPr>
          <w:rFonts w:cstheme="minorHAnsi"/>
        </w:rPr>
        <w:t xml:space="preserve">Atbildīgā iestāde kā </w:t>
      </w:r>
      <w:r w:rsidR="0023609D">
        <w:rPr>
          <w:rFonts w:cstheme="minorHAnsi"/>
        </w:rPr>
        <w:t xml:space="preserve">nozīmīgāko </w:t>
      </w:r>
      <w:r>
        <w:rPr>
          <w:rFonts w:cstheme="minorHAnsi"/>
        </w:rPr>
        <w:t>izmaiņu, salīdzin</w:t>
      </w:r>
      <w:r w:rsidR="0076095E">
        <w:rPr>
          <w:rFonts w:cstheme="minorHAnsi"/>
        </w:rPr>
        <w:t>ot</w:t>
      </w:r>
      <w:r>
        <w:rPr>
          <w:rFonts w:cstheme="minorHAnsi"/>
        </w:rPr>
        <w:t xml:space="preserve"> ar 2007-2013.</w:t>
      </w:r>
      <w:r w:rsidR="00271E3A">
        <w:rPr>
          <w:rFonts w:cstheme="minorHAnsi"/>
        </w:rPr>
        <w:t xml:space="preserve"> </w:t>
      </w:r>
      <w:r>
        <w:rPr>
          <w:rFonts w:cstheme="minorHAnsi"/>
        </w:rPr>
        <w:t xml:space="preserve">gada plānošanas periodu, </w:t>
      </w:r>
      <w:r w:rsidR="0076095E">
        <w:rPr>
          <w:rFonts w:cstheme="minorHAnsi"/>
        </w:rPr>
        <w:t>identificē</w:t>
      </w:r>
      <w:r>
        <w:rPr>
          <w:rFonts w:cstheme="minorHAnsi"/>
        </w:rPr>
        <w:t xml:space="preserve"> daudzgadu programmu ieviešanu</w:t>
      </w:r>
      <w:r w:rsidR="00D05920">
        <w:rPr>
          <w:rFonts w:cstheme="minorHAnsi"/>
        </w:rPr>
        <w:t>.</w:t>
      </w:r>
      <w:r>
        <w:rPr>
          <w:rFonts w:cstheme="minorHAnsi"/>
        </w:rPr>
        <w:t xml:space="preserve"> </w:t>
      </w:r>
      <w:r w:rsidR="00D05920">
        <w:rPr>
          <w:rFonts w:cstheme="minorHAnsi"/>
        </w:rPr>
        <w:t>Šis jaunievedums nodrošināja vairākas priekšrocības:</w:t>
      </w:r>
      <w:r>
        <w:rPr>
          <w:rFonts w:cstheme="minorHAnsi"/>
        </w:rPr>
        <w:t xml:space="preserve"> stratēģiskāk</w:t>
      </w:r>
      <w:r w:rsidR="00392AAF">
        <w:rPr>
          <w:rFonts w:cstheme="minorHAnsi"/>
        </w:rPr>
        <w:t>u</w:t>
      </w:r>
      <w:r>
        <w:rPr>
          <w:rFonts w:cstheme="minorHAnsi"/>
        </w:rPr>
        <w:t xml:space="preserve"> atbalstāmo pasākumu</w:t>
      </w:r>
      <w:r w:rsidR="00392AAF">
        <w:rPr>
          <w:rFonts w:cstheme="minorHAnsi"/>
        </w:rPr>
        <w:t xml:space="preserve"> plānošanu</w:t>
      </w:r>
      <w:r>
        <w:rPr>
          <w:rFonts w:cstheme="minorHAnsi"/>
        </w:rPr>
        <w:t>, elastīgāk</w:t>
      </w:r>
      <w:r w:rsidR="00392AAF">
        <w:rPr>
          <w:rFonts w:cstheme="minorHAnsi"/>
        </w:rPr>
        <w:t>u</w:t>
      </w:r>
      <w:r>
        <w:rPr>
          <w:rFonts w:cstheme="minorHAnsi"/>
        </w:rPr>
        <w:t xml:space="preserve"> pielāgo</w:t>
      </w:r>
      <w:r w:rsidR="00392AAF">
        <w:rPr>
          <w:rFonts w:cstheme="minorHAnsi"/>
        </w:rPr>
        <w:t>šanos</w:t>
      </w:r>
      <w:r>
        <w:rPr>
          <w:rFonts w:cstheme="minorHAnsi"/>
        </w:rPr>
        <w:t xml:space="preserve"> </w:t>
      </w:r>
      <w:r w:rsidR="00D96F8A">
        <w:rPr>
          <w:rFonts w:cstheme="minorHAnsi"/>
        </w:rPr>
        <w:t xml:space="preserve">mainīgajiem apstākļiem, </w:t>
      </w:r>
      <w:r>
        <w:rPr>
          <w:rFonts w:cstheme="minorHAnsi"/>
        </w:rPr>
        <w:t xml:space="preserve">kā arī </w:t>
      </w:r>
      <w:r w:rsidR="00D96F8A">
        <w:rPr>
          <w:rFonts w:cstheme="minorHAnsi"/>
        </w:rPr>
        <w:t xml:space="preserve">iespēju īstenot </w:t>
      </w:r>
      <w:r w:rsidR="00F25637">
        <w:rPr>
          <w:rFonts w:cstheme="minorHAnsi"/>
        </w:rPr>
        <w:t>projektu</w:t>
      </w:r>
      <w:r w:rsidR="00D96F8A">
        <w:rPr>
          <w:rFonts w:cstheme="minorHAnsi"/>
        </w:rPr>
        <w:t>s garākā laika periodā</w:t>
      </w:r>
      <w:r w:rsidR="00F25637">
        <w:rPr>
          <w:rFonts w:cstheme="minorHAnsi"/>
        </w:rPr>
        <w:t xml:space="preserve">. </w:t>
      </w:r>
    </w:p>
    <w:p w14:paraId="0C862589" w14:textId="02A37726" w:rsidR="00857486" w:rsidRDefault="00F278CD" w:rsidP="009600BD">
      <w:pPr>
        <w:rPr>
          <w:rFonts w:cstheme="minorHAnsi"/>
          <w:i/>
          <w:iCs/>
        </w:rPr>
      </w:pPr>
      <w:r>
        <w:rPr>
          <w:rFonts w:cstheme="minorHAnsi"/>
        </w:rPr>
        <w:t xml:space="preserve">Finansējumu saņēmēju </w:t>
      </w:r>
      <w:r w:rsidR="0085492C">
        <w:rPr>
          <w:rFonts w:cstheme="minorHAnsi"/>
        </w:rPr>
        <w:t xml:space="preserve">intervijās paustais viedoklis </w:t>
      </w:r>
      <w:r>
        <w:rPr>
          <w:rFonts w:cstheme="minorHAnsi"/>
        </w:rPr>
        <w:t>liecina par pozitīvām izmaiņām</w:t>
      </w:r>
      <w:r w:rsidR="00901E73">
        <w:rPr>
          <w:rFonts w:cstheme="minorHAnsi"/>
        </w:rPr>
        <w:t>, salīdzinot ar 2007</w:t>
      </w:r>
      <w:r w:rsidR="00A25CB5">
        <w:rPr>
          <w:rFonts w:cstheme="minorHAnsi"/>
        </w:rPr>
        <w:t>.</w:t>
      </w:r>
      <w:r w:rsidR="0045033A">
        <w:rPr>
          <w:rFonts w:cstheme="minorHAnsi"/>
        </w:rPr>
        <w:t>-</w:t>
      </w:r>
      <w:r w:rsidR="00901E73">
        <w:rPr>
          <w:rFonts w:cstheme="minorHAnsi"/>
        </w:rPr>
        <w:t>2013.</w:t>
      </w:r>
      <w:r w:rsidR="00CB411B">
        <w:rPr>
          <w:rFonts w:cstheme="minorHAnsi"/>
        </w:rPr>
        <w:t xml:space="preserve"> </w:t>
      </w:r>
      <w:r w:rsidR="00901E73">
        <w:rPr>
          <w:rFonts w:cstheme="minorHAnsi"/>
        </w:rPr>
        <w:t>gad</w:t>
      </w:r>
      <w:r w:rsidR="00A25CB5">
        <w:rPr>
          <w:rFonts w:cstheme="minorHAnsi"/>
        </w:rPr>
        <w:t xml:space="preserve">a </w:t>
      </w:r>
      <w:r w:rsidR="000F41CB">
        <w:rPr>
          <w:rFonts w:cstheme="minorHAnsi"/>
        </w:rPr>
        <w:t xml:space="preserve">plānošanas </w:t>
      </w:r>
      <w:r w:rsidR="00A25CB5">
        <w:rPr>
          <w:rFonts w:cstheme="minorHAnsi"/>
        </w:rPr>
        <w:t xml:space="preserve">periodu </w:t>
      </w:r>
      <w:r w:rsidR="0008479E">
        <w:rPr>
          <w:rFonts w:cstheme="minorHAnsi"/>
        </w:rPr>
        <w:t>–</w:t>
      </w:r>
      <w:r w:rsidR="00A25CB5">
        <w:rPr>
          <w:rFonts w:cstheme="minorHAnsi"/>
        </w:rPr>
        <w:t xml:space="preserve"> būtiski</w:t>
      </w:r>
      <w:r w:rsidR="00901E73">
        <w:rPr>
          <w:rFonts w:cstheme="minorHAnsi"/>
        </w:rPr>
        <w:t xml:space="preserve"> samazinājies nepieciešamās dokumentācijas apjoms</w:t>
      </w:r>
      <w:r w:rsidR="00A25CB5">
        <w:rPr>
          <w:rFonts w:cstheme="minorHAnsi"/>
        </w:rPr>
        <w:t xml:space="preserve"> un</w:t>
      </w:r>
      <w:r w:rsidR="00467247">
        <w:rPr>
          <w:rFonts w:cstheme="minorHAnsi"/>
        </w:rPr>
        <w:t xml:space="preserve"> mazinājusies izmaksu pārbau</w:t>
      </w:r>
      <w:r w:rsidR="00742806">
        <w:rPr>
          <w:rFonts w:cstheme="minorHAnsi"/>
        </w:rPr>
        <w:t>žu detalizācijas pakāpe</w:t>
      </w:r>
      <w:r w:rsidR="00467247">
        <w:rPr>
          <w:rFonts w:cstheme="minorHAnsi"/>
        </w:rPr>
        <w:t>.</w:t>
      </w:r>
      <w:r w:rsidR="00742806">
        <w:rPr>
          <w:rFonts w:cstheme="minorHAnsi"/>
        </w:rPr>
        <w:t xml:space="preserve"> Šo tendenci ilustrē </w:t>
      </w:r>
      <w:r w:rsidR="00467247">
        <w:rPr>
          <w:rFonts w:cstheme="minorHAnsi"/>
        </w:rPr>
        <w:t xml:space="preserve">deleģētās iestādes </w:t>
      </w:r>
      <w:r w:rsidR="00242C45">
        <w:rPr>
          <w:rFonts w:cstheme="minorHAnsi"/>
        </w:rPr>
        <w:t>pārstāvj</w:t>
      </w:r>
      <w:r w:rsidR="00742806">
        <w:rPr>
          <w:rFonts w:cstheme="minorHAnsi"/>
        </w:rPr>
        <w:t>u minētais</w:t>
      </w:r>
      <w:r w:rsidR="00BC3A26">
        <w:rPr>
          <w:rFonts w:cstheme="minorHAnsi"/>
        </w:rPr>
        <w:t xml:space="preserve"> piemērs par deklarēto izdevumu</w:t>
      </w:r>
      <w:r w:rsidR="00587DEA">
        <w:rPr>
          <w:rFonts w:cstheme="minorHAnsi"/>
        </w:rPr>
        <w:t xml:space="preserve"> pieļaujamās</w:t>
      </w:r>
      <w:r w:rsidR="00BC3A26">
        <w:rPr>
          <w:rFonts w:cstheme="minorHAnsi"/>
        </w:rPr>
        <w:t xml:space="preserve"> kļūdas robeža</w:t>
      </w:r>
      <w:r w:rsidR="00587DEA">
        <w:rPr>
          <w:rFonts w:cstheme="minorHAnsi"/>
        </w:rPr>
        <w:t>s palielināšanu</w:t>
      </w:r>
      <w:r w:rsidR="00BC3A26">
        <w:rPr>
          <w:rFonts w:cstheme="minorHAnsi"/>
        </w:rPr>
        <w:t xml:space="preserve"> </w:t>
      </w:r>
      <w:r w:rsidR="00242C45">
        <w:rPr>
          <w:rFonts w:cstheme="minorHAnsi"/>
        </w:rPr>
        <w:t>2014</w:t>
      </w:r>
      <w:r w:rsidR="00587DEA">
        <w:rPr>
          <w:rFonts w:cstheme="minorHAnsi"/>
        </w:rPr>
        <w:t>.</w:t>
      </w:r>
      <w:r w:rsidR="00242C45">
        <w:rPr>
          <w:rFonts w:cstheme="minorHAnsi"/>
        </w:rPr>
        <w:t>-2020.</w:t>
      </w:r>
      <w:r w:rsidR="00CB411B">
        <w:rPr>
          <w:rFonts w:cstheme="minorHAnsi"/>
        </w:rPr>
        <w:t xml:space="preserve"> </w:t>
      </w:r>
      <w:r w:rsidR="00242C45">
        <w:rPr>
          <w:rFonts w:cstheme="minorHAnsi"/>
        </w:rPr>
        <w:t xml:space="preserve">gada </w:t>
      </w:r>
      <w:r w:rsidR="000F41CB">
        <w:rPr>
          <w:rFonts w:cstheme="minorHAnsi"/>
        </w:rPr>
        <w:t xml:space="preserve">plānošanas </w:t>
      </w:r>
      <w:r w:rsidR="00242C45">
        <w:rPr>
          <w:rFonts w:cstheme="minorHAnsi"/>
        </w:rPr>
        <w:t xml:space="preserve">periodā </w:t>
      </w:r>
      <w:r w:rsidR="00857486">
        <w:rPr>
          <w:rFonts w:cstheme="minorHAnsi"/>
        </w:rPr>
        <w:t xml:space="preserve">no 0,01 </w:t>
      </w:r>
      <w:r w:rsidR="00857486">
        <w:rPr>
          <w:rFonts w:cstheme="minorHAnsi"/>
          <w:i/>
          <w:iCs/>
        </w:rPr>
        <w:t xml:space="preserve">euro </w:t>
      </w:r>
      <w:r w:rsidR="00857486">
        <w:rPr>
          <w:rFonts w:cstheme="minorHAnsi"/>
        </w:rPr>
        <w:t xml:space="preserve">uz 0,04 </w:t>
      </w:r>
      <w:r w:rsidR="00857486">
        <w:rPr>
          <w:rFonts w:cstheme="minorHAnsi"/>
          <w:i/>
          <w:iCs/>
        </w:rPr>
        <w:t xml:space="preserve">euro. </w:t>
      </w:r>
    </w:p>
    <w:p w14:paraId="42F7C32C" w14:textId="2D437625" w:rsidR="00A37E55" w:rsidRDefault="00587DEA" w:rsidP="008B20B2">
      <w:pPr>
        <w:rPr>
          <w:rFonts w:cstheme="minorHAnsi"/>
        </w:rPr>
      </w:pPr>
      <w:r>
        <w:rPr>
          <w:rFonts w:cstheme="minorHAnsi"/>
        </w:rPr>
        <w:t>Analizējot</w:t>
      </w:r>
      <w:r w:rsidR="009D539C">
        <w:rPr>
          <w:rFonts w:cstheme="minorHAnsi"/>
        </w:rPr>
        <w:t xml:space="preserve"> 2021</w:t>
      </w:r>
      <w:r>
        <w:rPr>
          <w:rFonts w:cstheme="minorHAnsi"/>
        </w:rPr>
        <w:t>.</w:t>
      </w:r>
      <w:r w:rsidR="009D539C">
        <w:rPr>
          <w:rFonts w:cstheme="minorHAnsi"/>
        </w:rPr>
        <w:t>-2027.</w:t>
      </w:r>
      <w:r w:rsidR="00CB411B">
        <w:rPr>
          <w:rFonts w:cstheme="minorHAnsi"/>
        </w:rPr>
        <w:t xml:space="preserve"> </w:t>
      </w:r>
      <w:r w:rsidR="009D539C">
        <w:rPr>
          <w:rFonts w:cstheme="minorHAnsi"/>
        </w:rPr>
        <w:t>gada plānošanas periodu</w:t>
      </w:r>
      <w:r w:rsidR="00090F5C">
        <w:rPr>
          <w:rFonts w:cstheme="minorHAnsi"/>
        </w:rPr>
        <w:t>,</w:t>
      </w:r>
      <w:r w:rsidR="009D539C">
        <w:rPr>
          <w:rFonts w:cstheme="minorHAnsi"/>
        </w:rPr>
        <w:t xml:space="preserve"> atbildīgās iestādes pārraudzībā esošo projektu finansējuma saņēmēji norāda </w:t>
      </w:r>
      <w:r w:rsidR="00A37E55">
        <w:rPr>
          <w:rFonts w:cstheme="minorHAnsi"/>
        </w:rPr>
        <w:t xml:space="preserve">vairākus administratīvā sloga </w:t>
      </w:r>
      <w:r w:rsidR="002149CD">
        <w:rPr>
          <w:rFonts w:cstheme="minorHAnsi"/>
        </w:rPr>
        <w:t>mazinā</w:t>
      </w:r>
      <w:r w:rsidR="00A37E55">
        <w:rPr>
          <w:rFonts w:cstheme="minorHAnsi"/>
        </w:rPr>
        <w:t>šanas</w:t>
      </w:r>
      <w:r w:rsidR="002149CD">
        <w:rPr>
          <w:rFonts w:cstheme="minorHAnsi"/>
        </w:rPr>
        <w:t xml:space="preserve"> </w:t>
      </w:r>
      <w:r w:rsidR="00A37E55">
        <w:rPr>
          <w:rFonts w:cstheme="minorHAnsi"/>
        </w:rPr>
        <w:t>pasākumus, kas novērtēti pozitīvi:</w:t>
      </w:r>
    </w:p>
    <w:p w14:paraId="2369F8F8" w14:textId="0725B60E" w:rsidR="005C386F" w:rsidRDefault="002149CD" w:rsidP="005C386F">
      <w:pPr>
        <w:pStyle w:val="Sarakstarindkopa"/>
        <w:numPr>
          <w:ilvl w:val="0"/>
          <w:numId w:val="34"/>
        </w:numPr>
        <w:rPr>
          <w:rFonts w:cstheme="minorHAnsi"/>
        </w:rPr>
      </w:pPr>
      <w:r w:rsidRPr="005C386F">
        <w:rPr>
          <w:rFonts w:cstheme="minorHAnsi"/>
        </w:rPr>
        <w:t xml:space="preserve">atvieglotākus noteikumus gadījumiem, kad ir jāveic oficiāli projekta grozījumi, </w:t>
      </w:r>
    </w:p>
    <w:p w14:paraId="25F086F6" w14:textId="77777777" w:rsidR="005C386F" w:rsidRDefault="002149CD" w:rsidP="005C386F">
      <w:pPr>
        <w:pStyle w:val="Sarakstarindkopa"/>
        <w:numPr>
          <w:ilvl w:val="0"/>
          <w:numId w:val="34"/>
        </w:numPr>
        <w:rPr>
          <w:rFonts w:cstheme="minorHAnsi"/>
        </w:rPr>
      </w:pPr>
      <w:r w:rsidRPr="005C386F">
        <w:rPr>
          <w:rFonts w:cstheme="minorHAnsi"/>
        </w:rPr>
        <w:t xml:space="preserve">ieviestu mehānismu atskaišu un pamatojošās dokumentācijas augšupielādei elektroniski, </w:t>
      </w:r>
    </w:p>
    <w:p w14:paraId="3EF7F72D" w14:textId="77777777" w:rsidR="00E85AD9" w:rsidRDefault="002149CD" w:rsidP="005C386F">
      <w:pPr>
        <w:pStyle w:val="Sarakstarindkopa"/>
        <w:numPr>
          <w:ilvl w:val="0"/>
          <w:numId w:val="34"/>
        </w:numPr>
        <w:rPr>
          <w:rFonts w:cstheme="minorHAnsi"/>
        </w:rPr>
      </w:pPr>
      <w:r w:rsidRPr="005C386F">
        <w:rPr>
          <w:rFonts w:cstheme="minorHAnsi"/>
        </w:rPr>
        <w:t>retāku atskaišu iesniegšanu</w:t>
      </w:r>
      <w:r w:rsidR="00E85AD9">
        <w:rPr>
          <w:rFonts w:cstheme="minorHAnsi"/>
        </w:rPr>
        <w:t>;</w:t>
      </w:r>
    </w:p>
    <w:p w14:paraId="3A534043" w14:textId="1D097985" w:rsidR="0093421F" w:rsidRPr="002C1A9B" w:rsidRDefault="002149CD" w:rsidP="00F855E8">
      <w:pPr>
        <w:pStyle w:val="Sarakstarindkopa"/>
        <w:numPr>
          <w:ilvl w:val="0"/>
          <w:numId w:val="34"/>
        </w:numPr>
        <w:rPr>
          <w:rFonts w:cstheme="minorHAnsi"/>
        </w:rPr>
      </w:pPr>
      <w:r w:rsidRPr="005C386F">
        <w:rPr>
          <w:rFonts w:cstheme="minorHAnsi"/>
        </w:rPr>
        <w:t xml:space="preserve">samazinātu pamatojošās dokumentācijas apjomu.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1671B8E2" w14:textId="77777777" w:rsidTr="009D17B3">
        <w:tc>
          <w:tcPr>
            <w:tcW w:w="10252" w:type="dxa"/>
            <w:tcBorders>
              <w:bottom w:val="single" w:sz="4" w:space="0" w:color="auto"/>
            </w:tcBorders>
            <w:shd w:val="clear" w:color="auto" w:fill="F3B8FF" w:themeFill="accent6" w:themeFillTint="33"/>
          </w:tcPr>
          <w:p w14:paraId="76B4F040" w14:textId="77777777" w:rsidR="00143135" w:rsidRPr="008F64A0" w:rsidRDefault="00143135" w:rsidP="00A239D8">
            <w:pPr>
              <w:rPr>
                <w:i/>
                <w:iCs/>
                <w:color w:val="5A5A5A" w:themeColor="accent1" w:themeTint="BF"/>
              </w:rPr>
            </w:pPr>
            <w:r w:rsidRPr="008F64A0">
              <w:rPr>
                <w:i/>
                <w:iCs/>
                <w:color w:val="5A5A5A" w:themeColor="accent1" w:themeTint="BF"/>
              </w:rPr>
              <w:t>Apakšjautājums: Cik lielā mērā fonda rezultāti tika sasniegti par saprātīgām izmaksām, ņemot vērā izmantotos finanšu un cilvēkresursus?</w:t>
            </w:r>
          </w:p>
        </w:tc>
      </w:tr>
    </w:tbl>
    <w:p w14:paraId="7B7F3AD4" w14:textId="6BC1F522" w:rsidR="00266282" w:rsidRDefault="006216E3" w:rsidP="006216E3">
      <w:pPr>
        <w:rPr>
          <w:bCs/>
        </w:rPr>
      </w:pPr>
      <w:r>
        <w:rPr>
          <w:bCs/>
        </w:rPr>
        <w:t xml:space="preserve">Izvērtējuma ietvaros tika veikta divu PMIF projektu gadījumu izpēte, ietverot </w:t>
      </w:r>
      <w:r w:rsidR="0045033A">
        <w:rPr>
          <w:bCs/>
        </w:rPr>
        <w:t>IIA</w:t>
      </w:r>
      <w:r>
        <w:rPr>
          <w:bCs/>
        </w:rPr>
        <w:t xml:space="preserve"> (skat. 4. pielikumu). Analīzē tika iekļaut</w:t>
      </w:r>
      <w:r w:rsidR="00266282">
        <w:rPr>
          <w:bCs/>
        </w:rPr>
        <w:t xml:space="preserve">i </w:t>
      </w:r>
      <w:r w:rsidR="007A1115">
        <w:rPr>
          <w:bCs/>
        </w:rPr>
        <w:t xml:space="preserve">šādi vairākos posmos realizēti </w:t>
      </w:r>
      <w:r w:rsidR="00557285">
        <w:rPr>
          <w:bCs/>
        </w:rPr>
        <w:t>projekti</w:t>
      </w:r>
      <w:r w:rsidR="00266282">
        <w:rPr>
          <w:bCs/>
        </w:rPr>
        <w:t xml:space="preserve">: </w:t>
      </w:r>
    </w:p>
    <w:p w14:paraId="1DAE43FE" w14:textId="4636AFE3" w:rsidR="002856A4" w:rsidRDefault="002856A4" w:rsidP="00266282">
      <w:pPr>
        <w:pStyle w:val="Sarakstarindkopa"/>
        <w:numPr>
          <w:ilvl w:val="0"/>
          <w:numId w:val="35"/>
        </w:numPr>
        <w:rPr>
          <w:bCs/>
        </w:rPr>
      </w:pPr>
      <w:r w:rsidRPr="00266282">
        <w:rPr>
          <w:bCs/>
        </w:rPr>
        <w:t xml:space="preserve">PMLP </w:t>
      </w:r>
      <w:r w:rsidR="006216E3" w:rsidRPr="00266282">
        <w:rPr>
          <w:bCs/>
        </w:rPr>
        <w:t>īstenotais projekts</w:t>
      </w:r>
      <w:r w:rsidRPr="00266282">
        <w:rPr>
          <w:bCs/>
        </w:rPr>
        <w:t xml:space="preserve"> Nr.</w:t>
      </w:r>
      <w:r w:rsidR="00266282" w:rsidRPr="00266282">
        <w:rPr>
          <w:bCs/>
        </w:rPr>
        <w:t xml:space="preserve"> </w:t>
      </w:r>
      <w:r w:rsidRPr="00266282">
        <w:rPr>
          <w:bCs/>
        </w:rPr>
        <w:t xml:space="preserve">PMLP/PMIF/2016/1 “Atbalsta pasākumi personu, kurām nepieciešama starptautiskā aizsardzība, uzņemšanai un izmitināšanai Latvijā, Nr. </w:t>
      </w:r>
      <w:r w:rsidRPr="00266282">
        <w:rPr>
          <w:bCs/>
        </w:rPr>
        <w:lastRenderedPageBreak/>
        <w:t>PMLP/PMIF/2017/4 “Atbalsta pasākumi personu, kurām nepieciešama starptautiskā aizsardzība, uzņemšanai un izmitināšanai Latvijā (2.posms)” un Nr. PMLP/PMIF/2019/7 “Atbalsta pasākumi personu, kurām nepieciešama starptautiskā aizsardzība, uzņemšanai un izmitināšanai Latvijā (3.posms)”</w:t>
      </w:r>
      <w:r w:rsidR="008B6D9D">
        <w:rPr>
          <w:bCs/>
        </w:rPr>
        <w:t>;</w:t>
      </w:r>
    </w:p>
    <w:p w14:paraId="4BD4D7CE" w14:textId="19CB4E59" w:rsidR="00E92F23" w:rsidRDefault="00266282" w:rsidP="00143135">
      <w:pPr>
        <w:pStyle w:val="Sarakstarindkopa"/>
        <w:numPr>
          <w:ilvl w:val="0"/>
          <w:numId w:val="35"/>
        </w:numPr>
        <w:rPr>
          <w:bCs/>
        </w:rPr>
      </w:pPr>
      <w:r>
        <w:rPr>
          <w:bCs/>
        </w:rPr>
        <w:t xml:space="preserve">Latviešu valodas aģentūras īstenotais projekts </w:t>
      </w:r>
      <w:r w:rsidR="008B6D9D" w:rsidRPr="008B6D9D">
        <w:rPr>
          <w:bCs/>
        </w:rPr>
        <w:t>Nr. PMIF/6/2016/1/03 “Latviešu valodas apguve, lai sekmētu trešo valstu pilsoņu iekļaušanos darba tirgū”, Nr. PMIF/</w:t>
      </w:r>
      <w:r w:rsidR="009B5C15">
        <w:rPr>
          <w:bCs/>
        </w:rPr>
        <w:t>8</w:t>
      </w:r>
      <w:r w:rsidR="008B6D9D" w:rsidRPr="008B6D9D">
        <w:rPr>
          <w:bCs/>
        </w:rPr>
        <w:t>/2019/3/01 “Latviešu valodas apguve, lai sekmētu trešo valstu pilsoņu iekļaušanos darba tirgū 2” un Nr. PMIF/6/2020/3/01 “Latviešu valodas apguve, lai sekmētu trešo valstu pilsoņu iekļaušanos darba tirgū 3”</w:t>
      </w:r>
      <w:r w:rsidR="008B6D9D">
        <w:rPr>
          <w:bCs/>
        </w:rPr>
        <w:t>.</w:t>
      </w:r>
    </w:p>
    <w:p w14:paraId="324F6E90" w14:textId="06FDAA64" w:rsidR="00AC45FB" w:rsidRDefault="00AC45FB" w:rsidP="008B6D9D">
      <w:pPr>
        <w:rPr>
          <w:bCs/>
        </w:rPr>
      </w:pPr>
      <w:r w:rsidRPr="00AC45FB">
        <w:rPr>
          <w:bCs/>
        </w:rPr>
        <w:t xml:space="preserve">Abu projektu ekonomiskā atdeve ir cieši saistīta ar mērķa grupu – patvēruma meklētāju un </w:t>
      </w:r>
      <w:r w:rsidR="008972E4">
        <w:rPr>
          <w:bCs/>
        </w:rPr>
        <w:t>TVP</w:t>
      </w:r>
      <w:r w:rsidRPr="00AC45FB">
        <w:rPr>
          <w:bCs/>
        </w:rPr>
        <w:t xml:space="preserve"> nodarbinātības iespējām. </w:t>
      </w:r>
      <w:r w:rsidR="00F235A5">
        <w:rPr>
          <w:bCs/>
        </w:rPr>
        <w:t>IIA</w:t>
      </w:r>
      <w:r w:rsidRPr="00AC45FB">
        <w:rPr>
          <w:bCs/>
        </w:rPr>
        <w:t xml:space="preserve"> izmantoti trīs scenāriji (pesimistiskais, neitrālais un optimistiskais), balstoties uz datiem par mērķa grupu nodarbinātību.</w:t>
      </w:r>
    </w:p>
    <w:p w14:paraId="66EF1951" w14:textId="4E36E26E" w:rsidR="00A351A8" w:rsidRPr="00A351A8" w:rsidRDefault="00A351A8" w:rsidP="00A351A8">
      <w:pPr>
        <w:rPr>
          <w:bCs/>
        </w:rPr>
      </w:pPr>
      <w:r w:rsidRPr="00A351A8">
        <w:rPr>
          <w:bCs/>
        </w:rPr>
        <w:t>Latviešu valodas apmācību projektiem IIA uzrāda pozitīvu ekonomisko atdevi pat pesimistiskaj</w:t>
      </w:r>
      <w:r w:rsidR="00DF012B">
        <w:rPr>
          <w:bCs/>
        </w:rPr>
        <w:t>ā</w:t>
      </w:r>
      <w:r w:rsidRPr="00A351A8">
        <w:rPr>
          <w:bCs/>
        </w:rPr>
        <w:t xml:space="preserve"> scenārij</w:t>
      </w:r>
      <w:r w:rsidR="00DF012B">
        <w:rPr>
          <w:bCs/>
        </w:rPr>
        <w:t xml:space="preserve">ā. </w:t>
      </w:r>
      <w:r w:rsidR="005D5FCA">
        <w:rPr>
          <w:bCs/>
        </w:rPr>
        <w:t>Pamatojoties uz veikto analīzi, tiek prognozēts, ka re</w:t>
      </w:r>
      <w:r w:rsidRPr="00A351A8">
        <w:rPr>
          <w:bCs/>
        </w:rPr>
        <w:t>ālie ieguvumi atrodas starp neitrālo un optimistisko scenāriju</w:t>
      </w:r>
      <w:r w:rsidR="005D5FCA">
        <w:rPr>
          <w:bCs/>
        </w:rPr>
        <w:t xml:space="preserve"> — tātad </w:t>
      </w:r>
      <w:r w:rsidR="00DF012B">
        <w:rPr>
          <w:bCs/>
        </w:rPr>
        <w:t xml:space="preserve">radot NPV 1,5 miljona </w:t>
      </w:r>
      <w:r w:rsidR="00DF012B">
        <w:rPr>
          <w:bCs/>
          <w:i/>
          <w:iCs/>
        </w:rPr>
        <w:t>euro</w:t>
      </w:r>
      <w:r w:rsidR="00DF012B">
        <w:rPr>
          <w:bCs/>
        </w:rPr>
        <w:t xml:space="preserve"> līdz 2,1 miljonam </w:t>
      </w:r>
      <w:r w:rsidR="00DF012B">
        <w:rPr>
          <w:bCs/>
          <w:i/>
          <w:iCs/>
        </w:rPr>
        <w:t xml:space="preserve">euro </w:t>
      </w:r>
      <w:r w:rsidR="00DF012B">
        <w:rPr>
          <w:bCs/>
        </w:rPr>
        <w:t xml:space="preserve">apmērā. Šāds pieņēmums ir balstīts faktā, ka </w:t>
      </w:r>
      <w:r w:rsidRPr="00A351A8">
        <w:rPr>
          <w:bCs/>
        </w:rPr>
        <w:t xml:space="preserve">migranti, kuri iegulda laiku </w:t>
      </w:r>
      <w:r w:rsidR="00DF012B">
        <w:rPr>
          <w:bCs/>
        </w:rPr>
        <w:t xml:space="preserve">valsts </w:t>
      </w:r>
      <w:r w:rsidRPr="00A351A8">
        <w:rPr>
          <w:bCs/>
        </w:rPr>
        <w:t>valodas apguvē, parasti ir motivētāki palikt valstī ilgtermiņā salīdzinājumā ar tiem, kuri izvēlas kursus neapmeklēt.</w:t>
      </w:r>
    </w:p>
    <w:p w14:paraId="60922BEE" w14:textId="28E3D4F7" w:rsidR="00CB0923" w:rsidRDefault="00DF012B" w:rsidP="00A351A8">
      <w:pPr>
        <w:rPr>
          <w:bCs/>
        </w:rPr>
      </w:pPr>
      <w:r>
        <w:rPr>
          <w:bCs/>
        </w:rPr>
        <w:t xml:space="preserve">Vienlaikus </w:t>
      </w:r>
      <w:r w:rsidR="00A351A8" w:rsidRPr="00A351A8">
        <w:rPr>
          <w:bCs/>
        </w:rPr>
        <w:t>atbalsta pasākumiem patvēruma meklētājiem ekonomiskie ieguvumi pārsniedz izdevumus tikai tad, ja viņi Latvijā ir nodarbināti vismaz vienu gadu.</w:t>
      </w:r>
      <w:r w:rsidR="00780606">
        <w:rPr>
          <w:bCs/>
        </w:rPr>
        <w:t xml:space="preserve"> Tādējādi </w:t>
      </w:r>
      <w:r w:rsidR="00CB0923">
        <w:rPr>
          <w:bCs/>
        </w:rPr>
        <w:t xml:space="preserve">projekta rezultāti ir atkarīgi no kopējās valsts politikas attiecībā pret patvēruma meklētājiem, kā arī tiem pieejamajām nodarbinātības iespējām. </w:t>
      </w:r>
    </w:p>
    <w:p w14:paraId="7DAB1F60" w14:textId="49621A1D" w:rsidR="00A351A8" w:rsidRDefault="00A351A8" w:rsidP="00A351A8">
      <w:pPr>
        <w:rPr>
          <w:bCs/>
          <w:i/>
          <w:iCs/>
        </w:rPr>
      </w:pPr>
      <w:r w:rsidRPr="00A351A8">
        <w:rPr>
          <w:bCs/>
        </w:rPr>
        <w:t>Pesimistiskajā scenārijā, ja nodarbinātības periods nepārsniedz sešus mēnešus, ieguvumi nesedz projekta izmaksas. Tomēr, ņemot vērā PMLP datus par patvēruma meklētāju vidējo uzturēšanās ilgumu Latvijā (1-2 gadi), faktiskā atdeve visticamāk būs tuva neitrālajam vai optimistiskajam scenārijam</w:t>
      </w:r>
      <w:r w:rsidR="008B34A4">
        <w:rPr>
          <w:bCs/>
        </w:rPr>
        <w:t xml:space="preserve"> un pārsniegs projekta ietvaros veiktās izmaksas</w:t>
      </w:r>
      <w:r w:rsidR="00A81A0D">
        <w:rPr>
          <w:bCs/>
        </w:rPr>
        <w:t xml:space="preserve">, NPV svārstoties no 0,14 miljoniem </w:t>
      </w:r>
      <w:r w:rsidR="00A81A0D">
        <w:rPr>
          <w:bCs/>
          <w:i/>
          <w:iCs/>
        </w:rPr>
        <w:t xml:space="preserve">euro </w:t>
      </w:r>
      <w:r w:rsidR="00A81A0D">
        <w:rPr>
          <w:bCs/>
        </w:rPr>
        <w:t xml:space="preserve">līdz 1,9 miljoniem </w:t>
      </w:r>
      <w:r w:rsidR="00A81A0D">
        <w:rPr>
          <w:bCs/>
          <w:i/>
          <w:iCs/>
        </w:rPr>
        <w:t>euro.</w:t>
      </w:r>
    </w:p>
    <w:p w14:paraId="26D1740F" w14:textId="7711D123" w:rsidR="00C0414E" w:rsidRPr="008F64A0" w:rsidRDefault="00CB0923" w:rsidP="00143135">
      <w:pPr>
        <w:rPr>
          <w:b/>
        </w:rPr>
      </w:pPr>
      <w:r>
        <w:rPr>
          <w:bCs/>
        </w:rPr>
        <w:t>Tādējādi secināms, ka k</w:t>
      </w:r>
      <w:r w:rsidR="00A351A8" w:rsidRPr="00A351A8">
        <w:rPr>
          <w:bCs/>
        </w:rPr>
        <w:t xml:space="preserve">opumā integrācijas pasākumi </w:t>
      </w:r>
      <w:r w:rsidR="008972E4">
        <w:rPr>
          <w:bCs/>
        </w:rPr>
        <w:t>TVP</w:t>
      </w:r>
      <w:r>
        <w:rPr>
          <w:bCs/>
        </w:rPr>
        <w:t xml:space="preserve"> un atbalsta pasākumi patvēruma meklētājiem </w:t>
      </w:r>
      <w:r w:rsidR="00A351A8" w:rsidRPr="00A351A8">
        <w:rPr>
          <w:bCs/>
        </w:rPr>
        <w:t xml:space="preserve">sniedz lielākus ekonomiskos ieguvumus nekā projektu ieguldījumi. </w:t>
      </w:r>
      <w:r>
        <w:rPr>
          <w:bCs/>
        </w:rPr>
        <w:t xml:space="preserve">Abu projektu gadījumos ekonomiskā atdeve ir </w:t>
      </w:r>
      <w:r w:rsidR="00B20B9A">
        <w:rPr>
          <w:bCs/>
        </w:rPr>
        <w:t>cieši saistīt</w:t>
      </w:r>
      <w:r w:rsidR="001D42C1">
        <w:rPr>
          <w:bCs/>
        </w:rPr>
        <w:t>a</w:t>
      </w:r>
      <w:r w:rsidR="00B20B9A">
        <w:rPr>
          <w:bCs/>
        </w:rPr>
        <w:t xml:space="preserve"> ar nodarbinātības iespējām. Tādējādi</w:t>
      </w:r>
      <w:r w:rsidR="001D42C1">
        <w:rPr>
          <w:bCs/>
        </w:rPr>
        <w:t xml:space="preserve"> šāda veida atbalsta pasākumu ekonomiskie ieguvumi ir </w:t>
      </w:r>
      <w:r w:rsidR="00613FA4">
        <w:rPr>
          <w:bCs/>
        </w:rPr>
        <w:t xml:space="preserve">atkarīgi no kopējās nodarbinātības politikas un darba iespējām valstī </w:t>
      </w:r>
      <w:r w:rsidR="008972E4">
        <w:rPr>
          <w:bCs/>
        </w:rPr>
        <w:t>TVP</w:t>
      </w:r>
      <w:r w:rsidR="007165CF">
        <w:rPr>
          <w:bCs/>
        </w:rPr>
        <w:t xml:space="preserve"> un patvēruma meklētājiem.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7EB6A76F" w14:textId="77777777" w:rsidTr="00107F75">
        <w:tc>
          <w:tcPr>
            <w:tcW w:w="10252" w:type="dxa"/>
            <w:tcBorders>
              <w:bottom w:val="single" w:sz="4" w:space="0" w:color="auto"/>
            </w:tcBorders>
            <w:shd w:val="clear" w:color="auto" w:fill="F3B8FF" w:themeFill="accent6" w:themeFillTint="33"/>
          </w:tcPr>
          <w:p w14:paraId="62C37043" w14:textId="77777777" w:rsidR="00143135" w:rsidRPr="008F64A0" w:rsidRDefault="00143135" w:rsidP="00A239D8">
            <w:pPr>
              <w:rPr>
                <w:i/>
                <w:iCs/>
                <w:color w:val="5A5A5A" w:themeColor="accent1" w:themeTint="BF"/>
              </w:rPr>
            </w:pPr>
            <w:r w:rsidRPr="008F64A0">
              <w:rPr>
                <w:i/>
                <w:iCs/>
                <w:color w:val="5A5A5A" w:themeColor="accent1" w:themeTint="BF"/>
              </w:rPr>
              <w:t>Apakšjautājums: Kādi pasākumi tika veikti, lai novērstu, atklātu un pārraudzītu krāpšanas gadījumus un citus pārkāpumus, un ziņotu par tiem, un kā šie pasākumi darbojās?</w:t>
            </w:r>
          </w:p>
        </w:tc>
      </w:tr>
    </w:tbl>
    <w:p w14:paraId="5269BC7A" w14:textId="19C545CF" w:rsidR="00B33342" w:rsidRPr="00B33342" w:rsidRDefault="00B33342" w:rsidP="00B33342">
      <w:r w:rsidRPr="00B33342">
        <w:t>Saskaņā ar Ministru kabineta 2015. gada 28. jūlija noteikumiem Nr. 433</w:t>
      </w:r>
      <w:r w:rsidRPr="00B33342">
        <w:rPr>
          <w:rStyle w:val="Vresatsauce"/>
        </w:rPr>
        <w:footnoteReference w:id="18"/>
      </w:r>
      <w:r w:rsidRPr="00B33342">
        <w:t xml:space="preserve">, kas reglamentē </w:t>
      </w:r>
      <w:r w:rsidR="00E21F41">
        <w:t>IDF</w:t>
      </w:r>
      <w:r w:rsidRPr="00B33342">
        <w:t xml:space="preserve"> un </w:t>
      </w:r>
      <w:r w:rsidR="00E21F41">
        <w:t>PMIF</w:t>
      </w:r>
      <w:r w:rsidRPr="00B33342">
        <w:t xml:space="preserve"> 2014.–2020. gada plānošanas perioda pārvaldības sistēmu, tiek noteikta projektu īstenošanas uzraudzības un kontroles kārtība, kā arī neatbilstošo izdevumu identificēšanas un ziņošanas procedūras </w:t>
      </w:r>
      <w:r w:rsidR="00777E7E">
        <w:t>EK</w:t>
      </w:r>
      <w:r w:rsidRPr="00B33342">
        <w:t>.</w:t>
      </w:r>
    </w:p>
    <w:p w14:paraId="3D707042" w14:textId="10182A42" w:rsidR="00B33342" w:rsidRPr="00B33342" w:rsidRDefault="00B33342" w:rsidP="00B33342">
      <w:r w:rsidRPr="00B33342">
        <w:t xml:space="preserve">Projektu administratīvā uzraudzība tiek īstenota vairākos līmeņos, kur atbildīgā un deleģētā iestāde veic finansējuma saņēmēju iesniegto </w:t>
      </w:r>
      <w:r w:rsidR="00825A57" w:rsidRPr="005B6C94">
        <w:rPr>
          <w:bCs/>
        </w:rPr>
        <w:t>iepirkuma plānu, iepirkuma dokumentācijas un iepirkuma norises pirmspārbaud</w:t>
      </w:r>
      <w:r w:rsidR="00825A57">
        <w:rPr>
          <w:bCs/>
        </w:rPr>
        <w:t>i</w:t>
      </w:r>
      <w:r w:rsidR="00825A57" w:rsidRPr="005B6C94">
        <w:rPr>
          <w:bCs/>
        </w:rPr>
        <w:t>, finansējuma pieprasījumu, izdevumu pārskatu un izdevumu attaisnojuma dokumentu pārbaud</w:t>
      </w:r>
      <w:r w:rsidR="00825A57">
        <w:rPr>
          <w:bCs/>
        </w:rPr>
        <w:t>i</w:t>
      </w:r>
      <w:r w:rsidR="00825A57" w:rsidRPr="005B6C94">
        <w:rPr>
          <w:bCs/>
        </w:rPr>
        <w:t xml:space="preserve"> un projekt</w:t>
      </w:r>
      <w:r w:rsidR="00CB411B">
        <w:rPr>
          <w:bCs/>
        </w:rPr>
        <w:t>u</w:t>
      </w:r>
      <w:r w:rsidR="00825A57" w:rsidRPr="005B6C94">
        <w:rPr>
          <w:bCs/>
        </w:rPr>
        <w:t xml:space="preserve"> īstenošanas progresa pārbaud</w:t>
      </w:r>
      <w:r w:rsidR="00825A57">
        <w:rPr>
          <w:bCs/>
        </w:rPr>
        <w:t xml:space="preserve">i. </w:t>
      </w:r>
      <w:r w:rsidRPr="00B33342">
        <w:t xml:space="preserve">Papildu tam tiek nodrošinātas pārbaudes projektu īstenošanas vietās, kā arī revīzijas iestāde </w:t>
      </w:r>
      <w:r w:rsidR="00B96B68" w:rsidRPr="00B33342">
        <w:t>izlases veid</w:t>
      </w:r>
      <w:r w:rsidR="00B96B68">
        <w:t>ā</w:t>
      </w:r>
      <w:r w:rsidR="00B96B68" w:rsidRPr="00B33342">
        <w:t xml:space="preserve"> </w:t>
      </w:r>
      <w:r w:rsidRPr="00B33342">
        <w:t>veic projektu izdevumu auditus.</w:t>
      </w:r>
    </w:p>
    <w:p w14:paraId="23EF2913" w14:textId="3890D6CF" w:rsidR="00626020" w:rsidRDefault="00626020" w:rsidP="00B33342">
      <w:r w:rsidRPr="00B33342">
        <w:lastRenderedPageBreak/>
        <w:t xml:space="preserve">Ieviestā kontroles sistēma </w:t>
      </w:r>
      <w:r>
        <w:rPr>
          <w:bCs/>
        </w:rPr>
        <w:t>ir sekmējusi pārkāpumu identificēšanu un novēršanu</w:t>
      </w:r>
      <w:r w:rsidR="00F25637">
        <w:rPr>
          <w:bCs/>
        </w:rPr>
        <w:t>. Šī perioda ietvaros,</w:t>
      </w:r>
      <w:r>
        <w:rPr>
          <w:bCs/>
        </w:rPr>
        <w:t xml:space="preserve"> piemēram, </w:t>
      </w:r>
      <w:r w:rsidR="00F25637">
        <w:rPr>
          <w:bCs/>
        </w:rPr>
        <w:t xml:space="preserve">ir uzsākta </w:t>
      </w:r>
      <w:r>
        <w:rPr>
          <w:bCs/>
        </w:rPr>
        <w:t>iepirkumu pirmspārbau</w:t>
      </w:r>
      <w:r w:rsidR="00F25637">
        <w:rPr>
          <w:bCs/>
        </w:rPr>
        <w:t>žu īstenošana</w:t>
      </w:r>
      <w:r>
        <w:rPr>
          <w:bCs/>
        </w:rPr>
        <w:t>,</w:t>
      </w:r>
      <w:r w:rsidR="008A0879">
        <w:rPr>
          <w:bCs/>
        </w:rPr>
        <w:t xml:space="preserve"> </w:t>
      </w:r>
      <w:r w:rsidR="00F25637">
        <w:rPr>
          <w:bCs/>
        </w:rPr>
        <w:t>kas</w:t>
      </w:r>
      <w:r>
        <w:rPr>
          <w:bCs/>
        </w:rPr>
        <w:t xml:space="preserve"> ir nodrošināj</w:t>
      </w:r>
      <w:r w:rsidR="006A613F">
        <w:rPr>
          <w:bCs/>
        </w:rPr>
        <w:t>usi</w:t>
      </w:r>
      <w:r w:rsidR="00863B3F">
        <w:rPr>
          <w:bCs/>
        </w:rPr>
        <w:t xml:space="preserve"> savlaicīgu</w:t>
      </w:r>
      <w:r w:rsidR="00024BFA">
        <w:rPr>
          <w:bCs/>
        </w:rPr>
        <w:t xml:space="preserve"> </w:t>
      </w:r>
      <w:r w:rsidR="00F47620">
        <w:rPr>
          <w:bCs/>
        </w:rPr>
        <w:t xml:space="preserve">neatbilstību </w:t>
      </w:r>
      <w:r w:rsidR="00024BFA">
        <w:rPr>
          <w:bCs/>
        </w:rPr>
        <w:t>gadījumu ident</w:t>
      </w:r>
      <w:r w:rsidR="009A3EB4">
        <w:rPr>
          <w:bCs/>
        </w:rPr>
        <w:t>ificēšanu</w:t>
      </w:r>
      <w:r w:rsidR="00F47620">
        <w:rPr>
          <w:bCs/>
        </w:rPr>
        <w:t xml:space="preserve"> </w:t>
      </w:r>
      <w:r>
        <w:rPr>
          <w:bCs/>
        </w:rPr>
        <w:t>Publisko iepirkumu likuma</w:t>
      </w:r>
      <w:r w:rsidR="002B0B95">
        <w:rPr>
          <w:bCs/>
        </w:rPr>
        <w:t xml:space="preserve"> prasībām</w:t>
      </w:r>
      <w:r w:rsidR="009A3EB4">
        <w:rPr>
          <w:bCs/>
        </w:rPr>
        <w:t xml:space="preserve">. </w:t>
      </w:r>
      <w:r w:rsidR="002B0B95">
        <w:rPr>
          <w:bCs/>
        </w:rPr>
        <w:t xml:space="preserve">Šī pieeja ir ļāvusi </w:t>
      </w:r>
      <w:r>
        <w:rPr>
          <w:bCs/>
        </w:rPr>
        <w:t>finansējuma saņēmēji</w:t>
      </w:r>
      <w:r w:rsidR="002B0B95">
        <w:rPr>
          <w:bCs/>
        </w:rPr>
        <w:t>em</w:t>
      </w:r>
      <w:r>
        <w:rPr>
          <w:bCs/>
        </w:rPr>
        <w:t xml:space="preserve"> veik</w:t>
      </w:r>
      <w:r w:rsidR="003E63EC">
        <w:rPr>
          <w:bCs/>
        </w:rPr>
        <w:t>t</w:t>
      </w:r>
      <w:r>
        <w:rPr>
          <w:bCs/>
        </w:rPr>
        <w:t xml:space="preserve"> </w:t>
      </w:r>
      <w:r w:rsidR="003E63EC">
        <w:rPr>
          <w:bCs/>
        </w:rPr>
        <w:t xml:space="preserve">nepieciešamās </w:t>
      </w:r>
      <w:r>
        <w:rPr>
          <w:bCs/>
        </w:rPr>
        <w:t xml:space="preserve">izmaiņas iepirkuma dokumentācijā, lai nodrošinātu </w:t>
      </w:r>
      <w:r w:rsidR="00EE089E">
        <w:rPr>
          <w:bCs/>
        </w:rPr>
        <w:t>iepirkumu</w:t>
      </w:r>
      <w:r>
        <w:rPr>
          <w:bCs/>
        </w:rPr>
        <w:t xml:space="preserve"> prasību izpildi</w:t>
      </w:r>
      <w:r w:rsidR="00863B3F">
        <w:rPr>
          <w:bCs/>
        </w:rPr>
        <w:t xml:space="preserve"> un izvairītos no finanšu korekcijām </w:t>
      </w:r>
      <w:r w:rsidR="00271E3A">
        <w:rPr>
          <w:bCs/>
        </w:rPr>
        <w:t xml:space="preserve">vēlākā projekta īstenošanas stadijā. </w:t>
      </w:r>
    </w:p>
    <w:p w14:paraId="21B9E502" w14:textId="318E67B1" w:rsidR="00B33342" w:rsidRPr="00B33342" w:rsidRDefault="00EE089E" w:rsidP="00B33342">
      <w:r>
        <w:rPr>
          <w:bCs/>
        </w:rPr>
        <w:t>Vienlaikus arī revīzijas iestāde izlases kārtīb</w:t>
      </w:r>
      <w:r w:rsidR="00D71F70">
        <w:rPr>
          <w:bCs/>
        </w:rPr>
        <w:t>ā</w:t>
      </w:r>
      <w:r>
        <w:rPr>
          <w:bCs/>
        </w:rPr>
        <w:t xml:space="preserve"> </w:t>
      </w:r>
      <w:r w:rsidR="00D71F70">
        <w:rPr>
          <w:bCs/>
        </w:rPr>
        <w:t xml:space="preserve">auditu ietvaros </w:t>
      </w:r>
      <w:r w:rsidR="00491498">
        <w:rPr>
          <w:bCs/>
        </w:rPr>
        <w:t>veica</w:t>
      </w:r>
      <w:r>
        <w:rPr>
          <w:bCs/>
        </w:rPr>
        <w:t xml:space="preserve"> projektu izdevumu pārbaudi, kas nodrošināju</w:t>
      </w:r>
      <w:r w:rsidR="00D71F70">
        <w:rPr>
          <w:bCs/>
        </w:rPr>
        <w:t>s</w:t>
      </w:r>
      <w:r>
        <w:rPr>
          <w:bCs/>
        </w:rPr>
        <w:t>i potenciālu pārkāpumu identificēšanu. Piemēram,</w:t>
      </w:r>
      <w:r w:rsidR="00B33342" w:rsidRPr="00B33342">
        <w:t xml:space="preserve"> 2019.</w:t>
      </w:r>
      <w:r w:rsidR="000F41CB">
        <w:t> </w:t>
      </w:r>
      <w:r w:rsidR="00B33342" w:rsidRPr="00B33342">
        <w:t>gada projektā Nr.</w:t>
      </w:r>
      <w:r w:rsidR="000F41CB">
        <w:t> </w:t>
      </w:r>
      <w:r w:rsidR="00B33342" w:rsidRPr="00B33342">
        <w:t>PMLP/PMIF/2016/1 "Atbalsta pasākumi personu, kurām nepieciešama starptautiskā aizsardzība, uzņemšanai un izmitināšanai Latvijā"</w:t>
      </w:r>
      <w:r w:rsidR="00491498">
        <w:t xml:space="preserve"> tika</w:t>
      </w:r>
      <w:r w:rsidR="00B33342" w:rsidRPr="00B33342">
        <w:t xml:space="preserve"> identificē</w:t>
      </w:r>
      <w:r w:rsidR="00BE1A70">
        <w:t>ti</w:t>
      </w:r>
      <w:r w:rsidR="00B33342" w:rsidRPr="00B33342">
        <w:t xml:space="preserve"> potenciāli saskaņot</w:t>
      </w:r>
      <w:r w:rsidR="00BE1A70">
        <w:t>i</w:t>
      </w:r>
      <w:r w:rsidR="00B33342" w:rsidRPr="00B33342">
        <w:t xml:space="preserve"> piedāvājum</w:t>
      </w:r>
      <w:r w:rsidR="00BE1A70">
        <w:t>i</w:t>
      </w:r>
      <w:r w:rsidR="00B33342" w:rsidRPr="00B33342">
        <w:t xml:space="preserve"> iepirkuma procedūrā,</w:t>
      </w:r>
      <w:r w:rsidR="00BE1A70">
        <w:t xml:space="preserve"> kas</w:t>
      </w:r>
      <w:r w:rsidR="00CC2236">
        <w:t xml:space="preserve"> t</w:t>
      </w:r>
      <w:r w:rsidR="00B33342" w:rsidRPr="00B33342">
        <w:t>ika nodot</w:t>
      </w:r>
      <w:r w:rsidR="00CC2236">
        <w:t>i</w:t>
      </w:r>
      <w:r w:rsidR="00B33342" w:rsidRPr="00B33342">
        <w:t xml:space="preserve"> Konkurences padomes izvērtēšanai.</w:t>
      </w:r>
      <w:r w:rsidR="007C628B">
        <w:rPr>
          <w:rStyle w:val="Vresatsauce"/>
        </w:rPr>
        <w:footnoteReference w:id="19"/>
      </w:r>
    </w:p>
    <w:p w14:paraId="0405950D" w14:textId="38C8F9C1" w:rsidR="007D03FC" w:rsidRDefault="00E8048D" w:rsidP="00143135">
      <w:r>
        <w:t>R</w:t>
      </w:r>
      <w:r w:rsidR="007C628B">
        <w:t>evīzijas ziņojumi ietvēra arī rekomendācijas uzlabojumiem projektu uzraudzības sistēmā un p</w:t>
      </w:r>
      <w:r w:rsidR="00B33342" w:rsidRPr="00B33342">
        <w:t>reventīv</w:t>
      </w:r>
      <w:r w:rsidR="007C628B">
        <w:t xml:space="preserve">iem pasākumiem. Piemēram, </w:t>
      </w:r>
      <w:r w:rsidR="00B33342" w:rsidRPr="00B33342">
        <w:t>2021. gada revīzijas rekomendācij</w:t>
      </w:r>
      <w:r w:rsidR="007C628B">
        <w:t>ā</w:t>
      </w:r>
      <w:r w:rsidR="00B33342" w:rsidRPr="00B33342">
        <w:t>s attiecībā uz projektu Nr. PMIF/8/2020/4/01 "Latvijas vēstures un laikmetīgās kultūras kodi", uzsvērta nepieciešamība stiprināt dubultā finansējuma risk</w:t>
      </w:r>
      <w:r w:rsidR="004B3456">
        <w:t>a uzraudzību</w:t>
      </w:r>
      <w:r w:rsidR="00B33342" w:rsidRPr="00B33342">
        <w:t>.</w:t>
      </w:r>
      <w:r w:rsidR="007C628B">
        <w:rPr>
          <w:rStyle w:val="Vresatsauce"/>
        </w:rPr>
        <w:footnoteReference w:id="20"/>
      </w:r>
      <w:r w:rsidR="00B33342" w:rsidRPr="00B33342">
        <w:t xml:space="preserve"> </w:t>
      </w:r>
    </w:p>
    <w:p w14:paraId="722781A6" w14:textId="70A5B9E8" w:rsidR="00921BAF" w:rsidRDefault="00921BAF" w:rsidP="00143135">
      <w:r w:rsidRPr="00FE3A95">
        <w:rPr>
          <w:bCs/>
        </w:rPr>
        <w:t>Revīzijas iestāde</w:t>
      </w:r>
      <w:r>
        <w:rPr>
          <w:bCs/>
        </w:rPr>
        <w:t>s pārstāvji norāda</w:t>
      </w:r>
      <w:r w:rsidRPr="00FE3A95">
        <w:rPr>
          <w:bCs/>
        </w:rPr>
        <w:t xml:space="preserve">, ka projektu administratīvā uzraudzība kopumā ir bijusi efektīva. Neatbilstības tika savlaicīgi identificētas gan projektu pirmspārbaužu posmā, gan projektu pārskatu izvērtēšanas laikā. Lai gan revīzijas iestāde konstatēja atsevišķus trūkumus, piemēram, iepirkumu līgumu izpildes uzraudzībā, šie pārkāpumi nebija būtiski. Līdz ar to sniegtie ieteikumi </w:t>
      </w:r>
      <w:r>
        <w:rPr>
          <w:bCs/>
        </w:rPr>
        <w:t xml:space="preserve">lielākoties </w:t>
      </w:r>
      <w:r w:rsidRPr="00FE3A95">
        <w:rPr>
          <w:bCs/>
        </w:rPr>
        <w:t>bija rekomendējoša rakstura.</w:t>
      </w:r>
    </w:p>
    <w:p w14:paraId="052D83EB" w14:textId="1937667E" w:rsidR="00BF629F" w:rsidRPr="00921BAF" w:rsidRDefault="00E8048D" w:rsidP="00143135">
      <w:r>
        <w:rPr>
          <w:bCs/>
        </w:rPr>
        <w:t xml:space="preserve">Tāpat Programmu uzraudzības līmenī tika nodrošināti informācijas apmaiņas mehānismi, kas ļāva savlaicīgi identificēt potenciālās problēmas un savlaicīgi rast tām risinājumus. </w:t>
      </w:r>
      <w:r w:rsidR="000A2234">
        <w:t xml:space="preserve">Būtiska nozīme ir izveidotajiem daudzpusējiem komunikācijas kanāliem </w:t>
      </w:r>
      <w:r w:rsidR="00A80AB7">
        <w:rPr>
          <w:rFonts w:cstheme="minorHAnsi"/>
        </w:rPr>
        <w:t>–</w:t>
      </w:r>
      <w:r w:rsidR="000A2234">
        <w:t xml:space="preserve"> no augsta līmeņa stratēģiskajām konsultācijām valsts sekretāra vietnieka vadībā līdz regulārām Projektu uzraudzības padomes sanāksmēm.</w:t>
      </w:r>
      <w:r w:rsidR="0095725E">
        <w:t xml:space="preserve"> Šāda pieeja nodrošina tiešu dialogu starp atbildīgās iestādes pārstāvjiem un finansējuma saņēmējiem no dažādām institūcijām, ļaujot operatīvi apzināt projektu īstenošanas izaicinājumus un kolektīvi izstrādāt efektīvus risinājumus</w:t>
      </w:r>
      <w:r w:rsidR="008E1DBB">
        <w:t>.</w:t>
      </w:r>
    </w:p>
    <w:p w14:paraId="479728F7" w14:textId="77777777" w:rsidR="00143135" w:rsidRPr="008F64A0" w:rsidRDefault="00143135" w:rsidP="00BF4167">
      <w:pPr>
        <w:pStyle w:val="Sarakstarindkopa"/>
        <w:numPr>
          <w:ilvl w:val="2"/>
          <w:numId w:val="42"/>
        </w:numPr>
        <w:rPr>
          <w:b/>
        </w:rPr>
      </w:pPr>
      <w:r w:rsidRPr="008F64A0">
        <w:rPr>
          <w:b/>
        </w:rPr>
        <w:t>Kritērijs “Atbilstība”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0B8069FB" w14:textId="77777777" w:rsidTr="00D40533">
        <w:tc>
          <w:tcPr>
            <w:tcW w:w="10252" w:type="dxa"/>
            <w:shd w:val="clear" w:color="auto" w:fill="82009B" w:themeFill="accent6"/>
          </w:tcPr>
          <w:p w14:paraId="0D0B747C" w14:textId="77777777" w:rsidR="00143135" w:rsidRPr="008F64A0" w:rsidRDefault="00143135" w:rsidP="00A239D8">
            <w:pPr>
              <w:rPr>
                <w:b/>
              </w:rPr>
            </w:pPr>
            <w:r w:rsidRPr="008F64A0">
              <w:rPr>
                <w:b/>
              </w:rPr>
              <w:t xml:space="preserve">Izvērtēšanas kritērija jautājums: </w:t>
            </w:r>
            <w:r w:rsidRPr="008F64A0">
              <w:rPr>
                <w:bCs/>
              </w:rPr>
              <w:t>Vai fonda finansēto pasākumu mērķi atbilda aktuālajām vajadzībām?</w:t>
            </w:r>
          </w:p>
        </w:tc>
      </w:tr>
    </w:tbl>
    <w:p w14:paraId="5AC1FFC5" w14:textId="64E6BE19" w:rsidR="00203693" w:rsidRDefault="0008356D" w:rsidP="0054199D">
      <w:pPr>
        <w:rPr>
          <w:rFonts w:cstheme="minorHAnsi"/>
        </w:rPr>
      </w:pPr>
      <w:r>
        <w:t xml:space="preserve">Veiktās izvērtēšanas rezultāti apliecina fonda finansēto pasākumu atbilstību nozares aktuālajām prioritātēm. </w:t>
      </w:r>
      <w:r w:rsidR="00FA2FF4">
        <w:rPr>
          <w:rFonts w:cstheme="minorHAnsi"/>
        </w:rPr>
        <w:t>F</w:t>
      </w:r>
      <w:r w:rsidR="00AC0A11">
        <w:rPr>
          <w:rFonts w:cstheme="minorHAnsi"/>
        </w:rPr>
        <w:t>inansējuma saņēmēj</w:t>
      </w:r>
      <w:r w:rsidR="000F0CE8">
        <w:rPr>
          <w:rFonts w:cstheme="minorHAnsi"/>
        </w:rPr>
        <w:t>i</w:t>
      </w:r>
      <w:r w:rsidR="00AC0A11">
        <w:rPr>
          <w:rFonts w:cstheme="minorHAnsi"/>
        </w:rPr>
        <w:t xml:space="preserve"> </w:t>
      </w:r>
      <w:r w:rsidR="00567BE2">
        <w:rPr>
          <w:rFonts w:cstheme="minorHAnsi"/>
        </w:rPr>
        <w:t xml:space="preserve">un UK pārstāvji </w:t>
      </w:r>
      <w:r w:rsidR="000F0CE8">
        <w:rPr>
          <w:rFonts w:cstheme="minorHAnsi"/>
        </w:rPr>
        <w:t>uzsver</w:t>
      </w:r>
      <w:r w:rsidR="00AC0A11">
        <w:rPr>
          <w:rFonts w:cstheme="minorHAnsi"/>
        </w:rPr>
        <w:t xml:space="preserve"> </w:t>
      </w:r>
      <w:r w:rsidR="00D85C2C">
        <w:rPr>
          <w:rFonts w:cstheme="minorHAnsi"/>
        </w:rPr>
        <w:t xml:space="preserve">fonda </w:t>
      </w:r>
      <w:r w:rsidR="00D22132">
        <w:rPr>
          <w:rFonts w:cstheme="minorHAnsi"/>
        </w:rPr>
        <w:t>būtisko</w:t>
      </w:r>
      <w:r w:rsidR="000F0CE8">
        <w:rPr>
          <w:rFonts w:cstheme="minorHAnsi"/>
        </w:rPr>
        <w:t xml:space="preserve"> lomu tādu </w:t>
      </w:r>
      <w:r w:rsidR="00C50F83">
        <w:rPr>
          <w:rFonts w:cstheme="minorHAnsi"/>
        </w:rPr>
        <w:t>nozīmīg</w:t>
      </w:r>
      <w:r w:rsidR="00F52C77">
        <w:rPr>
          <w:rFonts w:cstheme="minorHAnsi"/>
        </w:rPr>
        <w:t>u</w:t>
      </w:r>
      <w:r w:rsidR="00C50F83">
        <w:rPr>
          <w:rFonts w:cstheme="minorHAnsi"/>
        </w:rPr>
        <w:t xml:space="preserve"> un nepieciešam</w:t>
      </w:r>
      <w:r w:rsidR="00F52C77">
        <w:rPr>
          <w:rFonts w:cstheme="minorHAnsi"/>
        </w:rPr>
        <w:t>u</w:t>
      </w:r>
      <w:r w:rsidR="00C50F83">
        <w:rPr>
          <w:rFonts w:cstheme="minorHAnsi"/>
        </w:rPr>
        <w:t xml:space="preserve"> aktivitā</w:t>
      </w:r>
      <w:r w:rsidR="00D22132">
        <w:rPr>
          <w:rFonts w:cstheme="minorHAnsi"/>
        </w:rPr>
        <w:t>šu īstenošanā</w:t>
      </w:r>
      <w:r w:rsidR="00C50F83">
        <w:rPr>
          <w:rFonts w:cstheme="minorHAnsi"/>
        </w:rPr>
        <w:t>, kurām</w:t>
      </w:r>
      <w:r w:rsidR="00D22132">
        <w:rPr>
          <w:rFonts w:cstheme="minorHAnsi"/>
        </w:rPr>
        <w:t xml:space="preserve"> alternatīvo </w:t>
      </w:r>
      <w:r w:rsidR="00C50F83">
        <w:rPr>
          <w:rFonts w:cstheme="minorHAnsi"/>
        </w:rPr>
        <w:t xml:space="preserve"> finansējum</w:t>
      </w:r>
      <w:r w:rsidR="0017057F">
        <w:rPr>
          <w:rFonts w:cstheme="minorHAnsi"/>
        </w:rPr>
        <w:t xml:space="preserve">a avotu </w:t>
      </w:r>
      <w:r w:rsidR="00A80AB7">
        <w:rPr>
          <w:rFonts w:cstheme="minorHAnsi"/>
        </w:rPr>
        <w:t>–</w:t>
      </w:r>
      <w:r w:rsidR="0017057F">
        <w:rPr>
          <w:rFonts w:cstheme="minorHAnsi"/>
        </w:rPr>
        <w:t xml:space="preserve"> gan</w:t>
      </w:r>
      <w:r w:rsidR="00C50F83">
        <w:rPr>
          <w:rFonts w:cstheme="minorHAnsi"/>
        </w:rPr>
        <w:t xml:space="preserve"> valsts budžeta</w:t>
      </w:r>
      <w:r w:rsidR="0017057F">
        <w:rPr>
          <w:rFonts w:cstheme="minorHAnsi"/>
        </w:rPr>
        <w:t>, gan</w:t>
      </w:r>
      <w:r w:rsidR="00C50F83">
        <w:rPr>
          <w:rFonts w:cstheme="minorHAnsi"/>
        </w:rPr>
        <w:t xml:space="preserve"> cit</w:t>
      </w:r>
      <w:r w:rsidR="0017057F">
        <w:rPr>
          <w:rFonts w:cstheme="minorHAnsi"/>
        </w:rPr>
        <w:t>u</w:t>
      </w:r>
      <w:r w:rsidR="00C50F83">
        <w:rPr>
          <w:rFonts w:cstheme="minorHAnsi"/>
        </w:rPr>
        <w:t xml:space="preserve"> ārēj</w:t>
      </w:r>
      <w:r w:rsidR="0017057F">
        <w:rPr>
          <w:rFonts w:cstheme="minorHAnsi"/>
        </w:rPr>
        <w:t>o</w:t>
      </w:r>
      <w:r w:rsidR="00C50F83">
        <w:rPr>
          <w:rFonts w:cstheme="minorHAnsi"/>
        </w:rPr>
        <w:t xml:space="preserve"> finanšu </w:t>
      </w:r>
      <w:r w:rsidR="004B105A">
        <w:rPr>
          <w:rFonts w:cstheme="minorHAnsi"/>
        </w:rPr>
        <w:t xml:space="preserve">instrumentu </w:t>
      </w:r>
      <w:r w:rsidR="00A80AB7">
        <w:rPr>
          <w:rFonts w:cstheme="minorHAnsi"/>
        </w:rPr>
        <w:t>–</w:t>
      </w:r>
      <w:r w:rsidR="004B105A">
        <w:rPr>
          <w:rFonts w:cstheme="minorHAnsi"/>
        </w:rPr>
        <w:t xml:space="preserve"> pieejamība</w:t>
      </w:r>
      <w:r w:rsidR="00C50F83">
        <w:rPr>
          <w:rFonts w:cstheme="minorHAnsi"/>
        </w:rPr>
        <w:t xml:space="preserve"> ir ierobežot</w:t>
      </w:r>
      <w:r w:rsidR="004B105A">
        <w:rPr>
          <w:rFonts w:cstheme="minorHAnsi"/>
        </w:rPr>
        <w:t>a</w:t>
      </w:r>
      <w:r w:rsidR="00C50F83">
        <w:rPr>
          <w:rFonts w:cstheme="minorHAnsi"/>
        </w:rPr>
        <w:t>. Š</w:t>
      </w:r>
      <w:r w:rsidR="004B105A">
        <w:rPr>
          <w:rFonts w:cstheme="minorHAnsi"/>
        </w:rPr>
        <w:t>ī</w:t>
      </w:r>
      <w:r w:rsidR="00C50F83">
        <w:rPr>
          <w:rFonts w:cstheme="minorHAnsi"/>
        </w:rPr>
        <w:t xml:space="preserve">s aktivitātes </w:t>
      </w:r>
      <w:r w:rsidR="004B105A">
        <w:rPr>
          <w:rFonts w:cstheme="minorHAnsi"/>
        </w:rPr>
        <w:t>aptvēra tādas būtiskas jomas kā</w:t>
      </w:r>
      <w:r w:rsidR="00C50F83">
        <w:rPr>
          <w:rFonts w:cstheme="minorHAnsi"/>
        </w:rPr>
        <w:t xml:space="preserve"> integrācijas pasākumu īstenošanu, atbalstu brīvprātīgajai atgriešanai, kā arī </w:t>
      </w:r>
      <w:r w:rsidR="006A71FF">
        <w:rPr>
          <w:rFonts w:cstheme="minorHAnsi"/>
        </w:rPr>
        <w:t xml:space="preserve">ieguldījumu patvēruma sistēmas </w:t>
      </w:r>
      <w:r w:rsidR="006D70B8">
        <w:rPr>
          <w:rFonts w:cstheme="minorHAnsi"/>
        </w:rPr>
        <w:t>attīstībā</w:t>
      </w:r>
      <w:r w:rsidR="00136C57">
        <w:rPr>
          <w:rFonts w:cstheme="minorHAnsi"/>
        </w:rPr>
        <w:t xml:space="preserve">. Tas ļāva ne tikai efektīvi reaģēt uz ārējiem izaicinājumiem, piemēram, </w:t>
      </w:r>
      <w:r w:rsidR="001705C7">
        <w:rPr>
          <w:rFonts w:cstheme="minorHAnsi"/>
        </w:rPr>
        <w:t>2015.gada Eiropas migrācijas krīz</w:t>
      </w:r>
      <w:r w:rsidR="00136C57">
        <w:rPr>
          <w:rFonts w:cstheme="minorHAnsi"/>
        </w:rPr>
        <w:t>i, bet arī vei</w:t>
      </w:r>
      <w:r w:rsidR="00EB5923">
        <w:rPr>
          <w:rFonts w:cstheme="minorHAnsi"/>
        </w:rPr>
        <w:t>kt ieguldījumus attīstībā un darbības efektivitātes uzlabošanai.</w:t>
      </w:r>
      <w:r w:rsidR="006D70B8">
        <w:rPr>
          <w:rFonts w:cstheme="minorHAnsi"/>
        </w:rPr>
        <w:t xml:space="preserve"> </w:t>
      </w:r>
    </w:p>
    <w:p w14:paraId="20F2E063" w14:textId="4B7E05BD" w:rsidR="00AC0A11" w:rsidRDefault="008F750C" w:rsidP="0054199D">
      <w:pPr>
        <w:rPr>
          <w:rFonts w:cstheme="minorHAnsi"/>
        </w:rPr>
      </w:pPr>
      <w:r w:rsidRPr="008F750C">
        <w:rPr>
          <w:rFonts w:cstheme="minorHAnsi"/>
        </w:rPr>
        <w:t xml:space="preserve">Šo iniciatīvu ilgtspēju un nepieciešamību apliecina to iekļaušana un turpināšana arī 2021.–2027. gada plānošanas perioda prioritātēs. Vienlaikus ekspertu paneļa dalībnieki norāda uz PMIF nozīmi, lai sekmētu Migrācijas pakta prasību ieviešanu, kas stāsies spēkā 2026. gadā. Lai nodrošinātu atbilstību Migrācijas </w:t>
      </w:r>
      <w:r w:rsidRPr="008F750C">
        <w:rPr>
          <w:rFonts w:cstheme="minorHAnsi"/>
        </w:rPr>
        <w:lastRenderedPageBreak/>
        <w:t>paktam, tiek paredzēts, ka būs nepieciešamas vērienīgas investīcijas, kas saistītas gan ar jaunu procesu, piemēram, skrīninga procedūru ieviešanu, IT sistēmu izveidi un infrastruktūras attīstību, tai skaitā, ceļot aizturēto ārzemnieku izmitināšanas kapacitāti.</w:t>
      </w:r>
      <w:r w:rsidR="00767CAC">
        <w:rPr>
          <w:rFonts w:cstheme="minorHAnsi"/>
        </w:rPr>
        <w:t xml:space="preserve"> </w:t>
      </w:r>
    </w:p>
    <w:p w14:paraId="4F169640" w14:textId="0788CCF7" w:rsidR="00B61A0E" w:rsidRPr="000E2835" w:rsidRDefault="00767CAC" w:rsidP="00B61A0E">
      <w:pPr>
        <w:rPr>
          <w:rFonts w:cstheme="minorHAnsi"/>
        </w:rPr>
      </w:pPr>
      <w:r>
        <w:rPr>
          <w:rFonts w:cstheme="minorHAnsi"/>
        </w:rPr>
        <w:t xml:space="preserve">Lai nodrošinātu atbilstību aktuālajām vajadzībām, </w:t>
      </w:r>
      <w:r w:rsidR="00B61A0E">
        <w:rPr>
          <w:rFonts w:cstheme="minorHAnsi"/>
        </w:rPr>
        <w:t>deleģētā iestāde ir īstenojusi pasākumus mērķa grupu vajadzīb</w:t>
      </w:r>
      <w:r w:rsidR="003D155A">
        <w:rPr>
          <w:rFonts w:cstheme="minorHAnsi"/>
        </w:rPr>
        <w:t>u izpētē. 2017. gadā</w:t>
      </w:r>
      <w:r w:rsidR="00B61A0E">
        <w:rPr>
          <w:rFonts w:cstheme="minorHAnsi"/>
        </w:rPr>
        <w:t xml:space="preserve"> projekta Nr. </w:t>
      </w:r>
      <w:r w:rsidR="00B61A0E" w:rsidRPr="00A201FE">
        <w:rPr>
          <w:rFonts w:cstheme="minorHAnsi"/>
        </w:rPr>
        <w:t xml:space="preserve">PMIF/12/IZM/2017/1/01 </w:t>
      </w:r>
      <w:r w:rsidR="00B61A0E">
        <w:rPr>
          <w:rFonts w:cstheme="minorHAnsi"/>
        </w:rPr>
        <w:t>“</w:t>
      </w:r>
      <w:r w:rsidR="00B61A0E" w:rsidRPr="00A201FE">
        <w:rPr>
          <w:rFonts w:cstheme="minorHAnsi"/>
        </w:rPr>
        <w:t>Trešo valstu pilsoņu situācijas izpēte Latvijā 2017</w:t>
      </w:r>
      <w:r w:rsidR="00B61A0E">
        <w:rPr>
          <w:rFonts w:cstheme="minorHAnsi"/>
        </w:rPr>
        <w:t xml:space="preserve">” ietvaros </w:t>
      </w:r>
      <w:r w:rsidR="003D155A">
        <w:rPr>
          <w:rFonts w:cstheme="minorHAnsi"/>
        </w:rPr>
        <w:t>tika</w:t>
      </w:r>
      <w:r w:rsidR="00B61A0E">
        <w:rPr>
          <w:rFonts w:cstheme="minorHAnsi"/>
        </w:rPr>
        <w:t xml:space="preserve"> veikts PMIF</w:t>
      </w:r>
      <w:r w:rsidR="00B61A0E" w:rsidRPr="006C5FE0">
        <w:rPr>
          <w:rFonts w:cstheme="minorHAnsi"/>
        </w:rPr>
        <w:t xml:space="preserve"> mērķa grupas (</w:t>
      </w:r>
      <w:r w:rsidR="002A46A0">
        <w:rPr>
          <w:rFonts w:cstheme="minorHAnsi"/>
        </w:rPr>
        <w:t>TVP</w:t>
      </w:r>
      <w:r w:rsidR="00B61A0E" w:rsidRPr="006C5FE0">
        <w:rPr>
          <w:rFonts w:cstheme="minorHAnsi"/>
        </w:rPr>
        <w:t xml:space="preserve"> un starptautiskās aizsardzības personu)</w:t>
      </w:r>
      <w:r w:rsidR="00B61A0E">
        <w:rPr>
          <w:rFonts w:cstheme="minorHAnsi"/>
        </w:rPr>
        <w:t xml:space="preserve"> novērtējums</w:t>
      </w:r>
      <w:r w:rsidR="00DC6EC9">
        <w:rPr>
          <w:rFonts w:cstheme="minorHAnsi"/>
        </w:rPr>
        <w:t>, analizējot</w:t>
      </w:r>
      <w:r w:rsidR="00B61A0E">
        <w:rPr>
          <w:rFonts w:cstheme="minorHAnsi"/>
        </w:rPr>
        <w:t xml:space="preserve"> </w:t>
      </w:r>
      <w:r w:rsidR="00DC6EC9">
        <w:rPr>
          <w:rFonts w:cstheme="minorHAnsi"/>
        </w:rPr>
        <w:t xml:space="preserve">to </w:t>
      </w:r>
      <w:r w:rsidR="00B61A0E">
        <w:rPr>
          <w:rFonts w:cstheme="minorHAnsi"/>
        </w:rPr>
        <w:t>kopējo</w:t>
      </w:r>
      <w:r w:rsidR="00B61A0E" w:rsidRPr="006C5FE0">
        <w:rPr>
          <w:rFonts w:cstheme="minorHAnsi"/>
        </w:rPr>
        <w:t xml:space="preserve"> situāciju un iekļaušan</w:t>
      </w:r>
      <w:r w:rsidR="00DC6EC9">
        <w:rPr>
          <w:rFonts w:cstheme="minorHAnsi"/>
        </w:rPr>
        <w:t>o</w:t>
      </w:r>
      <w:r w:rsidR="00B61A0E" w:rsidRPr="006C5FE0">
        <w:rPr>
          <w:rFonts w:cstheme="minorHAnsi"/>
        </w:rPr>
        <w:t>s Latvijas sabiedrībā.</w:t>
      </w:r>
      <w:r w:rsidR="00B61A0E">
        <w:rPr>
          <w:rFonts w:cstheme="minorHAnsi"/>
        </w:rPr>
        <w:t xml:space="preserve"> </w:t>
      </w:r>
      <w:r w:rsidR="00DE1B20">
        <w:rPr>
          <w:rFonts w:cstheme="minorHAnsi"/>
        </w:rPr>
        <w:t>Šo izpēti p</w:t>
      </w:r>
      <w:r w:rsidR="00B61A0E">
        <w:rPr>
          <w:rFonts w:cstheme="minorHAnsi"/>
        </w:rPr>
        <w:t>apild</w:t>
      </w:r>
      <w:r w:rsidR="00DE1B20">
        <w:rPr>
          <w:rFonts w:cstheme="minorHAnsi"/>
        </w:rPr>
        <w:t>ināja</w:t>
      </w:r>
      <w:r w:rsidR="00B61A0E">
        <w:rPr>
          <w:rFonts w:cstheme="minorHAnsi"/>
        </w:rPr>
        <w:t xml:space="preserve"> 2019. gadā veikt</w:t>
      </w:r>
      <w:r w:rsidR="00DE1B20">
        <w:rPr>
          <w:rFonts w:cstheme="minorHAnsi"/>
        </w:rPr>
        <w:t>ai</w:t>
      </w:r>
      <w:r w:rsidR="00B61A0E">
        <w:rPr>
          <w:rFonts w:cstheme="minorHAnsi"/>
        </w:rPr>
        <w:t xml:space="preserve">s izvērtējums </w:t>
      </w:r>
      <w:r w:rsidR="00B61A0E" w:rsidRPr="006C5FE0">
        <w:rPr>
          <w:rFonts w:cstheme="minorHAnsi"/>
        </w:rPr>
        <w:t xml:space="preserve">par </w:t>
      </w:r>
      <w:r w:rsidR="005D2613" w:rsidRPr="006C5FE0">
        <w:rPr>
          <w:rFonts w:cstheme="minorHAnsi"/>
        </w:rPr>
        <w:t xml:space="preserve">mērķa grupas apmierinātību ar </w:t>
      </w:r>
      <w:r w:rsidR="005D2613">
        <w:rPr>
          <w:rFonts w:cstheme="minorHAnsi"/>
        </w:rPr>
        <w:t>PMIF</w:t>
      </w:r>
      <w:r w:rsidR="005D2613" w:rsidRPr="006C5FE0">
        <w:rPr>
          <w:rFonts w:cstheme="minorHAnsi"/>
        </w:rPr>
        <w:t xml:space="preserve"> nacionālās programmas ietvaros sniegtajiem pakalpojumiem </w:t>
      </w:r>
      <w:r w:rsidR="00B61A0E" w:rsidRPr="006C5FE0">
        <w:rPr>
          <w:rFonts w:cstheme="minorHAnsi"/>
        </w:rPr>
        <w:t>2014. – 2020.</w:t>
      </w:r>
      <w:r w:rsidR="00774238">
        <w:rPr>
          <w:rFonts w:cstheme="minorHAnsi"/>
        </w:rPr>
        <w:t xml:space="preserve"> </w:t>
      </w:r>
      <w:r w:rsidR="00B61A0E" w:rsidRPr="006C5FE0">
        <w:rPr>
          <w:rFonts w:cstheme="minorHAnsi"/>
        </w:rPr>
        <w:t>gada plānošanas period</w:t>
      </w:r>
      <w:r w:rsidR="00774238">
        <w:rPr>
          <w:rFonts w:cstheme="minorHAnsi"/>
        </w:rPr>
        <w:t>ā</w:t>
      </w:r>
      <w:r w:rsidR="00B61A0E">
        <w:rPr>
          <w:rStyle w:val="Vresatsauce"/>
          <w:rFonts w:cstheme="minorHAnsi"/>
        </w:rPr>
        <w:footnoteReference w:id="21"/>
      </w:r>
      <w:r w:rsidR="00B61A0E">
        <w:rPr>
          <w:rFonts w:cstheme="minorHAnsi"/>
        </w:rPr>
        <w:t>. Kā norāda deleģētās iestādes pārstāvji, pētījum</w:t>
      </w:r>
      <w:r w:rsidR="00AC1B5A">
        <w:rPr>
          <w:rFonts w:cstheme="minorHAnsi"/>
        </w:rPr>
        <w:t>u rezultāti</w:t>
      </w:r>
      <w:r w:rsidR="00B61A0E">
        <w:rPr>
          <w:rFonts w:cstheme="minorHAnsi"/>
        </w:rPr>
        <w:t xml:space="preserve"> ir</w:t>
      </w:r>
      <w:r w:rsidR="00AC1B5A">
        <w:rPr>
          <w:rFonts w:cstheme="minorHAnsi"/>
        </w:rPr>
        <w:t xml:space="preserve"> tikuši</w:t>
      </w:r>
      <w:r w:rsidR="004536F9">
        <w:rPr>
          <w:rFonts w:cstheme="minorHAnsi"/>
        </w:rPr>
        <w:t xml:space="preserve"> praktiski</w:t>
      </w:r>
      <w:r w:rsidR="00B61A0E">
        <w:rPr>
          <w:rFonts w:cstheme="minorHAnsi"/>
        </w:rPr>
        <w:t xml:space="preserve"> izmantoti PMIF </w:t>
      </w:r>
      <w:r w:rsidR="004536F9">
        <w:rPr>
          <w:rFonts w:cstheme="minorHAnsi"/>
        </w:rPr>
        <w:t xml:space="preserve">atbalsta instrumenta pilnveidošanā, </w:t>
      </w:r>
      <w:r w:rsidR="00B61A0E">
        <w:rPr>
          <w:rFonts w:cstheme="minorHAnsi"/>
        </w:rPr>
        <w:t xml:space="preserve">piemēram, ieviešot </w:t>
      </w:r>
      <w:r w:rsidR="00120725">
        <w:rPr>
          <w:rFonts w:cstheme="minorHAnsi"/>
        </w:rPr>
        <w:t xml:space="preserve">sarunvalodas klubus kā </w:t>
      </w:r>
      <w:r w:rsidR="00B61A0E">
        <w:rPr>
          <w:rFonts w:cstheme="minorHAnsi"/>
        </w:rPr>
        <w:t xml:space="preserve">neformālo integrācijas pasākumu formātu </w:t>
      </w:r>
      <w:r w:rsidR="00120725">
        <w:rPr>
          <w:rFonts w:cstheme="minorHAnsi"/>
        </w:rPr>
        <w:t>iegūto zināšanu nostiprināšanai un integrācijas sekmēšanai</w:t>
      </w:r>
      <w:r w:rsidR="00B61A0E">
        <w:rPr>
          <w:rFonts w:cstheme="minorHAnsi"/>
        </w:rPr>
        <w:t xml:space="preserve">. </w:t>
      </w:r>
    </w:p>
    <w:p w14:paraId="30A09B55" w14:textId="61A5C371" w:rsidR="00D711B1" w:rsidRDefault="00120725" w:rsidP="0054199D">
      <w:pPr>
        <w:rPr>
          <w:rFonts w:cstheme="minorHAnsi"/>
        </w:rPr>
      </w:pPr>
      <w:r>
        <w:rPr>
          <w:rFonts w:cstheme="minorHAnsi"/>
        </w:rPr>
        <w:t xml:space="preserve">Attiecībā uz programmas elastību un spēju adaptēties mainīgajām vajadzībām vērojama </w:t>
      </w:r>
      <w:r w:rsidR="0007230F">
        <w:rPr>
          <w:rFonts w:cstheme="minorHAnsi"/>
        </w:rPr>
        <w:t>atšķirīga</w:t>
      </w:r>
      <w:r>
        <w:rPr>
          <w:rFonts w:cstheme="minorHAnsi"/>
        </w:rPr>
        <w:t xml:space="preserve"> pieredze. </w:t>
      </w:r>
      <w:r w:rsidR="00E137EE" w:rsidRPr="00587838">
        <w:rPr>
          <w:rFonts w:cstheme="minorHAnsi"/>
        </w:rPr>
        <w:t>Finansējuma saņēmēj</w:t>
      </w:r>
      <w:r w:rsidR="000E0989" w:rsidRPr="00587838">
        <w:rPr>
          <w:rFonts w:cstheme="minorHAnsi"/>
        </w:rPr>
        <w:t xml:space="preserve">u </w:t>
      </w:r>
      <w:r w:rsidR="00AD14D1">
        <w:rPr>
          <w:rFonts w:cstheme="minorHAnsi"/>
        </w:rPr>
        <w:t xml:space="preserve">aptaujas rezultāti atklāj, ka </w:t>
      </w:r>
      <w:r w:rsidR="00AD14D1" w:rsidRPr="00587838">
        <w:rPr>
          <w:rFonts w:cstheme="minorHAnsi"/>
        </w:rPr>
        <w:t>39 %</w:t>
      </w:r>
      <w:r w:rsidR="00AD14D1">
        <w:rPr>
          <w:rFonts w:cstheme="minorHAnsi"/>
        </w:rPr>
        <w:t xml:space="preserve"> respondentu jaunu aktivitāšu pievienošanu projektos </w:t>
      </w:r>
      <w:r w:rsidR="00494DA6">
        <w:rPr>
          <w:rFonts w:cstheme="minorHAnsi"/>
        </w:rPr>
        <w:t xml:space="preserve">vērtē kā </w:t>
      </w:r>
      <w:r w:rsidR="000E0989" w:rsidRPr="00587838">
        <w:rPr>
          <w:rFonts w:cstheme="minorHAnsi"/>
        </w:rPr>
        <w:t xml:space="preserve">drīzāk </w:t>
      </w:r>
      <w:r w:rsidR="00F804E5" w:rsidRPr="00587838">
        <w:rPr>
          <w:rFonts w:cstheme="minorHAnsi"/>
        </w:rPr>
        <w:t>sarežģīt</w:t>
      </w:r>
      <w:r w:rsidR="00494DA6">
        <w:rPr>
          <w:rFonts w:cstheme="minorHAnsi"/>
        </w:rPr>
        <w:t>u procesu</w:t>
      </w:r>
      <w:r w:rsidR="000E0989" w:rsidRPr="00587838">
        <w:rPr>
          <w:rFonts w:cstheme="minorHAnsi"/>
        </w:rPr>
        <w:t xml:space="preserve">, </w:t>
      </w:r>
      <w:r w:rsidR="00494DA6">
        <w:rPr>
          <w:rFonts w:cstheme="minorHAnsi"/>
        </w:rPr>
        <w:t xml:space="preserve">kamēr </w:t>
      </w:r>
      <w:r w:rsidR="00587838" w:rsidRPr="00587838">
        <w:rPr>
          <w:rFonts w:cstheme="minorHAnsi"/>
        </w:rPr>
        <w:t>3</w:t>
      </w:r>
      <w:r w:rsidR="00602438">
        <w:rPr>
          <w:rFonts w:cstheme="minorHAnsi"/>
        </w:rPr>
        <w:t>3</w:t>
      </w:r>
      <w:r w:rsidR="00F804E5" w:rsidRPr="00587838">
        <w:rPr>
          <w:rFonts w:cstheme="minorHAnsi"/>
        </w:rPr>
        <w:t> </w:t>
      </w:r>
      <w:r w:rsidR="000E0989" w:rsidRPr="00587838">
        <w:rPr>
          <w:rFonts w:cstheme="minorHAnsi"/>
        </w:rPr>
        <w:t>%</w:t>
      </w:r>
      <w:r w:rsidR="00641D9C">
        <w:rPr>
          <w:rFonts w:cstheme="minorHAnsi"/>
        </w:rPr>
        <w:t xml:space="preserve"> to uzskata</w:t>
      </w:r>
      <w:r w:rsidR="004318D9">
        <w:rPr>
          <w:rFonts w:cstheme="minorHAnsi"/>
        </w:rPr>
        <w:t xml:space="preserve"> </w:t>
      </w:r>
      <w:r w:rsidR="000E0989" w:rsidRPr="00587838">
        <w:rPr>
          <w:rFonts w:cstheme="minorHAnsi"/>
        </w:rPr>
        <w:t>k</w:t>
      </w:r>
      <w:r w:rsidR="00641D9C">
        <w:rPr>
          <w:rFonts w:cstheme="minorHAnsi"/>
        </w:rPr>
        <w:t>ā</w:t>
      </w:r>
      <w:r w:rsidR="000E0989" w:rsidRPr="00587838">
        <w:rPr>
          <w:rFonts w:cstheme="minorHAnsi"/>
        </w:rPr>
        <w:t xml:space="preserve"> </w:t>
      </w:r>
      <w:r w:rsidR="00AF42BE" w:rsidRPr="00587838">
        <w:rPr>
          <w:rFonts w:cstheme="minorHAnsi"/>
        </w:rPr>
        <w:t xml:space="preserve">drīzāk </w:t>
      </w:r>
      <w:r w:rsidR="00F804E5" w:rsidRPr="00587838">
        <w:rPr>
          <w:rFonts w:cstheme="minorHAnsi"/>
        </w:rPr>
        <w:t>viegl</w:t>
      </w:r>
      <w:r w:rsidR="00641D9C">
        <w:rPr>
          <w:rFonts w:cstheme="minorHAnsi"/>
        </w:rPr>
        <w:t>u</w:t>
      </w:r>
      <w:r w:rsidR="00587838" w:rsidRPr="00587838">
        <w:rPr>
          <w:rFonts w:cstheme="minorHAnsi"/>
        </w:rPr>
        <w:t xml:space="preserve"> (</w:t>
      </w:r>
      <w:r w:rsidR="008D71F0">
        <w:rPr>
          <w:rFonts w:cstheme="minorHAnsi"/>
          <w:highlight w:val="yellow"/>
        </w:rPr>
        <w:fldChar w:fldCharType="begin"/>
      </w:r>
      <w:r w:rsidR="008D71F0">
        <w:rPr>
          <w:rFonts w:cstheme="minorHAnsi"/>
        </w:rPr>
        <w:instrText xml:space="preserve"> REF _Ref190270880 \h </w:instrText>
      </w:r>
      <w:r w:rsidR="008D71F0">
        <w:rPr>
          <w:rFonts w:cstheme="minorHAnsi"/>
          <w:highlight w:val="yellow"/>
        </w:rPr>
      </w:r>
      <w:r w:rsidR="008D71F0">
        <w:rPr>
          <w:rFonts w:cstheme="minorHAnsi"/>
          <w:highlight w:val="yellow"/>
        </w:rPr>
        <w:fldChar w:fldCharType="separate"/>
      </w:r>
      <w:r w:rsidR="000523B6">
        <w:t xml:space="preserve">Attēls </w:t>
      </w:r>
      <w:r w:rsidR="000523B6">
        <w:rPr>
          <w:noProof/>
        </w:rPr>
        <w:t>10</w:t>
      </w:r>
      <w:r w:rsidR="008D71F0">
        <w:rPr>
          <w:rFonts w:cstheme="minorHAnsi"/>
          <w:highlight w:val="yellow"/>
        </w:rPr>
        <w:fldChar w:fldCharType="end"/>
      </w:r>
      <w:r w:rsidR="00587838" w:rsidRPr="00587838">
        <w:rPr>
          <w:rFonts w:cstheme="minorHAnsi"/>
        </w:rPr>
        <w:t>)</w:t>
      </w:r>
      <w:r w:rsidR="00AF42BE" w:rsidRPr="00587838">
        <w:rPr>
          <w:rFonts w:cstheme="minorHAnsi"/>
        </w:rPr>
        <w:t xml:space="preserve">. </w:t>
      </w:r>
    </w:p>
    <w:p w14:paraId="039EFD74" w14:textId="2272B0D5" w:rsidR="00587838" w:rsidRDefault="00587838" w:rsidP="00647168">
      <w:pPr>
        <w:pStyle w:val="GraphTitle"/>
      </w:pPr>
      <w:bookmarkStart w:id="37" w:name="_Ref190270880"/>
      <w:bookmarkStart w:id="38" w:name="_Ref191388609"/>
      <w:r>
        <w:t xml:space="preserve">Attēls </w:t>
      </w:r>
      <w:r w:rsidR="00C47EA2">
        <w:fldChar w:fldCharType="begin"/>
      </w:r>
      <w:r w:rsidR="00C47EA2">
        <w:instrText xml:space="preserve"> SEQ Attēls \* ARABIC </w:instrText>
      </w:r>
      <w:r w:rsidR="00C47EA2">
        <w:fldChar w:fldCharType="separate"/>
      </w:r>
      <w:r w:rsidR="000523B6">
        <w:t>10</w:t>
      </w:r>
      <w:r w:rsidR="00C47EA2">
        <w:fldChar w:fldCharType="end"/>
      </w:r>
      <w:bookmarkEnd w:id="37"/>
      <w:r>
        <w:t>.</w:t>
      </w:r>
      <w:r w:rsidR="004108D7">
        <w:t xml:space="preserve"> </w:t>
      </w:r>
      <w:r w:rsidR="00061D70">
        <w:t xml:space="preserve">Finansējuma saņēmēju vērtējums par </w:t>
      </w:r>
      <w:r w:rsidR="00647168">
        <w:t>jaunu aktivitāšu pievienošanu projektā/-os</w:t>
      </w:r>
      <w:bookmarkEnd w:id="38"/>
    </w:p>
    <w:p w14:paraId="48AFF93F" w14:textId="44356622" w:rsidR="00CB701E" w:rsidRPr="00AF42BE" w:rsidRDefault="00D16645" w:rsidP="0054199D">
      <w:pPr>
        <w:rPr>
          <w:rFonts w:cstheme="minorHAnsi"/>
          <w:highlight w:val="yellow"/>
        </w:rPr>
      </w:pPr>
      <w:r>
        <w:rPr>
          <w:noProof/>
        </w:rPr>
        <w:drawing>
          <wp:inline distT="0" distB="0" distL="0" distR="0" wp14:anchorId="4F9BF999" wp14:editId="71279BEE">
            <wp:extent cx="6623050" cy="1247775"/>
            <wp:effectExtent l="0" t="0" r="6350" b="0"/>
            <wp:docPr id="347146658" name="Chart 1">
              <a:extLst xmlns:a="http://schemas.openxmlformats.org/drawingml/2006/main">
                <a:ext uri="{FF2B5EF4-FFF2-40B4-BE49-F238E27FC236}">
                  <a16:creationId xmlns:a16="http://schemas.microsoft.com/office/drawing/2014/main" id="{F210CA3D-FDD9-4631-81D4-EDB4329B2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D4661E3" w14:textId="4388D814" w:rsidR="00B26DFD" w:rsidRPr="00785D09" w:rsidRDefault="00B26DFD" w:rsidP="00B26DFD">
      <w:pPr>
        <w:jc w:val="right"/>
        <w:rPr>
          <w:rStyle w:val="Izsmalcintsizclums"/>
        </w:rPr>
      </w:pPr>
      <w:r w:rsidRPr="00785D09">
        <w:rPr>
          <w:rStyle w:val="Izsmalcintsizclums"/>
        </w:rPr>
        <w:t>Avots: Finansējuma saņēmēju aptauja, n=</w:t>
      </w:r>
      <w:r w:rsidR="00D16645" w:rsidRPr="00785D09">
        <w:rPr>
          <w:rStyle w:val="Izsmalcintsizclums"/>
        </w:rPr>
        <w:t>19</w:t>
      </w:r>
    </w:p>
    <w:p w14:paraId="517207E0" w14:textId="7FD26212" w:rsidR="00647168" w:rsidRDefault="003A019C" w:rsidP="0054199D">
      <w:pPr>
        <w:rPr>
          <w:rFonts w:cstheme="minorHAnsi"/>
        </w:rPr>
      </w:pPr>
      <w:r>
        <w:t xml:space="preserve">Analizējot šķēršļus projektu pielāgošanai mainīgajām vajadzībām, identificēti vairāki izaicinājumi. </w:t>
      </w:r>
      <w:r w:rsidR="008C6081">
        <w:rPr>
          <w:rFonts w:cstheme="minorHAnsi"/>
        </w:rPr>
        <w:t>F</w:t>
      </w:r>
      <w:r w:rsidR="008C6081" w:rsidRPr="007765F4">
        <w:rPr>
          <w:rFonts w:cstheme="minorHAnsi"/>
        </w:rPr>
        <w:t>inansējuma saņēmēji</w:t>
      </w:r>
      <w:r w:rsidR="008C6081">
        <w:rPr>
          <w:rFonts w:cstheme="minorHAnsi"/>
        </w:rPr>
        <w:t xml:space="preserve"> norāda</w:t>
      </w:r>
      <w:r w:rsidR="008C6081" w:rsidRPr="007765F4">
        <w:rPr>
          <w:rFonts w:cstheme="minorHAnsi"/>
        </w:rPr>
        <w:t xml:space="preserve"> </w:t>
      </w:r>
      <w:r w:rsidR="005A755D">
        <w:rPr>
          <w:rFonts w:cstheme="minorHAnsi"/>
        </w:rPr>
        <w:t xml:space="preserve">strukturālos Programmas ierobežojumus </w:t>
      </w:r>
      <w:r w:rsidR="00CB52B0">
        <w:rPr>
          <w:rFonts w:cstheme="minorHAnsi"/>
        </w:rPr>
        <w:t xml:space="preserve">attiecībā uz </w:t>
      </w:r>
      <w:r w:rsidR="00AF42BE" w:rsidRPr="007765F4">
        <w:rPr>
          <w:rFonts w:cstheme="minorHAnsi"/>
        </w:rPr>
        <w:t>jaunu aktivitāšu iekļaušanai projektā</w:t>
      </w:r>
      <w:r w:rsidR="003569B1">
        <w:rPr>
          <w:rFonts w:cstheme="minorHAnsi"/>
        </w:rPr>
        <w:t xml:space="preserve">, kas nebija </w:t>
      </w:r>
      <w:r w:rsidR="008D62D3" w:rsidRPr="008D62D3">
        <w:rPr>
          <w:rFonts w:cstheme="minorHAnsi"/>
        </w:rPr>
        <w:t>sākotnēji definētas projektā</w:t>
      </w:r>
      <w:r w:rsidR="008D71F0">
        <w:rPr>
          <w:rFonts w:cstheme="minorHAnsi"/>
        </w:rPr>
        <w:t xml:space="preserve">. Vienlaikus </w:t>
      </w:r>
      <w:r w:rsidR="00D82E18">
        <w:rPr>
          <w:rFonts w:cstheme="minorHAnsi"/>
        </w:rPr>
        <w:t>ir bijis</w:t>
      </w:r>
      <w:r w:rsidR="008D71F0">
        <w:rPr>
          <w:rFonts w:cstheme="minorHAnsi"/>
        </w:rPr>
        <w:t xml:space="preserve"> arī</w:t>
      </w:r>
      <w:r w:rsidR="006F1D27">
        <w:rPr>
          <w:rFonts w:cstheme="minorHAnsi"/>
        </w:rPr>
        <w:t xml:space="preserve"> ilgs grozījumu saskaņošanas process un nepietiekami </w:t>
      </w:r>
      <w:r w:rsidR="005D6BD5">
        <w:rPr>
          <w:rFonts w:cstheme="minorHAnsi"/>
        </w:rPr>
        <w:t>administratīvie resursi</w:t>
      </w:r>
      <w:r w:rsidR="008D71F0">
        <w:rPr>
          <w:rFonts w:cstheme="minorHAnsi"/>
        </w:rPr>
        <w:t xml:space="preserve"> grozījumu procedūras nodrošināšanai </w:t>
      </w:r>
      <w:r w:rsidR="005D6BD5">
        <w:rPr>
          <w:rFonts w:cstheme="minorHAnsi"/>
        </w:rPr>
        <w:t>(</w:t>
      </w:r>
      <w:r w:rsidR="008D71F0">
        <w:rPr>
          <w:rFonts w:cstheme="minorHAnsi"/>
          <w:highlight w:val="yellow"/>
        </w:rPr>
        <w:fldChar w:fldCharType="begin"/>
      </w:r>
      <w:r w:rsidR="008D71F0">
        <w:rPr>
          <w:rFonts w:cstheme="minorHAnsi"/>
        </w:rPr>
        <w:instrText xml:space="preserve"> REF _Ref190270889 \h </w:instrText>
      </w:r>
      <w:r w:rsidR="008D71F0">
        <w:rPr>
          <w:rFonts w:cstheme="minorHAnsi"/>
          <w:highlight w:val="yellow"/>
        </w:rPr>
      </w:r>
      <w:r w:rsidR="008D71F0">
        <w:rPr>
          <w:rFonts w:cstheme="minorHAnsi"/>
          <w:highlight w:val="yellow"/>
        </w:rPr>
        <w:fldChar w:fldCharType="separate"/>
      </w:r>
      <w:r w:rsidR="000523B6">
        <w:t xml:space="preserve">Attēls </w:t>
      </w:r>
      <w:r w:rsidR="000523B6">
        <w:rPr>
          <w:noProof/>
        </w:rPr>
        <w:t>11</w:t>
      </w:r>
      <w:r w:rsidR="008D71F0">
        <w:rPr>
          <w:rFonts w:cstheme="minorHAnsi"/>
          <w:highlight w:val="yellow"/>
        </w:rPr>
        <w:fldChar w:fldCharType="end"/>
      </w:r>
      <w:r w:rsidR="005D6BD5">
        <w:rPr>
          <w:rFonts w:cstheme="minorHAnsi"/>
        </w:rPr>
        <w:t>).</w:t>
      </w:r>
      <w:r w:rsidR="007A308C">
        <w:rPr>
          <w:rFonts w:cstheme="minorHAnsi"/>
        </w:rPr>
        <w:t xml:space="preserve"> </w:t>
      </w:r>
    </w:p>
    <w:p w14:paraId="6A94DFA3" w14:textId="55A02211" w:rsidR="007765F4" w:rsidRDefault="007765F4" w:rsidP="007765F4">
      <w:pPr>
        <w:pStyle w:val="GraphTitle"/>
      </w:pPr>
      <w:bookmarkStart w:id="39" w:name="_Ref190270889"/>
      <w:bookmarkStart w:id="40" w:name="_Ref191388610"/>
      <w:r>
        <w:t xml:space="preserve">Attēls </w:t>
      </w:r>
      <w:r w:rsidR="00C47EA2">
        <w:fldChar w:fldCharType="begin"/>
      </w:r>
      <w:r w:rsidR="00C47EA2">
        <w:instrText xml:space="preserve"> SEQ Attēls \* ARABIC </w:instrText>
      </w:r>
      <w:r w:rsidR="00C47EA2">
        <w:fldChar w:fldCharType="separate"/>
      </w:r>
      <w:r w:rsidR="000523B6">
        <w:t>11</w:t>
      </w:r>
      <w:r w:rsidR="00C47EA2">
        <w:fldChar w:fldCharType="end"/>
      </w:r>
      <w:bookmarkEnd w:id="39"/>
      <w:r>
        <w:t>. Finansējuma saņēmēju vērtējums par</w:t>
      </w:r>
      <w:r w:rsidR="00367881">
        <w:t xml:space="preserve"> </w:t>
      </w:r>
      <w:r w:rsidR="00367881" w:rsidRPr="00367881">
        <w:t>izaicinājumi jaunu aktivitāšu iekļaušanai projektā/-os</w:t>
      </w:r>
      <w:bookmarkEnd w:id="40"/>
    </w:p>
    <w:p w14:paraId="4E62C568" w14:textId="11F449C6" w:rsidR="00AF42BE" w:rsidRDefault="00402700" w:rsidP="0054199D">
      <w:pPr>
        <w:rPr>
          <w:rFonts w:cstheme="minorHAnsi"/>
        </w:rPr>
      </w:pPr>
      <w:r>
        <w:rPr>
          <w:noProof/>
        </w:rPr>
        <w:drawing>
          <wp:inline distT="0" distB="0" distL="0" distR="0" wp14:anchorId="63BEED05" wp14:editId="0CCD5A7F">
            <wp:extent cx="6623050" cy="1647825"/>
            <wp:effectExtent l="0" t="0" r="6350" b="0"/>
            <wp:docPr id="166245157" name="Chart 1">
              <a:extLst xmlns:a="http://schemas.openxmlformats.org/drawingml/2006/main">
                <a:ext uri="{FF2B5EF4-FFF2-40B4-BE49-F238E27FC236}">
                  <a16:creationId xmlns:a16="http://schemas.microsoft.com/office/drawing/2014/main" id="{C9277779-50C6-4661-A7E1-E6F0409EB4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AF42BE">
        <w:rPr>
          <w:rFonts w:cstheme="minorHAnsi"/>
        </w:rPr>
        <w:t xml:space="preserve"> </w:t>
      </w:r>
    </w:p>
    <w:p w14:paraId="56A44DFC" w14:textId="5A76F10B" w:rsidR="007765F4" w:rsidRPr="00785D09" w:rsidRDefault="007765F4" w:rsidP="007765F4">
      <w:pPr>
        <w:jc w:val="right"/>
        <w:rPr>
          <w:rStyle w:val="Izsmalcintsizclums"/>
        </w:rPr>
      </w:pPr>
      <w:r w:rsidRPr="00785D09">
        <w:rPr>
          <w:rStyle w:val="Izsmalcintsizclums"/>
        </w:rPr>
        <w:t>Avots: Finansējuma saņēmēju aptauja, n=</w:t>
      </w:r>
      <w:r w:rsidR="008135F6" w:rsidRPr="00785D09">
        <w:rPr>
          <w:rStyle w:val="Izsmalcintsizclums"/>
        </w:rPr>
        <w:t>7</w:t>
      </w:r>
    </w:p>
    <w:p w14:paraId="025B766D" w14:textId="402F47C1" w:rsidR="00962481" w:rsidRDefault="00AA769E" w:rsidP="0054199D">
      <w:pPr>
        <w:rPr>
          <w:rFonts w:cstheme="minorHAnsi"/>
        </w:rPr>
      </w:pPr>
      <w:r>
        <w:rPr>
          <w:rFonts w:cstheme="minorHAnsi"/>
        </w:rPr>
        <w:lastRenderedPageBreak/>
        <w:t xml:space="preserve">Attiecībā uz PMIF iespējām pielāgoties mainīgajām </w:t>
      </w:r>
      <w:r w:rsidR="00354874">
        <w:rPr>
          <w:rFonts w:cstheme="minorHAnsi"/>
        </w:rPr>
        <w:t xml:space="preserve">vajadzībām, </w:t>
      </w:r>
      <w:r w:rsidR="0074578D">
        <w:rPr>
          <w:rFonts w:cstheme="minorHAnsi"/>
        </w:rPr>
        <w:t>no</w:t>
      </w:r>
      <w:r w:rsidR="00354874">
        <w:rPr>
          <w:rFonts w:cstheme="minorHAnsi"/>
        </w:rPr>
        <w:t xml:space="preserve">vērojamas atšķirības starp </w:t>
      </w:r>
      <w:r w:rsidR="00C2762C">
        <w:rPr>
          <w:rFonts w:cstheme="minorHAnsi"/>
        </w:rPr>
        <w:t>projektiem atkarībā no to pārraudzības institucionālā ietvara</w:t>
      </w:r>
      <w:r w:rsidR="00687B2C">
        <w:rPr>
          <w:rFonts w:cstheme="minorHAnsi"/>
        </w:rPr>
        <w:t xml:space="preserve"> </w:t>
      </w:r>
      <w:r w:rsidR="00A80AB7">
        <w:rPr>
          <w:rFonts w:cstheme="minorHAnsi"/>
        </w:rPr>
        <w:t>–</w:t>
      </w:r>
      <w:r w:rsidR="00C2762C">
        <w:rPr>
          <w:rFonts w:cstheme="minorHAnsi"/>
        </w:rPr>
        <w:t xml:space="preserve"> </w:t>
      </w:r>
      <w:r w:rsidR="00687B2C">
        <w:rPr>
          <w:rFonts w:cstheme="minorHAnsi"/>
        </w:rPr>
        <w:t>a</w:t>
      </w:r>
      <w:r w:rsidR="00354874">
        <w:rPr>
          <w:rFonts w:cstheme="minorHAnsi"/>
        </w:rPr>
        <w:t xml:space="preserve">tbildīgās iestādes </w:t>
      </w:r>
      <w:r w:rsidR="00687B2C">
        <w:rPr>
          <w:rFonts w:cstheme="minorHAnsi"/>
        </w:rPr>
        <w:t>vai</w:t>
      </w:r>
      <w:r w:rsidR="00354874">
        <w:rPr>
          <w:rFonts w:cstheme="minorHAnsi"/>
        </w:rPr>
        <w:t xml:space="preserve"> deleģētās iestādes. </w:t>
      </w:r>
    </w:p>
    <w:p w14:paraId="65F73B9C" w14:textId="69146C6B" w:rsidR="001E291E" w:rsidRDefault="00962481" w:rsidP="0054199D">
      <w:pPr>
        <w:rPr>
          <w:rFonts w:cstheme="minorHAnsi"/>
        </w:rPr>
      </w:pPr>
      <w:r>
        <w:rPr>
          <w:rFonts w:cstheme="minorHAnsi"/>
        </w:rPr>
        <w:t xml:space="preserve">Atbildīgās iestādes pārraudzībā esošo </w:t>
      </w:r>
      <w:r w:rsidR="00F80F4D">
        <w:rPr>
          <w:rFonts w:cstheme="minorHAnsi"/>
        </w:rPr>
        <w:t>projektu f</w:t>
      </w:r>
      <w:r w:rsidR="00AD6558">
        <w:rPr>
          <w:rFonts w:cstheme="minorHAnsi"/>
        </w:rPr>
        <w:t>inansējuma saņēmēji</w:t>
      </w:r>
      <w:r w:rsidR="00F80F4D">
        <w:rPr>
          <w:rFonts w:cstheme="minorHAnsi"/>
        </w:rPr>
        <w:t xml:space="preserve"> </w:t>
      </w:r>
      <w:r w:rsidR="00AD6558">
        <w:rPr>
          <w:rFonts w:cstheme="minorHAnsi"/>
        </w:rPr>
        <w:t xml:space="preserve">pozitīvi izceļ PMIF elastību, </w:t>
      </w:r>
      <w:r w:rsidR="00FA1E91">
        <w:rPr>
          <w:rFonts w:cstheme="minorHAnsi"/>
        </w:rPr>
        <w:t xml:space="preserve">uzsverot </w:t>
      </w:r>
      <w:r w:rsidR="00FF63C0">
        <w:rPr>
          <w:rFonts w:cstheme="minorHAnsi"/>
        </w:rPr>
        <w:t xml:space="preserve">iespējas gan </w:t>
      </w:r>
      <w:r w:rsidR="00AD6558">
        <w:rPr>
          <w:rFonts w:cstheme="minorHAnsi"/>
        </w:rPr>
        <w:t>pielāgot projektu aktivitātes</w:t>
      </w:r>
      <w:r w:rsidR="00FF63C0">
        <w:rPr>
          <w:rFonts w:cstheme="minorHAnsi"/>
        </w:rPr>
        <w:t>, gan piesaistīt</w:t>
      </w:r>
      <w:r w:rsidR="00AD6558">
        <w:rPr>
          <w:rFonts w:cstheme="minorHAnsi"/>
        </w:rPr>
        <w:t xml:space="preserve"> </w:t>
      </w:r>
      <w:r w:rsidR="00FF63C0">
        <w:rPr>
          <w:rFonts w:cstheme="minorHAnsi"/>
        </w:rPr>
        <w:t xml:space="preserve">papildu </w:t>
      </w:r>
      <w:r w:rsidR="001E291E">
        <w:rPr>
          <w:rFonts w:cstheme="minorHAnsi"/>
        </w:rPr>
        <w:t>finansējumu atbilstoši projekta vajadzībām.</w:t>
      </w:r>
    </w:p>
    <w:p w14:paraId="63F77821" w14:textId="52CDAC11" w:rsidR="009F7A07" w:rsidRPr="00D0220B" w:rsidRDefault="001E291E" w:rsidP="00143135">
      <w:pPr>
        <w:rPr>
          <w:rFonts w:cstheme="minorHAnsi"/>
        </w:rPr>
      </w:pPr>
      <w:r>
        <w:rPr>
          <w:rFonts w:cstheme="minorHAnsi"/>
        </w:rPr>
        <w:t xml:space="preserve">Turpretī </w:t>
      </w:r>
      <w:r w:rsidR="00AD6558">
        <w:rPr>
          <w:rFonts w:cstheme="minorHAnsi"/>
        </w:rPr>
        <w:t>deleģētās iestādes pārraudzī</w:t>
      </w:r>
      <w:r w:rsidR="004020EA">
        <w:rPr>
          <w:rFonts w:cstheme="minorHAnsi"/>
        </w:rPr>
        <w:t>tajos</w:t>
      </w:r>
      <w:r w:rsidR="00AD6558">
        <w:rPr>
          <w:rFonts w:cstheme="minorHAnsi"/>
        </w:rPr>
        <w:t xml:space="preserve"> projekt</w:t>
      </w:r>
      <w:r w:rsidR="004020EA">
        <w:rPr>
          <w:rFonts w:cstheme="minorHAnsi"/>
        </w:rPr>
        <w:t>os</w:t>
      </w:r>
      <w:r w:rsidR="00AD6558">
        <w:rPr>
          <w:rFonts w:cstheme="minorHAnsi"/>
        </w:rPr>
        <w:t xml:space="preserve"> finansējuma saņēmēji </w:t>
      </w:r>
      <w:r w:rsidR="004020EA">
        <w:rPr>
          <w:rFonts w:cstheme="minorHAnsi"/>
        </w:rPr>
        <w:t>saskaras ar ievērojami ierobežotākām adaptācijas iespējām</w:t>
      </w:r>
      <w:r w:rsidR="00BB6C71">
        <w:rPr>
          <w:rFonts w:cstheme="minorHAnsi"/>
        </w:rPr>
        <w:t xml:space="preserve">. Šī atšķirība lielā mērā izriet no atšķirīgajām </w:t>
      </w:r>
      <w:r w:rsidR="00AD6558">
        <w:rPr>
          <w:rFonts w:cstheme="minorHAnsi"/>
        </w:rPr>
        <w:t>projektu atlases procedūr</w:t>
      </w:r>
      <w:r w:rsidR="00BB6C71">
        <w:rPr>
          <w:rFonts w:cstheme="minorHAnsi"/>
        </w:rPr>
        <w:t>ām</w:t>
      </w:r>
      <w:r w:rsidR="00AD6558">
        <w:rPr>
          <w:rFonts w:cstheme="minorHAnsi"/>
        </w:rPr>
        <w:t xml:space="preserve"> — </w:t>
      </w:r>
      <w:r w:rsidR="00E306C9">
        <w:rPr>
          <w:rFonts w:cstheme="minorHAnsi"/>
        </w:rPr>
        <w:t xml:space="preserve">deleģētās iestādes </w:t>
      </w:r>
      <w:r w:rsidR="00AD6558">
        <w:rPr>
          <w:rFonts w:cstheme="minorHAnsi"/>
        </w:rPr>
        <w:t>projekti</w:t>
      </w:r>
      <w:r w:rsidR="00E306C9">
        <w:rPr>
          <w:rFonts w:cstheme="minorHAnsi"/>
        </w:rPr>
        <w:t>, kas</w:t>
      </w:r>
      <w:r w:rsidR="00AD6558">
        <w:rPr>
          <w:rFonts w:cstheme="minorHAnsi"/>
        </w:rPr>
        <w:t xml:space="preserve"> tika īstenoti atklāta konkursa </w:t>
      </w:r>
      <w:r w:rsidR="00E306C9">
        <w:rPr>
          <w:rFonts w:cstheme="minorHAnsi"/>
        </w:rPr>
        <w:t>ietvaros</w:t>
      </w:r>
      <w:r w:rsidR="00AD6558">
        <w:rPr>
          <w:rFonts w:cstheme="minorHAnsi"/>
        </w:rPr>
        <w:t xml:space="preserve">, </w:t>
      </w:r>
      <w:r w:rsidR="0037554D">
        <w:rPr>
          <w:rFonts w:cstheme="minorHAnsi"/>
        </w:rPr>
        <w:t xml:space="preserve">ir stingrāk piesaistīti sākotnējā </w:t>
      </w:r>
      <w:r w:rsidR="00AD6558">
        <w:rPr>
          <w:rFonts w:cstheme="minorHAnsi"/>
        </w:rPr>
        <w:t>konkursa nolikum</w:t>
      </w:r>
      <w:r w:rsidR="0037554D">
        <w:rPr>
          <w:rFonts w:cstheme="minorHAnsi"/>
        </w:rPr>
        <w:t>a</w:t>
      </w:r>
      <w:r w:rsidR="00AD6558">
        <w:rPr>
          <w:rFonts w:cstheme="minorHAnsi"/>
        </w:rPr>
        <w:t xml:space="preserve"> prasīb</w:t>
      </w:r>
      <w:r w:rsidR="0037554D">
        <w:rPr>
          <w:rFonts w:cstheme="minorHAnsi"/>
        </w:rPr>
        <w:t>ām un ierobežojumiem</w:t>
      </w:r>
      <w:r w:rsidR="00AD6558">
        <w:rPr>
          <w:rFonts w:cstheme="minorHAnsi"/>
        </w:rPr>
        <w:t xml:space="preserve">. </w:t>
      </w:r>
      <w:r w:rsidR="0000343A" w:rsidRPr="0000343A">
        <w:rPr>
          <w:rFonts w:cstheme="minorHAnsi"/>
        </w:rPr>
        <w:t>Tomēr gadījumos, kad projektu īstenošanā radusies nepieciešamība pēc neliela mēroga modifikācijām, piemēram, pārejai uz attālināto izglītības formātu vai izmaiņām mācību grupās, šādi pielāgojumi ir bijuši relatīvi elastīgi un administratīvi īstenojami</w:t>
      </w:r>
      <w:r w:rsidR="0000343A">
        <w:rPr>
          <w:rFonts w:cstheme="minorHAnsi"/>
        </w:rPr>
        <w:t>.</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2EC76353" w14:textId="77777777" w:rsidTr="00416BFE">
        <w:tc>
          <w:tcPr>
            <w:tcW w:w="10252" w:type="dxa"/>
            <w:tcBorders>
              <w:bottom w:val="single" w:sz="4" w:space="0" w:color="auto"/>
            </w:tcBorders>
            <w:shd w:val="clear" w:color="auto" w:fill="F3B8FF" w:themeFill="accent6" w:themeFillTint="33"/>
          </w:tcPr>
          <w:p w14:paraId="1E689FCE" w14:textId="77777777" w:rsidR="00143135" w:rsidRPr="008F64A0" w:rsidRDefault="00143135" w:rsidP="00A239D8">
            <w:pPr>
              <w:rPr>
                <w:i/>
                <w:iCs/>
                <w:color w:val="5A5A5A" w:themeColor="accent1" w:themeTint="BF"/>
              </w:rPr>
            </w:pPr>
            <w:r w:rsidRPr="008F64A0">
              <w:rPr>
                <w:i/>
                <w:iCs/>
                <w:color w:val="5A5A5A" w:themeColor="accent1" w:themeTint="BF"/>
              </w:rPr>
              <w:t>Apakšjautājums: Vai dalībvalsts valsts programmā izvirzītie mērķi atbilda apzinātajām vajadzībām?</w:t>
            </w:r>
          </w:p>
        </w:tc>
      </w:tr>
    </w:tbl>
    <w:p w14:paraId="3D596467" w14:textId="367996F2" w:rsidR="006D2A08" w:rsidRDefault="009F1DD5" w:rsidP="00461E80">
      <w:pPr>
        <w:rPr>
          <w:rFonts w:cstheme="minorHAnsi"/>
        </w:rPr>
      </w:pPr>
      <w:r>
        <w:rPr>
          <w:rFonts w:cstheme="minorHAnsi"/>
        </w:rPr>
        <w:t xml:space="preserve">Nacionālā programmā izvirzītie mērķi un to </w:t>
      </w:r>
      <w:r w:rsidR="002956A6">
        <w:rPr>
          <w:rFonts w:cstheme="minorHAnsi"/>
        </w:rPr>
        <w:t>sasniegšanai</w:t>
      </w:r>
      <w:r>
        <w:rPr>
          <w:rFonts w:cstheme="minorHAnsi"/>
        </w:rPr>
        <w:t xml:space="preserve"> definētās aktivitātes</w:t>
      </w:r>
      <w:r w:rsidR="003F5CA4">
        <w:rPr>
          <w:rFonts w:cstheme="minorHAnsi"/>
        </w:rPr>
        <w:t xml:space="preserve"> ir balstītas esošās situācijas analīzē</w:t>
      </w:r>
      <w:r w:rsidR="00351C1F">
        <w:rPr>
          <w:rFonts w:cstheme="minorHAnsi"/>
        </w:rPr>
        <w:t xml:space="preserve">. </w:t>
      </w:r>
      <w:r w:rsidR="00271A85" w:rsidRPr="004018A8">
        <w:rPr>
          <w:rFonts w:cstheme="minorHAnsi"/>
        </w:rPr>
        <w:t>Nacionālās programmas izstrādes proces</w:t>
      </w:r>
      <w:r w:rsidR="00271A85">
        <w:rPr>
          <w:rFonts w:cstheme="minorHAnsi"/>
        </w:rPr>
        <w:t xml:space="preserve">s ietvēra vairākus savstarpēji papildinošus elementus – </w:t>
      </w:r>
      <w:r w:rsidR="002438E7">
        <w:rPr>
          <w:rFonts w:cstheme="minorHAnsi"/>
        </w:rPr>
        <w:t xml:space="preserve">tā saskaņošanu ar </w:t>
      </w:r>
      <w:r w:rsidR="009D25E4">
        <w:rPr>
          <w:rFonts w:cstheme="minorHAnsi"/>
        </w:rPr>
        <w:t>nacionāla līmeņa politikas plānošanas dokumentiem</w:t>
      </w:r>
      <w:r w:rsidR="002438E7">
        <w:rPr>
          <w:rFonts w:cstheme="minorHAnsi"/>
        </w:rPr>
        <w:t xml:space="preserve"> un </w:t>
      </w:r>
      <w:r w:rsidR="009D25E4">
        <w:rPr>
          <w:rFonts w:cstheme="minorHAnsi"/>
        </w:rPr>
        <w:t>Iekšlietu nozares politikas stratēģij</w:t>
      </w:r>
      <w:r w:rsidR="002438E7">
        <w:rPr>
          <w:rFonts w:cstheme="minorHAnsi"/>
        </w:rPr>
        <w:t xml:space="preserve">u, kā arī </w:t>
      </w:r>
      <w:r w:rsidR="008C6C21" w:rsidRPr="004018A8">
        <w:rPr>
          <w:rFonts w:cstheme="minorHAnsi"/>
        </w:rPr>
        <w:t>konsultācijas ar nozares kompetento iestāžu pārstāvjiem</w:t>
      </w:r>
      <w:r w:rsidR="006D2A08">
        <w:rPr>
          <w:rFonts w:cstheme="minorHAnsi"/>
        </w:rPr>
        <w:t xml:space="preserve">. </w:t>
      </w:r>
    </w:p>
    <w:p w14:paraId="0AD18F73" w14:textId="6236D268" w:rsidR="00F66CBC" w:rsidRDefault="006D2A08" w:rsidP="00461E80">
      <w:pPr>
        <w:rPr>
          <w:rFonts w:cstheme="minorHAnsi"/>
        </w:rPr>
      </w:pPr>
      <w:r>
        <w:rPr>
          <w:rFonts w:cstheme="minorHAnsi"/>
        </w:rPr>
        <w:t xml:space="preserve">Īpaša uzmanība tika pievērsta programmas </w:t>
      </w:r>
      <w:r w:rsidR="008C6C21" w:rsidRPr="004018A8">
        <w:rPr>
          <w:rFonts w:cstheme="minorHAnsi"/>
        </w:rPr>
        <w:t>prioritā</w:t>
      </w:r>
      <w:r w:rsidR="000A5940">
        <w:rPr>
          <w:rFonts w:cstheme="minorHAnsi"/>
        </w:rPr>
        <w:t>šu noteikšanai</w:t>
      </w:r>
      <w:r w:rsidR="008C6C21" w:rsidRPr="004018A8">
        <w:rPr>
          <w:rFonts w:cstheme="minorHAnsi"/>
        </w:rPr>
        <w:t xml:space="preserve"> PMIF nacionālās programmas </w:t>
      </w:r>
      <w:r w:rsidR="00D95A9E">
        <w:rPr>
          <w:rFonts w:cstheme="minorHAnsi"/>
        </w:rPr>
        <w:t>kontekstā,</w:t>
      </w:r>
      <w:r w:rsidR="00624324">
        <w:rPr>
          <w:rFonts w:cstheme="minorHAnsi"/>
        </w:rPr>
        <w:t xml:space="preserve"> </w:t>
      </w:r>
      <w:r w:rsidR="00D95A9E">
        <w:rPr>
          <w:rFonts w:cstheme="minorHAnsi"/>
        </w:rPr>
        <w:t>šo</w:t>
      </w:r>
      <w:r w:rsidR="00624324">
        <w:rPr>
          <w:rFonts w:cstheme="minorHAnsi"/>
        </w:rPr>
        <w:t xml:space="preserve"> </w:t>
      </w:r>
      <w:r w:rsidR="008423AE">
        <w:rPr>
          <w:rFonts w:cstheme="minorHAnsi"/>
        </w:rPr>
        <w:t xml:space="preserve">procesu koordinējot </w:t>
      </w:r>
      <w:r w:rsidR="004018A8" w:rsidRPr="004018A8">
        <w:rPr>
          <w:rFonts w:cstheme="minorHAnsi"/>
        </w:rPr>
        <w:t>IeM valsts sekretāra līmenī</w:t>
      </w:r>
      <w:r w:rsidR="00B21B5C">
        <w:rPr>
          <w:rFonts w:cstheme="minorHAnsi"/>
        </w:rPr>
        <w:t>. Šāda augsta līmeņa koordinācija</w:t>
      </w:r>
      <w:r w:rsidR="004018A8" w:rsidRPr="004018A8">
        <w:rPr>
          <w:rFonts w:cstheme="minorHAnsi"/>
        </w:rPr>
        <w:t xml:space="preserve"> nodrošinā</w:t>
      </w:r>
      <w:r w:rsidR="00B21B5C">
        <w:rPr>
          <w:rFonts w:cstheme="minorHAnsi"/>
        </w:rPr>
        <w:t>ja</w:t>
      </w:r>
      <w:r w:rsidR="008E7B78">
        <w:rPr>
          <w:rFonts w:cstheme="minorHAnsi"/>
        </w:rPr>
        <w:t xml:space="preserve"> programmas ciešu sasaisti ar</w:t>
      </w:r>
      <w:r w:rsidR="004018A8" w:rsidRPr="004018A8">
        <w:rPr>
          <w:rFonts w:cstheme="minorHAnsi"/>
        </w:rPr>
        <w:t xml:space="preserve"> kopēj</w:t>
      </w:r>
      <w:r w:rsidR="008E7B78">
        <w:rPr>
          <w:rFonts w:cstheme="minorHAnsi"/>
        </w:rPr>
        <w:t>o</w:t>
      </w:r>
      <w:r w:rsidR="004018A8" w:rsidRPr="004018A8">
        <w:rPr>
          <w:rFonts w:cstheme="minorHAnsi"/>
        </w:rPr>
        <w:t xml:space="preserve"> nozares attīstības virzien</w:t>
      </w:r>
      <w:r w:rsidR="008E7B78">
        <w:rPr>
          <w:rFonts w:cstheme="minorHAnsi"/>
        </w:rPr>
        <w:t>u</w:t>
      </w:r>
      <w:r w:rsidR="004018A8" w:rsidRPr="004018A8">
        <w:rPr>
          <w:rFonts w:cstheme="minorHAnsi"/>
        </w:rPr>
        <w:t xml:space="preserve"> un </w:t>
      </w:r>
      <w:r w:rsidR="007C11CA">
        <w:rPr>
          <w:rFonts w:cstheme="minorHAnsi"/>
        </w:rPr>
        <w:t xml:space="preserve">stratēģiskajām </w:t>
      </w:r>
      <w:r w:rsidR="004018A8" w:rsidRPr="004018A8">
        <w:rPr>
          <w:rFonts w:cstheme="minorHAnsi"/>
        </w:rPr>
        <w:t>prioritātēm</w:t>
      </w:r>
      <w:r w:rsidR="008C6C21" w:rsidRPr="004018A8">
        <w:rPr>
          <w:rFonts w:cstheme="minorHAnsi"/>
        </w:rPr>
        <w:t>.</w:t>
      </w:r>
      <w:r w:rsidR="008C6C21">
        <w:rPr>
          <w:rFonts w:cstheme="minorHAnsi"/>
        </w:rPr>
        <w:t xml:space="preserve"> </w:t>
      </w:r>
      <w:r w:rsidR="003F5CA4">
        <w:rPr>
          <w:rFonts w:cstheme="minorHAnsi"/>
        </w:rPr>
        <w:t xml:space="preserve"> </w:t>
      </w:r>
    </w:p>
    <w:p w14:paraId="25F58123" w14:textId="728A64C9" w:rsidR="009F0B8E" w:rsidRDefault="007C11CA" w:rsidP="009F0B8E">
      <w:pPr>
        <w:rPr>
          <w:rFonts w:cstheme="minorHAnsi"/>
        </w:rPr>
      </w:pPr>
      <w:r>
        <w:rPr>
          <w:rFonts w:cstheme="minorHAnsi"/>
        </w:rPr>
        <w:t>Programmas ietvara atbilstību apliecina d</w:t>
      </w:r>
      <w:r w:rsidR="00461E80" w:rsidRPr="000E2835">
        <w:rPr>
          <w:rFonts w:cstheme="minorHAnsi"/>
        </w:rPr>
        <w:t>eleģētās iestādes pārstāvj</w:t>
      </w:r>
      <w:r>
        <w:rPr>
          <w:rFonts w:cstheme="minorHAnsi"/>
        </w:rPr>
        <w:t>u novērojumi</w:t>
      </w:r>
      <w:r w:rsidR="009F1548">
        <w:rPr>
          <w:rFonts w:cstheme="minorHAnsi"/>
        </w:rPr>
        <w:t xml:space="preserve"> </w:t>
      </w:r>
      <w:r w:rsidR="00A80AB7">
        <w:rPr>
          <w:rFonts w:cstheme="minorHAnsi"/>
        </w:rPr>
        <w:t>–</w:t>
      </w:r>
      <w:r w:rsidR="00461E80" w:rsidRPr="000E2835">
        <w:rPr>
          <w:rFonts w:cstheme="minorHAnsi"/>
        </w:rPr>
        <w:t xml:space="preserve"> viņu pārraudzībā esoš</w:t>
      </w:r>
      <w:r w:rsidR="009F1548">
        <w:rPr>
          <w:rFonts w:cstheme="minorHAnsi"/>
        </w:rPr>
        <w:t>o</w:t>
      </w:r>
      <w:r w:rsidR="00461E80" w:rsidRPr="000E2835">
        <w:rPr>
          <w:rFonts w:cstheme="minorHAnsi"/>
        </w:rPr>
        <w:t xml:space="preserve"> pasākum</w:t>
      </w:r>
      <w:r w:rsidR="009F1548">
        <w:rPr>
          <w:rFonts w:cstheme="minorHAnsi"/>
        </w:rPr>
        <w:t>u īstenošanas gaitā</w:t>
      </w:r>
      <w:r w:rsidR="00461E80" w:rsidRPr="000E2835">
        <w:rPr>
          <w:rFonts w:cstheme="minorHAnsi"/>
        </w:rPr>
        <w:t xml:space="preserve"> nav bijusi vajadzība veikt izmaiņas PMIF nacionālajā programmā. Tādējādi </w:t>
      </w:r>
      <w:r w:rsidR="000E2835" w:rsidRPr="000E2835">
        <w:rPr>
          <w:rFonts w:cstheme="minorHAnsi"/>
        </w:rPr>
        <w:t xml:space="preserve">secināms, ka tās </w:t>
      </w:r>
      <w:r w:rsidR="00461E80" w:rsidRPr="000E2835">
        <w:rPr>
          <w:rFonts w:cstheme="minorHAnsi"/>
        </w:rPr>
        <w:t>sākotnējais ietvars bija pietiekami plašs</w:t>
      </w:r>
      <w:r w:rsidR="00B8020A">
        <w:rPr>
          <w:rFonts w:cstheme="minorHAnsi"/>
        </w:rPr>
        <w:t xml:space="preserve"> un elastīgs</w:t>
      </w:r>
      <w:r w:rsidR="00461E80" w:rsidRPr="000E2835">
        <w:rPr>
          <w:rFonts w:cstheme="minorHAnsi"/>
        </w:rPr>
        <w:t>, lai varētu pielāgot atsevišķas aktivitātes projektu līmenī</w:t>
      </w:r>
      <w:r w:rsidR="00C5678E">
        <w:rPr>
          <w:rFonts w:cstheme="minorHAnsi"/>
        </w:rPr>
        <w:t xml:space="preserve">, neradot nepieciešamību pēc programmas grozījumu </w:t>
      </w:r>
      <w:r w:rsidR="00461E80" w:rsidRPr="000E2835">
        <w:rPr>
          <w:rFonts w:cstheme="minorHAnsi"/>
        </w:rPr>
        <w:t xml:space="preserve">saskaņošanas ar EK.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7466FC14" w14:textId="77777777" w:rsidTr="00107F75">
        <w:tc>
          <w:tcPr>
            <w:tcW w:w="10252" w:type="dxa"/>
            <w:shd w:val="clear" w:color="auto" w:fill="F3B8FF" w:themeFill="accent6" w:themeFillTint="33"/>
          </w:tcPr>
          <w:p w14:paraId="7E71F23D" w14:textId="77777777" w:rsidR="00143135" w:rsidRPr="008F64A0" w:rsidRDefault="00143135" w:rsidP="00A239D8">
            <w:pPr>
              <w:rPr>
                <w:i/>
                <w:iCs/>
                <w:color w:val="5A5A5A" w:themeColor="accent1" w:themeTint="BF"/>
              </w:rPr>
            </w:pPr>
            <w:r w:rsidRPr="008F64A0">
              <w:rPr>
                <w:i/>
                <w:iCs/>
                <w:color w:val="5A5A5A" w:themeColor="accent1" w:themeTint="BF"/>
              </w:rPr>
              <w:t>Apakšjautājums: Vai gada darba programmā (Savienības darbības) izvirzītie mērķi pievērsās aktuālajām vajadzībām?</w:t>
            </w:r>
          </w:p>
        </w:tc>
      </w:tr>
    </w:tbl>
    <w:p w14:paraId="2A5D0572" w14:textId="16CAA3F9" w:rsidR="00517520" w:rsidRDefault="003A3925" w:rsidP="00915271">
      <w:pPr>
        <w:rPr>
          <w:rFonts w:cstheme="minorHAnsi"/>
        </w:rPr>
      </w:pPr>
      <w:r>
        <w:rPr>
          <w:rFonts w:cstheme="minorHAnsi"/>
        </w:rPr>
        <w:t>Savienības darbības programmas 2014</w:t>
      </w:r>
      <w:r w:rsidR="00485A8B">
        <w:rPr>
          <w:rFonts w:cstheme="minorHAnsi"/>
        </w:rPr>
        <w:t>.</w:t>
      </w:r>
      <w:r>
        <w:rPr>
          <w:rFonts w:cstheme="minorHAnsi"/>
        </w:rPr>
        <w:t>-2020.</w:t>
      </w:r>
      <w:r w:rsidR="00485A8B">
        <w:rPr>
          <w:rFonts w:cstheme="minorHAnsi"/>
        </w:rPr>
        <w:t xml:space="preserve"> </w:t>
      </w:r>
      <w:r>
        <w:rPr>
          <w:rFonts w:cstheme="minorHAnsi"/>
        </w:rPr>
        <w:t>gada</w:t>
      </w:r>
      <w:r w:rsidR="00485A8B">
        <w:rPr>
          <w:rFonts w:cstheme="minorHAnsi"/>
        </w:rPr>
        <w:t xml:space="preserve"> plānošanas periodā</w:t>
      </w:r>
      <w:r>
        <w:rPr>
          <w:rFonts w:cstheme="minorHAnsi"/>
        </w:rPr>
        <w:t xml:space="preserve"> ietvēra arī Eiropas Migrācijas tīkla darbības nodrošināšanu.</w:t>
      </w:r>
      <w:r>
        <w:rPr>
          <w:rStyle w:val="Vresatsauce"/>
          <w:rFonts w:cstheme="minorHAnsi"/>
        </w:rPr>
        <w:footnoteReference w:id="22"/>
      </w:r>
      <w:r>
        <w:rPr>
          <w:rFonts w:cstheme="minorHAnsi"/>
        </w:rPr>
        <w:t xml:space="preserve"> </w:t>
      </w:r>
      <w:r w:rsidR="00485A8B">
        <w:rPr>
          <w:rFonts w:cstheme="minorHAnsi"/>
        </w:rPr>
        <w:t xml:space="preserve">Latvijā šo funkciju šī un nākamā perioda ietveros pilda PMLP. </w:t>
      </w:r>
      <w:r w:rsidR="00AF5247" w:rsidRPr="00AF5247">
        <w:rPr>
          <w:rFonts w:cstheme="minorHAnsi"/>
        </w:rPr>
        <w:t>EMT darbība Latvijā nodrošināja sistemātisku migrācijas un patvēruma informācijas apkopošanu un analīzi, ko realizēja caur detalizētu ziņojumu un specializētu pētījumu sagatavošanu, regulāru datu aktualizēšanu EMT informācijas apmaiņas sistēmā</w:t>
      </w:r>
      <w:r w:rsidR="00AF5247">
        <w:rPr>
          <w:rFonts w:cstheme="minorHAnsi"/>
        </w:rPr>
        <w:t xml:space="preserve">. Vienlaikus EMT </w:t>
      </w:r>
      <w:r w:rsidR="00416441">
        <w:rPr>
          <w:rFonts w:cstheme="minorHAnsi"/>
        </w:rPr>
        <w:t xml:space="preserve">pilda konsultatīvu funkciju, sniedzot atbildes uz dažādiem jautājumiem, kā arī attīsta un uztur </w:t>
      </w:r>
      <w:r w:rsidR="00AF5247" w:rsidRPr="00AF5247">
        <w:rPr>
          <w:rFonts w:cstheme="minorHAnsi"/>
        </w:rPr>
        <w:t>sadarbības tīkl</w:t>
      </w:r>
      <w:r w:rsidR="00416441">
        <w:rPr>
          <w:rFonts w:cstheme="minorHAnsi"/>
        </w:rPr>
        <w:t xml:space="preserve">u ar </w:t>
      </w:r>
      <w:r w:rsidR="00AF5247" w:rsidRPr="00AF5247">
        <w:rPr>
          <w:rFonts w:cstheme="minorHAnsi"/>
        </w:rPr>
        <w:t xml:space="preserve">dažādām </w:t>
      </w:r>
      <w:r w:rsidR="00416441">
        <w:rPr>
          <w:rFonts w:cstheme="minorHAnsi"/>
        </w:rPr>
        <w:t xml:space="preserve">migrācijas procesos </w:t>
      </w:r>
      <w:r w:rsidR="00AF5247" w:rsidRPr="00AF5247">
        <w:rPr>
          <w:rFonts w:cstheme="minorHAnsi"/>
        </w:rPr>
        <w:t>iesaistītajām pusēm.</w:t>
      </w:r>
      <w:r w:rsidR="00416441">
        <w:rPr>
          <w:rStyle w:val="Vresatsauce"/>
          <w:rFonts w:cstheme="minorHAnsi"/>
        </w:rPr>
        <w:footnoteReference w:id="23"/>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1B9D03B5" w14:textId="77777777" w:rsidTr="00107F75">
        <w:tc>
          <w:tcPr>
            <w:tcW w:w="10252" w:type="dxa"/>
            <w:shd w:val="clear" w:color="auto" w:fill="F3B8FF" w:themeFill="accent6" w:themeFillTint="33"/>
          </w:tcPr>
          <w:p w14:paraId="3DA26F85" w14:textId="77777777" w:rsidR="00143135" w:rsidRPr="008F64A0" w:rsidRDefault="00143135" w:rsidP="00A239D8">
            <w:pPr>
              <w:rPr>
                <w:i/>
                <w:iCs/>
                <w:color w:val="5A5A5A" w:themeColor="accent1" w:themeTint="BF"/>
              </w:rPr>
            </w:pPr>
            <w:r w:rsidRPr="008F64A0">
              <w:rPr>
                <w:i/>
                <w:iCs/>
                <w:color w:val="5A5A5A" w:themeColor="accent1" w:themeTint="BF"/>
              </w:rPr>
              <w:t>Apakšjautājums: Vai gada darba programmā (ārkārtas palīdzība) izvirzītie mērķi pievērsās aktuālajām vajadzībām?</w:t>
            </w:r>
          </w:p>
        </w:tc>
      </w:tr>
    </w:tbl>
    <w:p w14:paraId="22F1619C" w14:textId="22BFD3E9" w:rsidR="00656070" w:rsidRDefault="00656070" w:rsidP="00656070">
      <w:pPr>
        <w:rPr>
          <w:rFonts w:cstheme="minorHAnsi"/>
        </w:rPr>
      </w:pPr>
      <w:r>
        <w:rPr>
          <w:rFonts w:cstheme="minorHAnsi"/>
        </w:rPr>
        <w:t>Saskaņā ar atbildīgās iestādes sniegto informāciju, 2014.-2020.</w:t>
      </w:r>
      <w:r w:rsidR="00FD2E5B">
        <w:rPr>
          <w:rFonts w:cstheme="minorHAnsi"/>
        </w:rPr>
        <w:t xml:space="preserve"> </w:t>
      </w:r>
      <w:r>
        <w:rPr>
          <w:rFonts w:cstheme="minorHAnsi"/>
        </w:rPr>
        <w:t>gada plānošanas periodā Latvijas finansējuma saņēmēji papildu aktivitāšu ieviešanai nav piesaistījuši ārkārtas palīdzības līdzekļus.</w:t>
      </w:r>
    </w:p>
    <w:p w14:paraId="6FD6FDA8" w14:textId="77777777" w:rsidR="00C87492" w:rsidRPr="002D15F8" w:rsidRDefault="00C87492" w:rsidP="00656070">
      <w:pPr>
        <w:rPr>
          <w:rFonts w:cstheme="minorHAnsi"/>
        </w:rPr>
      </w:pP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571FF3EA" w14:textId="77777777" w:rsidTr="00107F75">
        <w:tc>
          <w:tcPr>
            <w:tcW w:w="10252" w:type="dxa"/>
            <w:shd w:val="clear" w:color="auto" w:fill="F3B8FF" w:themeFill="accent6" w:themeFillTint="33"/>
          </w:tcPr>
          <w:p w14:paraId="37FBEF81" w14:textId="77777777" w:rsidR="00143135" w:rsidRPr="008F64A0" w:rsidRDefault="00143135" w:rsidP="00A239D8">
            <w:pPr>
              <w:rPr>
                <w:i/>
                <w:iCs/>
                <w:color w:val="5A5A5A" w:themeColor="accent1" w:themeTint="BF"/>
              </w:rPr>
            </w:pPr>
            <w:r w:rsidRPr="008F64A0">
              <w:rPr>
                <w:i/>
                <w:iCs/>
                <w:color w:val="5A5A5A" w:themeColor="accent1" w:themeTint="BF"/>
              </w:rPr>
              <w:lastRenderedPageBreak/>
              <w:t>Apakšjautājums: Kādus pasākumus dalībvalsts veica, lai risinātu mainīgās vajadzības?</w:t>
            </w:r>
          </w:p>
        </w:tc>
      </w:tr>
    </w:tbl>
    <w:p w14:paraId="5F188EA7" w14:textId="7AC03FDF" w:rsidR="00890E0B" w:rsidRDefault="00892F23" w:rsidP="00853ED6">
      <w:r>
        <w:t>Skalā no 1 līdz 5, kur 1</w:t>
      </w:r>
      <w:r w:rsidR="00B90EA8">
        <w:t xml:space="preserve"> nozīmē, ka Programmas ir neelastīgas, bet 5 </w:t>
      </w:r>
      <w:r w:rsidR="00661297">
        <w:rPr>
          <w:rFonts w:cstheme="minorHAnsi"/>
        </w:rPr>
        <w:t>–</w:t>
      </w:r>
      <w:r w:rsidR="00B90EA8">
        <w:rPr>
          <w:rFonts w:cstheme="minorHAnsi"/>
        </w:rPr>
        <w:t xml:space="preserve"> </w:t>
      </w:r>
      <w:r w:rsidR="00B90EA8">
        <w:t xml:space="preserve">ļoti elastīgas, vidējais finansējuma saņēmēju vērtējums par </w:t>
      </w:r>
      <w:r w:rsidR="005C219B">
        <w:t>Programm</w:t>
      </w:r>
      <w:r w:rsidR="00B90EA8">
        <w:t>u</w:t>
      </w:r>
      <w:r w:rsidR="00982565">
        <w:t xml:space="preserve"> spēj</w:t>
      </w:r>
      <w:r w:rsidR="00B90EA8">
        <w:t>u</w:t>
      </w:r>
      <w:r w:rsidR="00982565">
        <w:t xml:space="preserve"> pielāgoties projekta/-u mainī</w:t>
      </w:r>
      <w:r w:rsidR="00210F06">
        <w:t>gajām vajadzībā</w:t>
      </w:r>
      <w:r w:rsidR="006816C0">
        <w:t>m ir 3,3</w:t>
      </w:r>
      <w:r w:rsidR="00E260F0">
        <w:t>7</w:t>
      </w:r>
      <w:r w:rsidR="006816C0">
        <w:t>. Tas nozīmē, ka kopumā finansējuma saņēmēji Programmas vērtē kā drīzāk elastīgas</w:t>
      </w:r>
      <w:r w:rsidR="00631795">
        <w:t xml:space="preserve">. </w:t>
      </w:r>
    </w:p>
    <w:p w14:paraId="2B167D78" w14:textId="343166B0" w:rsidR="00853ED6" w:rsidRPr="000276B6" w:rsidRDefault="00853ED6" w:rsidP="00853ED6">
      <w:r>
        <w:t xml:space="preserve">PMIF demonstrēja ievērojamu elastību un spēju pielāgoties mainīgajām vajadzībām, ko apliecina vairāki būtiski pielāgojumi programmas īstenošanas gaitā. </w:t>
      </w:r>
      <w:r w:rsidR="00A5360F">
        <w:t>Piemēram, r</w:t>
      </w:r>
      <w:r>
        <w:t>eaģējot uz neplānotu migrācijas plūsmas pieaugumu, 2017. gadā tika palielināts finansējums specifiskajam mērķim "Patvērums" par 853</w:t>
      </w:r>
      <w:r w:rsidR="00C210FB">
        <w:t xml:space="preserve"> </w:t>
      </w:r>
      <w:r>
        <w:t xml:space="preserve">698 </w:t>
      </w:r>
      <w:r w:rsidR="00A5360F">
        <w:rPr>
          <w:i/>
          <w:iCs/>
        </w:rPr>
        <w:t>euro</w:t>
      </w:r>
      <w:r>
        <w:t>.</w:t>
      </w:r>
      <w:r w:rsidR="00A5360F">
        <w:rPr>
          <w:rStyle w:val="Vresatsauce"/>
        </w:rPr>
        <w:footnoteReference w:id="24"/>
      </w:r>
      <w:r>
        <w:t xml:space="preserve"> Vienlaikus tika veikta finansējuma pārdale no </w:t>
      </w:r>
      <w:r w:rsidR="003868D5">
        <w:t>SM</w:t>
      </w:r>
      <w:r w:rsidR="00415C2A">
        <w:t>2</w:t>
      </w:r>
      <w:r>
        <w:t>, samazinot to par 1</w:t>
      </w:r>
      <w:r w:rsidR="003868D5">
        <w:t> </w:t>
      </w:r>
      <w:r>
        <w:t>644</w:t>
      </w:r>
      <w:r w:rsidR="003868D5">
        <w:t xml:space="preserve"> </w:t>
      </w:r>
      <w:r>
        <w:t xml:space="preserve">652 </w:t>
      </w:r>
      <w:r w:rsidR="003868D5">
        <w:rPr>
          <w:i/>
          <w:iCs/>
        </w:rPr>
        <w:t>euro</w:t>
      </w:r>
      <w:r>
        <w:t>,</w:t>
      </w:r>
      <w:r w:rsidR="00415C2A">
        <w:t xml:space="preserve"> un piešķirot SM1 un SM3</w:t>
      </w:r>
      <w:r w:rsidR="00FD2E5B">
        <w:t>,</w:t>
      </w:r>
      <w:r>
        <w:t xml:space="preserve"> lai nodrošinātu nepieciešamos resursus pieaugošajam patvēruma meklētāju un aizturēto ārzemnieku skaitam.</w:t>
      </w:r>
      <w:r w:rsidR="00A46B00">
        <w:rPr>
          <w:rStyle w:val="Vresatsauce"/>
        </w:rPr>
        <w:footnoteReference w:id="25"/>
      </w:r>
    </w:p>
    <w:p w14:paraId="18D81DFE" w14:textId="331E2566" w:rsidR="00853ED6" w:rsidRDefault="00853ED6" w:rsidP="00853ED6">
      <w:r>
        <w:t>Programmas elastību apliecināja arī tās spēja pielāgoties C</w:t>
      </w:r>
      <w:r w:rsidR="00FD2E5B">
        <w:t>ovid</w:t>
      </w:r>
      <w:r>
        <w:t>-19 krīzei. Šajā periodā tika veikta visaptveroša risku izvērtēšana un pasākumu pārplānošana, ieviešot papildu nosacījumus projektu īstenošanā. Tika nodrošināti papildu aizsarglīdzekļi patvēruma meklētājiem, aizturētajiem ārzemniekiem un VRS darbiniekiem, pielāgotas virsstundu likmes, kā arī maksimāli daudz pasākumu pārplānoti attālinātā formātā.</w:t>
      </w:r>
      <w:r w:rsidR="00A46B00">
        <w:rPr>
          <w:rStyle w:val="Vresatsauce"/>
        </w:rPr>
        <w:footnoteReference w:id="26"/>
      </w:r>
    </w:p>
    <w:p w14:paraId="360351FF" w14:textId="41BDA1AF" w:rsidR="00853ED6" w:rsidRDefault="00853ED6" w:rsidP="00853ED6">
      <w:r>
        <w:t xml:space="preserve">Īpaši nozīmīga bija programmas spēja reaģēt uz Ukrainas krīzes radītajām vajadzībām. Šajā kontekstā tika veikta būtiska projektu pārplānošana, lai nodrošinātu pakalpojumu pieejamību ievērojami lielākam </w:t>
      </w:r>
      <w:r w:rsidR="002A46A0">
        <w:t>TVP</w:t>
      </w:r>
      <w:r>
        <w:t xml:space="preserve"> skaitam nekā sākotnēji plānots. Tika pārplānots finansējums latviešu valodas un integrācijas kursu nodrošināšanai, kas rezultējās būtiski augstākos rādītājos 2022. gadā salīdzinājumā ar iepriekšējiem īstenošanas gadiem.</w:t>
      </w:r>
      <w:r w:rsidR="00A46B00">
        <w:rPr>
          <w:rStyle w:val="Vresatsauce"/>
        </w:rPr>
        <w:footnoteReference w:id="27"/>
      </w:r>
    </w:p>
    <w:p w14:paraId="7941C834" w14:textId="542C6CC0" w:rsidR="00085B57" w:rsidRDefault="00085B57" w:rsidP="00853ED6">
      <w:r>
        <w:t>Arī</w:t>
      </w:r>
      <w:r w:rsidRPr="00085B57">
        <w:t xml:space="preserve"> ekspertu paneļa pārstāvji akcentē programmas elastību, lai nodrošinātu efektīvu krīžu pārvaldību. Piemēram, tika celta VRS kapacitāte, lai risinātu nelegālās migrācijas pieaugumu uz Latvijas robežas ar Baltkrieviju, kuru bez pieejamā fondu atbalsta nebūtu iespējams īstenot atbilstošā kvalitātē. Līdzīgi novērojumi attiecināmi arī uz atgriešanas pasākumiem, kur tika nodrošināta efektīva pielāgošanās krīzes situācijām un mainīgajām vajadzībām.</w:t>
      </w:r>
    </w:p>
    <w:p w14:paraId="7FDD3FDB" w14:textId="478F42F8" w:rsidR="00143135" w:rsidRDefault="00853ED6" w:rsidP="00143135">
      <w:r>
        <w:t>Programmas ietvaros tika nodrošināta arī efektīva resursu optimizācija. Ņemot vērā ierobežotos finanšu līdzekļus, tika pieņemti stratēģiski lēmumi par atsevišķu aktivitāšu atlikšanu, veikta finansējuma pārdale starp specifiskajiem mērķiem atbilstoši reālajai situācijai, kā arī nodrošināta elastīga pieeja projektu īstenošanā. Kopumā programma apliecināja savu spēju operatīvi reaģēt uz neparedzētām situācijām un krīzēm, vienlaikus saglabājot programmas efektivitāti un nodrošinot mērķu sasniegšanu mainīgajos apstākļos.</w:t>
      </w:r>
    </w:p>
    <w:p w14:paraId="261972BE" w14:textId="77777777" w:rsidR="00E715A0" w:rsidRDefault="00E715A0" w:rsidP="00E715A0">
      <w:r>
        <w:t>Attiecībā uz integrācijas aspektiem ekspertu paneļa pārstāvji norāda uz nepieciešamību, plānojot nākotnes pasākumus, ieviest elastīgāku pieeju integrācijas un valodas apmācības pasākumiem. Tas būtu jāveic, ņemot vērā mainīgās migrācijas plūsmas un mērķa grupas pārstāvju atšķirīgos kultūras un izglītības līmeņus, tostarp analfabētismu. Šādai pieejai būtu nepieciešama elastīgāka projektu noteikumu ieviešana, piemēram, ļaujot nodrošināt valodas apmācības A0 līmenī.</w:t>
      </w:r>
    </w:p>
    <w:p w14:paraId="7B7C811D" w14:textId="5BB59B07" w:rsidR="00F2610E" w:rsidRDefault="00E715A0" w:rsidP="00E715A0">
      <w:r>
        <w:t xml:space="preserve">Vienlaikus valodas apmācības pasākumi tiek vērtēti kā potenciāli noderīgi patvēruma meklētāju motivācijas veicināšanai uzturēties valstī ilgtermiņā. Taču, lai veicinātu pakalpojumu sniedzēju iesaisti latviešu valodas </w:t>
      </w:r>
      <w:r>
        <w:lastRenderedPageBreak/>
        <w:t>apmācības nodrošināšanā, būtu ieteicams paredzēt elastīgākas prasības attiecībā uz dalības nodrošināšanu apmācībās, ņemot vērā patvēruma meklētāju tendenci migrēt uz citām valstīm.</w:t>
      </w:r>
      <w:r w:rsidR="00435D24">
        <w:t xml:space="preserve"> </w:t>
      </w:r>
    </w:p>
    <w:p w14:paraId="65E7AB51" w14:textId="77777777" w:rsidR="00143135" w:rsidRPr="008F64A0" w:rsidRDefault="00143135" w:rsidP="00BF4167">
      <w:pPr>
        <w:pStyle w:val="Sarakstarindkopa"/>
        <w:numPr>
          <w:ilvl w:val="2"/>
          <w:numId w:val="42"/>
        </w:numPr>
        <w:rPr>
          <w:b/>
        </w:rPr>
      </w:pPr>
      <w:r w:rsidRPr="008F64A0">
        <w:rPr>
          <w:b/>
        </w:rPr>
        <w:t>Kritērijs “Saskaņotība”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4F0D32A0" w14:textId="77777777" w:rsidTr="00D40533">
        <w:tc>
          <w:tcPr>
            <w:tcW w:w="10252" w:type="dxa"/>
            <w:shd w:val="clear" w:color="auto" w:fill="82009B" w:themeFill="accent6"/>
          </w:tcPr>
          <w:p w14:paraId="03A43EE3" w14:textId="77777777" w:rsidR="00143135" w:rsidRPr="008F64A0" w:rsidRDefault="00143135" w:rsidP="00A239D8">
            <w:pPr>
              <w:rPr>
                <w:b/>
              </w:rPr>
            </w:pPr>
            <w:r w:rsidRPr="008F64A0">
              <w:rPr>
                <w:b/>
              </w:rPr>
              <w:t xml:space="preserve">Izvērtēšanas kritērija jautājums: </w:t>
            </w:r>
            <w:r w:rsidRPr="008F64A0">
              <w:rPr>
                <w:bCs/>
              </w:rPr>
              <w:t>Vai fonda valsts programmā izvirzītie mērķi saskanēja ar citās no ES līdzekļiem finansētajās programmās izvirzītajiem mērķiem un vai tie tika piemēroti līdzīgās darba jomās? Vai saskaņotība tika nodrošināta arī fonda īstenošanas laikā?</w:t>
            </w:r>
          </w:p>
        </w:tc>
      </w:tr>
    </w:tbl>
    <w:p w14:paraId="16708A13" w14:textId="77777777" w:rsidR="007A5359" w:rsidRPr="007A5359" w:rsidRDefault="007A5359" w:rsidP="007A5359">
      <w:pPr>
        <w:rPr>
          <w:rFonts w:cstheme="minorHAnsi"/>
        </w:rPr>
      </w:pPr>
      <w:r w:rsidRPr="007A5359">
        <w:rPr>
          <w:rFonts w:cstheme="minorHAnsi"/>
        </w:rPr>
        <w:t xml:space="preserve">Lai gan PMIF ietvaros īstenotās aktivitātes, īpaši atbildīgās iestādes pārraudzītajiem pasākumiem, bija nozarei specifiskas un tajos izvirzītajiem mērķiem nebija plaši pieejams atbalsts citu fondu programmu ietvaros, atsevišķos gadījumos ir identificējams savstarpējās saskaņotības aspekts ar citiem īstenotajiem pasākumiem. </w:t>
      </w:r>
    </w:p>
    <w:p w14:paraId="766DAB9A" w14:textId="32646620" w:rsidR="007A5359" w:rsidRPr="007A5359" w:rsidRDefault="007A5359" w:rsidP="007A5359">
      <w:pPr>
        <w:rPr>
          <w:rFonts w:cstheme="minorHAnsi"/>
        </w:rPr>
      </w:pPr>
      <w:r w:rsidRPr="007A5359">
        <w:rPr>
          <w:rFonts w:cstheme="minorHAnsi"/>
        </w:rPr>
        <w:t xml:space="preserve">Piemēram, PMIF aktivitātes ir bijušas saskanīgas ar Eiropas Sociālā fonda ietvaros īstenotajām aktivitātēm, kur projekta Nr. 9.1.4.4./16/I/001 “Dažādības veicināšana” ietvaros patvēruma meklētājiem (gan personām, kas pārvietotas </w:t>
      </w:r>
      <w:r w:rsidR="003450CB">
        <w:rPr>
          <w:rFonts w:cstheme="minorHAnsi"/>
        </w:rPr>
        <w:t>ES</w:t>
      </w:r>
      <w:r w:rsidRPr="007A5359">
        <w:rPr>
          <w:rFonts w:cstheme="minorHAnsi"/>
        </w:rPr>
        <w:t xml:space="preserve"> pārvietošanas programmas ietvaros, gan personām, kas ieradušās Latvijā patstāvīgi) un personām, kuras jau ieguvušas bēgļa vai alternatīvo statusu, kā arī Ukrainas civiliedzīvotājiem tika nodrošināti sociālā darbinieka un sociālā mentora pakalpojumi.</w:t>
      </w:r>
      <w:r w:rsidRPr="007A5359">
        <w:rPr>
          <w:rStyle w:val="Vresatsauce"/>
          <w:rFonts w:cstheme="minorHAnsi"/>
        </w:rPr>
        <w:footnoteReference w:id="28"/>
      </w:r>
      <w:r w:rsidRPr="007A5359">
        <w:rPr>
          <w:rFonts w:cstheme="minorHAnsi"/>
        </w:rPr>
        <w:t xml:space="preserve"> </w:t>
      </w:r>
    </w:p>
    <w:p w14:paraId="685D35B1" w14:textId="77777777" w:rsidR="007A5359" w:rsidRPr="00C83046" w:rsidRDefault="007A5359" w:rsidP="007A5359">
      <w:pPr>
        <w:rPr>
          <w:rFonts w:cstheme="minorHAnsi"/>
        </w:rPr>
      </w:pPr>
      <w:r w:rsidRPr="007A5359">
        <w:rPr>
          <w:rFonts w:cstheme="minorHAnsi"/>
        </w:rPr>
        <w:t>Papildu tam arī Nodarbinātības valsts aģentūra, piesaistot Eiropas Sociālā fonda līdzekļus, ir īstenojusi ar PMIF mērķiem saskanīgu projektu “Bēgļu un alternatīvo statusu ieguvušo personu integrācija Latvijas darba tirgū”</w:t>
      </w:r>
      <w:r w:rsidRPr="007A5359">
        <w:rPr>
          <w:rStyle w:val="Vresatsauce"/>
          <w:rFonts w:cstheme="minorHAnsi"/>
        </w:rPr>
        <w:footnoteReference w:id="29"/>
      </w:r>
      <w:r w:rsidRPr="007A5359">
        <w:rPr>
          <w:rFonts w:cstheme="minorHAnsi"/>
        </w:rPr>
        <w:t>. Tā mērķis ir bijis veicināt bēgļu un personu ar alternatīvo statusu iekārtošanos pastāvīgā darbā un iekļaušanos sabiedrībā, nodrošinot informatīvu atbalstu patvēruma meklētājiem par darba iespējām Latvijā, kā arī palīdzot bēgļiem un personām ar alternatīvo statusu atjaunot darba tirgum nepieciešamās prasmes un atrast darbu.</w:t>
      </w:r>
      <w:r w:rsidRPr="00C83046">
        <w:rPr>
          <w:rFonts w:cstheme="minorHAnsi"/>
        </w:rPr>
        <w:t xml:space="preserve"> </w:t>
      </w:r>
    </w:p>
    <w:p w14:paraId="4862DE1A" w14:textId="6AC2CCC9" w:rsidR="000C5705" w:rsidRDefault="006D01FF" w:rsidP="00783330">
      <w:pPr>
        <w:rPr>
          <w:rFonts w:cstheme="minorHAnsi"/>
        </w:rPr>
      </w:pPr>
      <w:r>
        <w:rPr>
          <w:rFonts w:cstheme="minorHAnsi"/>
        </w:rPr>
        <w:t>F</w:t>
      </w:r>
      <w:r w:rsidR="00FE040D">
        <w:rPr>
          <w:rFonts w:cstheme="minorHAnsi"/>
        </w:rPr>
        <w:t>inansējuma saņēmēj</w:t>
      </w:r>
      <w:r>
        <w:rPr>
          <w:rFonts w:cstheme="minorHAnsi"/>
        </w:rPr>
        <w:t>i norāda,</w:t>
      </w:r>
      <w:r w:rsidR="00FE040D">
        <w:rPr>
          <w:rFonts w:cstheme="minorHAnsi"/>
        </w:rPr>
        <w:t xml:space="preserve"> ka PMIF ietvaros īstenotās aktivitātes, piemēram, atbalsts patvēruma meklētājiem vai TVP integrācijas pasākumi 2014.-2020.</w:t>
      </w:r>
      <w:r w:rsidR="00FD2E5B">
        <w:rPr>
          <w:rFonts w:cstheme="minorHAnsi"/>
        </w:rPr>
        <w:t xml:space="preserve"> </w:t>
      </w:r>
      <w:r w:rsidR="00FE040D">
        <w:rPr>
          <w:rFonts w:cstheme="minorHAnsi"/>
        </w:rPr>
        <w:t>gada periodā</w:t>
      </w:r>
      <w:r w:rsidR="00B112EC">
        <w:rPr>
          <w:rFonts w:cstheme="minorHAnsi"/>
        </w:rPr>
        <w:t xml:space="preserve"> tika īstenoti tikai šīs Programmas ietvaros. Izņēmums ir atbalsta pasākumi Ukrainas civiliedzīvotājiem, kuriem plānošanas periodā beigās </w:t>
      </w:r>
      <w:r w:rsidR="00082765">
        <w:rPr>
          <w:rFonts w:cstheme="minorHAnsi"/>
        </w:rPr>
        <w:t>papildu bija pieejami arī valsts budžeta līdzekļi.</w:t>
      </w:r>
      <w:r>
        <w:rPr>
          <w:rFonts w:cstheme="minorHAnsi"/>
        </w:rPr>
        <w:t xml:space="preserve"> </w:t>
      </w:r>
    </w:p>
    <w:p w14:paraId="73032C41" w14:textId="268D935F" w:rsidR="00F3167A" w:rsidRDefault="005D4D1D" w:rsidP="00A603DF">
      <w:r>
        <w:t>S</w:t>
      </w:r>
      <w:r w:rsidR="004A6017">
        <w:t xml:space="preserve">avstarpēja saskaņotība dažādām aktivitātēm īstenota arī fonda ietvaros. Piemēram, </w:t>
      </w:r>
      <w:r w:rsidR="00527DCA">
        <w:t xml:space="preserve">VRS kapacitātes celšanas pasākumus </w:t>
      </w:r>
      <w:r w:rsidR="002954F9">
        <w:t xml:space="preserve">aizturēto ārzemnieku uzņemšanai un atgriešanas pasākumiem </w:t>
      </w:r>
      <w:r w:rsidR="00DC721F">
        <w:t xml:space="preserve">savstarpēji </w:t>
      </w:r>
      <w:r w:rsidR="002954F9">
        <w:t xml:space="preserve">papildināja </w:t>
      </w:r>
      <w:r w:rsidR="00B91298">
        <w:t xml:space="preserve">atbalsta aktivitātes brīvprātīgās atgriešanās nodrošināšanai. </w:t>
      </w:r>
      <w:r w:rsidR="00160D7A">
        <w:t>Savukārt</w:t>
      </w:r>
      <w:r w:rsidR="00D21A98">
        <w:t xml:space="preserve"> </w:t>
      </w:r>
      <w:r w:rsidR="00B91298">
        <w:t>integrācijas pasākumu ietvaros</w:t>
      </w:r>
      <w:r w:rsidR="00D21A98">
        <w:t xml:space="preserve">, piemēram, </w:t>
      </w:r>
      <w:r w:rsidR="00D30BED">
        <w:t xml:space="preserve">biedrība “Drošā māja” īstenoja vairākus projektus ar savstarpēji saskanīgām un papildinošām aktivitātēm — gan vienotā informācijas centra darbības nodrošināšanu, gan </w:t>
      </w:r>
      <w:r>
        <w:t xml:space="preserve">juridiskā atbalsta sniegšana, gan integrācijas kursu īstenošanu.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21736AB1" w14:textId="77777777" w:rsidTr="00107F75">
        <w:tc>
          <w:tcPr>
            <w:tcW w:w="10252" w:type="dxa"/>
            <w:shd w:val="clear" w:color="auto" w:fill="F3B8FF" w:themeFill="accent6" w:themeFillTint="33"/>
          </w:tcPr>
          <w:p w14:paraId="0E3BA69C" w14:textId="77777777" w:rsidR="00143135" w:rsidRPr="008F64A0" w:rsidRDefault="00143135" w:rsidP="00A239D8">
            <w:pPr>
              <w:rPr>
                <w:i/>
                <w:iCs/>
                <w:color w:val="5A5A5A" w:themeColor="accent1" w:themeTint="BF"/>
              </w:rPr>
            </w:pPr>
            <w:r w:rsidRPr="008F64A0">
              <w:rPr>
                <w:i/>
                <w:iCs/>
                <w:color w:val="5A5A5A" w:themeColor="accent1" w:themeTint="BF"/>
              </w:rPr>
              <w:t>Apakšjautājums: Vai programmu veidošanas laikā tika veikta un ņemta vērā citu pasākumu izvērtēšana, kuru mērķis bija līdzīgs?</w:t>
            </w:r>
          </w:p>
        </w:tc>
      </w:tr>
    </w:tbl>
    <w:p w14:paraId="435F5119" w14:textId="4404C17B" w:rsidR="00EA56C6" w:rsidRDefault="003A3BB3" w:rsidP="00D9084A">
      <w:r>
        <w:t xml:space="preserve">PMIF </w:t>
      </w:r>
      <w:r w:rsidRPr="003A3BB3">
        <w:t xml:space="preserve">nacionālās programmas </w:t>
      </w:r>
      <w:r>
        <w:t>satura saskaņošana</w:t>
      </w:r>
      <w:r w:rsidRPr="003A3BB3">
        <w:t xml:space="preserve"> tika nodrošināta</w:t>
      </w:r>
      <w:r>
        <w:t xml:space="preserve"> IeM</w:t>
      </w:r>
      <w:r w:rsidRPr="003A3BB3">
        <w:t xml:space="preserve"> valsts sekretāra līmenī, kas ļāva </w:t>
      </w:r>
      <w:r>
        <w:t xml:space="preserve">ne tikai </w:t>
      </w:r>
      <w:r w:rsidRPr="003A3BB3">
        <w:t>pārliecināties par programmas atbilstību kopējam nozares attīstības virzienam un prioritātēm</w:t>
      </w:r>
      <w:r>
        <w:t>, bet arī</w:t>
      </w:r>
      <w:r w:rsidRPr="003A3BB3">
        <w:t xml:space="preserve"> izvērtēt </w:t>
      </w:r>
      <w:r w:rsidR="009876B4">
        <w:t>tā</w:t>
      </w:r>
      <w:r w:rsidRPr="003A3BB3">
        <w:t>s saskaņotīb</w:t>
      </w:r>
      <w:r>
        <w:t>u</w:t>
      </w:r>
      <w:r w:rsidRPr="003A3BB3">
        <w:t xml:space="preserve"> ar citām līdzīgām iniciatīvām un pasākumiem nozarē.</w:t>
      </w:r>
    </w:p>
    <w:p w14:paraId="3A33D439" w14:textId="78527585" w:rsidR="004778CA" w:rsidRDefault="007635CB" w:rsidP="00D9084A">
      <w:r>
        <w:t xml:space="preserve">Lai nodrošinātu dažādu pasākumu savstarpējo saskaņotību </w:t>
      </w:r>
      <w:r w:rsidR="00567BE2">
        <w:t>UK</w:t>
      </w:r>
      <w:r>
        <w:t xml:space="preserve"> līdzdarbojās pārstāvji no Finanšu </w:t>
      </w:r>
      <w:r w:rsidR="00DB6889">
        <w:t>m</w:t>
      </w:r>
      <w:r>
        <w:t xml:space="preserve">inistrijas, Labklājības </w:t>
      </w:r>
      <w:r w:rsidR="00DB6889">
        <w:t>m</w:t>
      </w:r>
      <w:r>
        <w:t>inistrijas un citām ministrijām,</w:t>
      </w:r>
      <w:r w:rsidR="00107B05">
        <w:t xml:space="preserve"> kas deva iespēju identificēt citus </w:t>
      </w:r>
      <w:r w:rsidR="002122FB">
        <w:t xml:space="preserve">pasākumus ar </w:t>
      </w:r>
      <w:r w:rsidR="002122FB">
        <w:lastRenderedPageBreak/>
        <w:t>līdzīgu mērķi</w:t>
      </w:r>
      <w:r w:rsidR="00107B05">
        <w:t xml:space="preserve">. Tomēr, kā </w:t>
      </w:r>
      <w:r w:rsidR="00093A8D">
        <w:t xml:space="preserve">norāda </w:t>
      </w:r>
      <w:r w:rsidR="00DB6889">
        <w:t>atbildīgās iestādes pārstāvji, PMIF īstenotajām aktivitātēm pieejamais atbalsts lielākoties bijis nozare</w:t>
      </w:r>
      <w:r w:rsidR="00F3544B">
        <w:t>i</w:t>
      </w:r>
      <w:r w:rsidR="00DB6889">
        <w:t xml:space="preserve"> specifisks, tādēļ papildu saskaņotība ar citiem finanšu instrumentiem ir bijusi ierobežota. </w:t>
      </w:r>
    </w:p>
    <w:p w14:paraId="56450B62" w14:textId="6F2E0C92" w:rsidR="00D9084A" w:rsidRPr="00C54786" w:rsidRDefault="00DB6889" w:rsidP="00D9084A">
      <w:r>
        <w:t xml:space="preserve">Vienlaikus projektu </w:t>
      </w:r>
      <w:r w:rsidR="00497E49">
        <w:t xml:space="preserve">iesniegumu formās finansējuma saņēmējiem bija jāiekļauj informācija par </w:t>
      </w:r>
      <w:r w:rsidR="00BC039C">
        <w:t xml:space="preserve">citiem </w:t>
      </w:r>
      <w:r w:rsidR="00F3544B">
        <w:t xml:space="preserve">to </w:t>
      </w:r>
      <w:r w:rsidR="00BC039C">
        <w:t xml:space="preserve">īstenotajiem projektiem. Tas kalpoja kā mehānisms </w:t>
      </w:r>
      <w:r w:rsidR="00616563">
        <w:t>citu īstenoto</w:t>
      </w:r>
      <w:r w:rsidR="00F25358">
        <w:t xml:space="preserve"> aktivitāšu identificēšanai, kā arī dažādu </w:t>
      </w:r>
      <w:r w:rsidR="00F25358" w:rsidRPr="00F25358">
        <w:t>finansējuma</w:t>
      </w:r>
      <w:r w:rsidR="00F25358">
        <w:t xml:space="preserve"> avotu</w:t>
      </w:r>
      <w:r w:rsidR="00F25358" w:rsidRPr="00F25358">
        <w:t xml:space="preserve"> un</w:t>
      </w:r>
      <w:r w:rsidR="00C54786">
        <w:t xml:space="preserve"> īstenoto</w:t>
      </w:r>
      <w:r w:rsidR="00F25358" w:rsidRPr="00F25358">
        <w:t xml:space="preserve"> projektu nepārklāšanās</w:t>
      </w:r>
      <w:r w:rsidR="00C54786">
        <w:t xml:space="preserve"> pārbaudei.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47698D75" w14:textId="77777777" w:rsidTr="00107F75">
        <w:tc>
          <w:tcPr>
            <w:tcW w:w="10252" w:type="dxa"/>
            <w:shd w:val="clear" w:color="auto" w:fill="F3B8FF" w:themeFill="accent6" w:themeFillTint="33"/>
          </w:tcPr>
          <w:p w14:paraId="5C97D23E" w14:textId="77777777" w:rsidR="00143135" w:rsidRPr="008F64A0" w:rsidRDefault="00143135" w:rsidP="00A239D8">
            <w:pPr>
              <w:rPr>
                <w:i/>
                <w:iCs/>
                <w:color w:val="5A5A5A" w:themeColor="accent1" w:themeTint="BF"/>
              </w:rPr>
            </w:pPr>
            <w:r w:rsidRPr="008F64A0">
              <w:rPr>
                <w:i/>
                <w:iCs/>
                <w:color w:val="5A5A5A" w:themeColor="accent1" w:themeTint="BF"/>
              </w:rPr>
              <w:t>Apakšjautājums: Vai uz īstenošanas laiku starp fondu un citiem pasākumiem, kuru mērķis bija līdzīgs, tika izveidoti koordinācijas mehānismi?</w:t>
            </w:r>
          </w:p>
        </w:tc>
      </w:tr>
    </w:tbl>
    <w:p w14:paraId="34C4431F" w14:textId="015BA232" w:rsidR="00C2289F" w:rsidRDefault="00C2289F" w:rsidP="00D9084A">
      <w:pPr>
        <w:rPr>
          <w:rFonts w:cstheme="minorHAnsi"/>
        </w:rPr>
      </w:pPr>
      <w:r>
        <w:rPr>
          <w:rFonts w:cstheme="minorHAnsi"/>
        </w:rPr>
        <w:t xml:space="preserve">Kā norāda atbildīgā iestāde, iekšlietu sektora iestādēm </w:t>
      </w:r>
      <w:r w:rsidR="008C37B4">
        <w:rPr>
          <w:rFonts w:cstheme="minorHAnsi"/>
        </w:rPr>
        <w:t>ir jāiesniedz</w:t>
      </w:r>
      <w:r>
        <w:rPr>
          <w:rFonts w:cstheme="minorHAnsi"/>
        </w:rPr>
        <w:t xml:space="preserve"> informāciju par visiem projektu konkursiem, kuros tā</w:t>
      </w:r>
      <w:r w:rsidR="008C37B4">
        <w:rPr>
          <w:rFonts w:cstheme="minorHAnsi"/>
        </w:rPr>
        <w:t>s</w:t>
      </w:r>
      <w:r>
        <w:rPr>
          <w:rFonts w:cstheme="minorHAnsi"/>
        </w:rPr>
        <w:t xml:space="preserve"> plāno iesniegt pieteikumus, tai skaitā,</w:t>
      </w:r>
      <w:r w:rsidR="008C37B4">
        <w:rPr>
          <w:rFonts w:cstheme="minorHAnsi"/>
        </w:rPr>
        <w:t xml:space="preserve"> norādot plānotās aktivitātes</w:t>
      </w:r>
      <w:r>
        <w:rPr>
          <w:rFonts w:cstheme="minorHAnsi"/>
        </w:rPr>
        <w:t>. Tas sniedz iespēju nozares ietvaros uzraudzīt, piemēram, lai vairākas iestādes neplāno vienādas aktivitātes</w:t>
      </w:r>
      <w:r w:rsidR="00647C82">
        <w:rPr>
          <w:rFonts w:cstheme="minorHAnsi"/>
        </w:rPr>
        <w:t xml:space="preserve"> un izvērtēt, vai </w:t>
      </w:r>
      <w:r w:rsidR="00A96F53">
        <w:rPr>
          <w:rFonts w:cstheme="minorHAnsi"/>
        </w:rPr>
        <w:t xml:space="preserve">tās </w:t>
      </w:r>
      <w:r>
        <w:rPr>
          <w:rFonts w:cstheme="minorHAnsi"/>
        </w:rPr>
        <w:t>optimālāk būtu īstenot vienoti</w:t>
      </w:r>
      <w:r w:rsidR="00A96F53">
        <w:rPr>
          <w:rFonts w:cstheme="minorHAnsi"/>
        </w:rPr>
        <w:t xml:space="preserve"> vairākām iestādēm</w:t>
      </w:r>
      <w:r>
        <w:rPr>
          <w:rFonts w:cstheme="minorHAnsi"/>
        </w:rPr>
        <w:t>,</w:t>
      </w:r>
      <w:r w:rsidR="00A96F53">
        <w:rPr>
          <w:rFonts w:cstheme="minorHAnsi"/>
        </w:rPr>
        <w:t xml:space="preserve"> kā arī,</w:t>
      </w:r>
      <w:r>
        <w:rPr>
          <w:rFonts w:cstheme="minorHAnsi"/>
        </w:rPr>
        <w:t xml:space="preserve"> vai ir plānotas kādas savstarpēji papildinošas vai tieši otrādi — pretēji vērstas aktivitātes. Tādējādi tika nodrošināta vienota pārraudzība un veicināta saskaņotība dažādu finanšu instrumentu un īstenoto aktivitāšu starpā.</w:t>
      </w:r>
    </w:p>
    <w:p w14:paraId="3A5325A6" w14:textId="76FBB95F" w:rsidR="00C2289F" w:rsidRDefault="00C75F2D" w:rsidP="00D9084A">
      <w:pPr>
        <w:rPr>
          <w:rFonts w:cstheme="minorHAnsi"/>
        </w:rPr>
      </w:pPr>
      <w:r>
        <w:rPr>
          <w:rFonts w:cstheme="minorHAnsi"/>
        </w:rPr>
        <w:t xml:space="preserve">Papildu tam, </w:t>
      </w:r>
      <w:r w:rsidR="005A0A05">
        <w:rPr>
          <w:rFonts w:cstheme="minorHAnsi"/>
        </w:rPr>
        <w:t xml:space="preserve">tika izveidoti </w:t>
      </w:r>
      <w:r>
        <w:rPr>
          <w:rFonts w:cstheme="minorHAnsi"/>
        </w:rPr>
        <w:t xml:space="preserve">arī </w:t>
      </w:r>
      <w:r w:rsidR="005A0A05">
        <w:rPr>
          <w:rFonts w:cstheme="minorHAnsi"/>
        </w:rPr>
        <w:t xml:space="preserve">divi </w:t>
      </w:r>
      <w:r>
        <w:rPr>
          <w:rFonts w:cstheme="minorHAnsi"/>
        </w:rPr>
        <w:t>institucionāli uzraudzības un koordinācijas mehānism</w:t>
      </w:r>
      <w:r w:rsidR="005A0A05">
        <w:rPr>
          <w:rFonts w:cstheme="minorHAnsi"/>
        </w:rPr>
        <w:t xml:space="preserve">i — </w:t>
      </w:r>
      <w:r w:rsidR="00567BE2">
        <w:rPr>
          <w:rFonts w:cstheme="minorHAnsi"/>
        </w:rPr>
        <w:t>UK</w:t>
      </w:r>
      <w:r w:rsidR="005A0A05">
        <w:rPr>
          <w:rFonts w:cstheme="minorHAnsi"/>
        </w:rPr>
        <w:t xml:space="preserve"> un Projektu uzraudzības padome. </w:t>
      </w:r>
      <w:r w:rsidR="00567BE2">
        <w:rPr>
          <w:rFonts w:cstheme="minorHAnsi"/>
        </w:rPr>
        <w:t>UK</w:t>
      </w:r>
      <w:r w:rsidR="005A0A05">
        <w:rPr>
          <w:rFonts w:cstheme="minorHAnsi"/>
        </w:rPr>
        <w:t xml:space="preserve">, kas ietvēra pārstāvjus arī no citu nozaru ministrijām kalpoja par mehānismu </w:t>
      </w:r>
      <w:r w:rsidR="00A52900">
        <w:rPr>
          <w:rFonts w:cstheme="minorHAnsi"/>
        </w:rPr>
        <w:t>stratēģiskajai pārraudzībai, nodrošinot dažādu aktivitāšu nepārklāšanos. Savukārt Projektu uzraudzība</w:t>
      </w:r>
      <w:r w:rsidR="005D2A53">
        <w:rPr>
          <w:rFonts w:cstheme="minorHAnsi"/>
        </w:rPr>
        <w:t xml:space="preserve">s padome </w:t>
      </w:r>
      <w:r w:rsidR="00BC69C6">
        <w:rPr>
          <w:rFonts w:cstheme="minorHAnsi"/>
        </w:rPr>
        <w:t xml:space="preserve">kalpoja kā mehānisms, lai </w:t>
      </w:r>
      <w:r w:rsidR="00BC69C6" w:rsidRPr="00BC69C6">
        <w:rPr>
          <w:rFonts w:cstheme="minorHAnsi"/>
        </w:rPr>
        <w:t xml:space="preserve">nodrošinātu Latvijas iekšlietu nozares attīstībai stratēģiski nozīmīgu projektu uzraudzību </w:t>
      </w:r>
      <w:r w:rsidR="00BC69C6">
        <w:rPr>
          <w:rFonts w:cstheme="minorHAnsi"/>
        </w:rPr>
        <w:t>ES</w:t>
      </w:r>
      <w:r w:rsidR="00BC69C6" w:rsidRPr="00BC69C6">
        <w:rPr>
          <w:rFonts w:cstheme="minorHAnsi"/>
        </w:rPr>
        <w:t xml:space="preserve"> fondu, Attīstības sadarbības programmas, divpusējo un daudzpusējo finanšu instrumentu ietvaros</w:t>
      </w:r>
      <w:r w:rsidR="00BC69C6">
        <w:rPr>
          <w:rFonts w:cstheme="minorHAnsi"/>
        </w:rPr>
        <w:t>.</w:t>
      </w:r>
      <w:r w:rsidR="00BC69C6">
        <w:rPr>
          <w:rStyle w:val="Vresatsauce"/>
          <w:rFonts w:cstheme="minorHAnsi"/>
        </w:rPr>
        <w:footnoteReference w:id="30"/>
      </w:r>
      <w:r w:rsidR="00743348">
        <w:rPr>
          <w:rFonts w:cstheme="minorHAnsi"/>
        </w:rPr>
        <w:t xml:space="preserve"> Tās ietvaros tika pārrunāti iekšlietu nozares ietvaros īstenoto projektu progress, tai skaitā, to potenciālā saskanība vai papildinātība ar citiem instrumentiem.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44D20F91" w14:textId="77777777" w:rsidTr="00107F75">
        <w:tc>
          <w:tcPr>
            <w:tcW w:w="10252" w:type="dxa"/>
            <w:shd w:val="clear" w:color="auto" w:fill="F3B8FF" w:themeFill="accent6" w:themeFillTint="33"/>
          </w:tcPr>
          <w:p w14:paraId="2A9F8585" w14:textId="77777777" w:rsidR="00143135" w:rsidRPr="008F64A0" w:rsidRDefault="00143135" w:rsidP="00A239D8">
            <w:pPr>
              <w:rPr>
                <w:i/>
                <w:iCs/>
                <w:color w:val="5A5A5A" w:themeColor="accent1" w:themeTint="BF"/>
              </w:rPr>
            </w:pPr>
            <w:r w:rsidRPr="008F64A0">
              <w:rPr>
                <w:i/>
                <w:iCs/>
                <w:color w:val="5A5A5A" w:themeColor="accent1" w:themeTint="BF"/>
              </w:rPr>
              <w:t>Apakšjautājums: Vai ar fonda palīdzību īstenotās darbības bija saskanīgas ar citiem pasākumiem, kuru mērķis bija līdzīgs, un vai tās nebija pretrunīgas?</w:t>
            </w:r>
          </w:p>
        </w:tc>
      </w:tr>
    </w:tbl>
    <w:p w14:paraId="4AA85BF7" w14:textId="77777777" w:rsidR="00775BD6" w:rsidRDefault="00775BD6" w:rsidP="00C75F2D">
      <w:pPr>
        <w:rPr>
          <w:bCs/>
        </w:rPr>
      </w:pPr>
      <w:r w:rsidRPr="00775BD6">
        <w:rPr>
          <w:bCs/>
        </w:rPr>
        <w:t>Finansējuma saņēmēji un UK pārstāvji norāda, ka, plānojot nozarei un iestādei nepieciešamos pasākumus, tiek veikts sistemātisks izvērtējums par dažādu finansējuma avotu piemērotību konkrētām darbībām. Tādējādi finansējuma saņēmēju līmenī darbības tiek īstenotas, balstoties uz stratēģisku un plānveidīgu pieeju. Pasākumi, kas tiek finansēti no dažādiem atbalsta mehānismiem, veido vienotu stratēģiskā redzējuma elementu kopumu, tādējādi nodrošinot aktivitāšu savstarpējo saskaņotību un papildināmību.</w:t>
      </w:r>
    </w:p>
    <w:p w14:paraId="531BE1E5" w14:textId="65B0CCA9" w:rsidR="00C75F2D" w:rsidRDefault="009D6A0E" w:rsidP="00C75F2D">
      <w:pPr>
        <w:rPr>
          <w:bCs/>
        </w:rPr>
      </w:pPr>
      <w:r>
        <w:rPr>
          <w:bCs/>
        </w:rPr>
        <w:t>Izvērtējuma ietvaros</w:t>
      </w:r>
      <w:r w:rsidR="002D1C44" w:rsidRPr="00EA56C6">
        <w:rPr>
          <w:bCs/>
        </w:rPr>
        <w:t xml:space="preserve"> nav gūti </w:t>
      </w:r>
      <w:r w:rsidR="006E018F">
        <w:rPr>
          <w:bCs/>
        </w:rPr>
        <w:t xml:space="preserve">pierādījumi par pretrunīgu pasākumu īstenošanu ne fonda ietvaros, ne attiecībā uz citiem pasākumiem. </w:t>
      </w:r>
    </w:p>
    <w:p w14:paraId="64FFE346" w14:textId="31E5AC9D" w:rsidR="00143135" w:rsidRPr="008F64A0" w:rsidRDefault="00143135" w:rsidP="00BF4167">
      <w:pPr>
        <w:pStyle w:val="Sarakstarindkopa"/>
        <w:numPr>
          <w:ilvl w:val="2"/>
          <w:numId w:val="42"/>
        </w:numPr>
        <w:rPr>
          <w:b/>
        </w:rPr>
      </w:pPr>
      <w:r w:rsidRPr="008F64A0">
        <w:rPr>
          <w:b/>
        </w:rPr>
        <w:t>Kritērijs “Papildināmība”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008E4120" w14:textId="77777777" w:rsidTr="00D40533">
        <w:tc>
          <w:tcPr>
            <w:tcW w:w="10252" w:type="dxa"/>
            <w:shd w:val="clear" w:color="auto" w:fill="82009B" w:themeFill="accent6"/>
          </w:tcPr>
          <w:p w14:paraId="47BEDF6D" w14:textId="77777777" w:rsidR="00143135" w:rsidRPr="008F64A0" w:rsidRDefault="00143135" w:rsidP="00A239D8">
            <w:pPr>
              <w:rPr>
                <w:b/>
              </w:rPr>
            </w:pPr>
            <w:r w:rsidRPr="008F64A0">
              <w:rPr>
                <w:b/>
              </w:rPr>
              <w:t xml:space="preserve">Izvērtēšanas kritērija jautājums: </w:t>
            </w:r>
            <w:r w:rsidRPr="008F64A0">
              <w:rPr>
                <w:bCs/>
              </w:rPr>
              <w:t>Vai valsts programmā izvirzītie mērķi un atbilstīgās īstenošanas darbības papildināja tās, kas bija aizvirzītas citu politikas jomu satvarā, jo īpaši tās, kuras bija izvirzījusi dalībvalsts?</w:t>
            </w:r>
          </w:p>
        </w:tc>
      </w:tr>
    </w:tbl>
    <w:p w14:paraId="473946E1" w14:textId="16D5093B" w:rsidR="00130909" w:rsidRPr="00130909" w:rsidRDefault="00130909" w:rsidP="00130909">
      <w:r w:rsidRPr="00130909">
        <w:t>PMIF nacionālā programma un tās mērķi ir saskaņoti ar vairākiem nozīmīgiem valsts politikas plānošanas dokumentiem, nodrošinot savstarpēju papildinā</w:t>
      </w:r>
      <w:r w:rsidR="0051542A">
        <w:t>t</w:t>
      </w:r>
      <w:r w:rsidRPr="00130909">
        <w:t>ību dažādos līmeņos.</w:t>
      </w:r>
    </w:p>
    <w:p w14:paraId="7B60F6CF" w14:textId="4D69729F" w:rsidR="00130909" w:rsidRPr="00130909" w:rsidRDefault="00130909" w:rsidP="00130909">
      <w:r w:rsidRPr="00BC07AE">
        <w:lastRenderedPageBreak/>
        <w:t>Iekšlietu nozares s</w:t>
      </w:r>
      <w:r w:rsidRPr="00130909">
        <w:t xml:space="preserve">tratēģiskās attīstības līmenī PMIF papildina </w:t>
      </w:r>
      <w:r w:rsidR="00E21F41">
        <w:t>IeM</w:t>
      </w:r>
      <w:r w:rsidRPr="00130909">
        <w:t xml:space="preserve"> darbības stratēģijas, kas secīgi aptver periodus 2017.-2019., 2020.-2022. un 2023.-2027. gadam. PMIF nacionālās programmas plānotās aktivitātes un darbības ir integrētas </w:t>
      </w:r>
      <w:r w:rsidR="00E21F41">
        <w:t>IeM</w:t>
      </w:r>
      <w:r w:rsidRPr="00130909">
        <w:t xml:space="preserve"> darbības stratēģijā kā sasniedzamie rezultāti, tādējādi veicinot kopējo</w:t>
      </w:r>
      <w:r w:rsidR="00FC72E2" w:rsidRPr="00BC07AE">
        <w:t xml:space="preserve"> iekšlietu nozares</w:t>
      </w:r>
      <w:r w:rsidRPr="00130909">
        <w:t xml:space="preserve"> stratēģisko mērķu sasniegšanu.</w:t>
      </w:r>
    </w:p>
    <w:p w14:paraId="51E95191" w14:textId="5B5BDD7A" w:rsidR="00130909" w:rsidRPr="00130909" w:rsidRDefault="00130909" w:rsidP="00130909">
      <w:r w:rsidRPr="00130909">
        <w:t>PMIF nacionālā programma papildina arī</w:t>
      </w:r>
      <w:r w:rsidR="00FC72E2" w:rsidRPr="00BC07AE">
        <w:t xml:space="preserve"> pasākumu</w:t>
      </w:r>
      <w:r w:rsidRPr="00130909">
        <w:t xml:space="preserve"> īstenošanā iesaistīto iestāžu stratēģiskās attīstības plānus, </w:t>
      </w:r>
      <w:r w:rsidRPr="00BC07AE">
        <w:t>piemēram,</w:t>
      </w:r>
      <w:r w:rsidRPr="00130909">
        <w:t xml:space="preserve"> </w:t>
      </w:r>
      <w:r w:rsidR="0063083B">
        <w:t>VRS</w:t>
      </w:r>
      <w:r w:rsidRPr="00130909">
        <w:t xml:space="preserve"> stratēģijas 2014.-2016. gadam un 2017.-2019. gadam, kā arī </w:t>
      </w:r>
      <w:r w:rsidR="005A37F3">
        <w:t>PMLP</w:t>
      </w:r>
      <w:r w:rsidRPr="00130909">
        <w:t xml:space="preserve"> stratēģiju 2017.-2019.</w:t>
      </w:r>
      <w:r w:rsidR="007156B8">
        <w:t xml:space="preserve"> </w:t>
      </w:r>
      <w:r w:rsidR="00F8007C" w:rsidRPr="00BC07AE">
        <w:t xml:space="preserve">gadam. </w:t>
      </w:r>
    </w:p>
    <w:p w14:paraId="7EEB16F1" w14:textId="34864219" w:rsidR="00130909" w:rsidRPr="00130909" w:rsidRDefault="00F8007C" w:rsidP="00130909">
      <w:r w:rsidRPr="00BC07AE">
        <w:t>Arī n</w:t>
      </w:r>
      <w:r w:rsidR="00130909" w:rsidRPr="00130909">
        <w:t xml:space="preserve">acionālā līmeņa plānošanas dokumentu kontekstā PMIF veicina tajos definēto mērķu sasniegšanu. Tas attiecas uz Latvijas Republikas valsts robežas integrētās pārvaldības </w:t>
      </w:r>
      <w:r w:rsidR="00CF33F4">
        <w:t>koncepcij</w:t>
      </w:r>
      <w:r w:rsidR="00130909" w:rsidRPr="00130909">
        <w:t>u 2013.-2018. gadam</w:t>
      </w:r>
      <w:r w:rsidR="00C8776E">
        <w:t xml:space="preserve"> un</w:t>
      </w:r>
      <w:r w:rsidR="00130909" w:rsidRPr="00130909">
        <w:t xml:space="preserve"> </w:t>
      </w:r>
      <w:r w:rsidR="00CF33F4">
        <w:t xml:space="preserve">plānu </w:t>
      </w:r>
      <w:r w:rsidR="00130909" w:rsidRPr="00130909">
        <w:t xml:space="preserve">2019.-2020. gadam, īpaši atgriešanas jomā un </w:t>
      </w:r>
      <w:r w:rsidR="002A46A0">
        <w:t>TVP</w:t>
      </w:r>
      <w:r w:rsidR="00130909" w:rsidRPr="00130909">
        <w:t xml:space="preserve"> atgriešanas nodrošināšanā. Tāpat PMIF sekmē Nacionālās identitātes, pilsoniskās sabiedrības un integrācijas politikas īstenošanas plāna 2019.-2020. gadam mērķu sasniegšanu. </w:t>
      </w:r>
      <w:r w:rsidR="00BC07AE" w:rsidRPr="00BC07AE">
        <w:t>Vienlaikus</w:t>
      </w:r>
      <w:r w:rsidR="00130909" w:rsidRPr="00130909">
        <w:t xml:space="preserve"> PMIF </w:t>
      </w:r>
      <w:r w:rsidR="00130909" w:rsidRPr="00BC07AE">
        <w:t>ir sekmējusi</w:t>
      </w:r>
      <w:r w:rsidR="00130909" w:rsidRPr="00130909">
        <w:t xml:space="preserve"> Rīcības plān</w:t>
      </w:r>
      <w:r w:rsidR="00130909" w:rsidRPr="00BC07AE">
        <w:t>a</w:t>
      </w:r>
      <w:r w:rsidR="00130909" w:rsidRPr="00130909">
        <w:t xml:space="preserve"> starptautiskās aizsardzības personu pārvietošanai un uzņemšanai Latvijā</w:t>
      </w:r>
      <w:r w:rsidR="00130909" w:rsidRPr="00BC07AE">
        <w:t xml:space="preserve"> ieviešanu.</w:t>
      </w:r>
    </w:p>
    <w:p w14:paraId="1BDC11A4" w14:textId="758B3426" w:rsidR="00130909" w:rsidRPr="00130909" w:rsidRDefault="00130909" w:rsidP="00130909">
      <w:r w:rsidRPr="00130909">
        <w:t xml:space="preserve">Patvēruma jomā PMIF </w:t>
      </w:r>
      <w:r w:rsidR="005F1089" w:rsidRPr="00BC07AE">
        <w:t>ir atbalstījis</w:t>
      </w:r>
      <w:r w:rsidRPr="00130909">
        <w:t xml:space="preserve"> Patvēruma likumā un Juridiskās palīdzības likumā noteikto patvēruma meklētāju tiesību īstenošanu, vienlaikus </w:t>
      </w:r>
      <w:r w:rsidR="005F1089" w:rsidRPr="00BC07AE">
        <w:t>nodrošinot saskaņotību</w:t>
      </w:r>
      <w:r w:rsidRPr="00130909">
        <w:t xml:space="preserve"> ar</w:t>
      </w:r>
      <w:r w:rsidR="005F1089" w:rsidRPr="00BC07AE">
        <w:t>ī ar</w:t>
      </w:r>
      <w:r w:rsidRPr="00130909">
        <w:t xml:space="preserve"> valdības deklarācijas mērķiem par kontrolētu migrācijas un patvēruma politiku</w:t>
      </w:r>
      <w:r w:rsidR="00970F01" w:rsidRPr="00BC07AE">
        <w:t>, piemēram,</w:t>
      </w:r>
      <w:r w:rsidR="00B216D8" w:rsidRPr="00BC07AE">
        <w:t xml:space="preserve"> deklarāci</w:t>
      </w:r>
      <w:r w:rsidR="00C824DF" w:rsidRPr="00BC07AE">
        <w:t>jā</w:t>
      </w:r>
      <w:r w:rsidR="00B216D8" w:rsidRPr="00BC07AE">
        <w:t xml:space="preserve"> par Laimdotas Straujumas vadītā Ministru kabineta iecerēto darbību īstenošanu</w:t>
      </w:r>
      <w:r w:rsidR="00C824DF" w:rsidRPr="00BC07AE">
        <w:t xml:space="preserve"> ietverto punktu “Īstenosim stingru un kontrolētu migrācijas un patvēruma politiku. Nodrošināsim robežkontroles sistēmas efektivitātes paaugstināšanu”</w:t>
      </w:r>
      <w:r w:rsidR="009B4C91" w:rsidRPr="00BC07AE">
        <w:rPr>
          <w:rStyle w:val="Vresatsauce"/>
        </w:rPr>
        <w:footnoteReference w:id="31"/>
      </w:r>
      <w:r w:rsidR="00B216D8" w:rsidRPr="00BC07AE">
        <w:t>.</w:t>
      </w:r>
    </w:p>
    <w:p w14:paraId="649D7E3E" w14:textId="71FCC53A" w:rsidR="00130909" w:rsidRPr="00130909" w:rsidRDefault="00130909" w:rsidP="00130909">
      <w:r w:rsidRPr="00130909">
        <w:t>Šī daudzlīmeņu saskaņotība nodrošina, ka PMIF aktivitātes papildina un atbalsta citos plānošanas dokumentos noteikto mērķu sasniegšanu, veidojot vienotu un sistemātisku pieeju migrācijas, patvēruma un integrācijas jautājumu risināšanai.</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49192B25" w14:textId="77777777" w:rsidTr="00107F75">
        <w:tc>
          <w:tcPr>
            <w:tcW w:w="10252" w:type="dxa"/>
            <w:shd w:val="clear" w:color="auto" w:fill="F3B8FF" w:themeFill="accent6" w:themeFillTint="33"/>
          </w:tcPr>
          <w:p w14:paraId="002FE963" w14:textId="77777777" w:rsidR="00143135" w:rsidRPr="008F64A0" w:rsidRDefault="00143135" w:rsidP="00A239D8">
            <w:pPr>
              <w:rPr>
                <w:i/>
                <w:iCs/>
                <w:color w:val="5A5A5A" w:themeColor="accent1" w:themeTint="BF"/>
              </w:rPr>
            </w:pPr>
            <w:r w:rsidRPr="008F64A0">
              <w:rPr>
                <w:i/>
                <w:iCs/>
                <w:color w:val="5A5A5A" w:themeColor="accent1" w:themeTint="BF"/>
              </w:rPr>
              <w:t>Apakšjautājums: Vai programmu veidošanas laikā tika veikta un ņemta vērā citu pasākumu izvērtēšana, kuru mērķi bija papildinoši?</w:t>
            </w:r>
          </w:p>
        </w:tc>
      </w:tr>
    </w:tbl>
    <w:p w14:paraId="437FA45E" w14:textId="7C669ED5" w:rsidR="00BC07AE" w:rsidRDefault="00BC07AE" w:rsidP="00BC07AE">
      <w:r>
        <w:t xml:space="preserve">PMIF </w:t>
      </w:r>
      <w:r w:rsidRPr="003A3BB3">
        <w:t xml:space="preserve">nacionālās programmas </w:t>
      </w:r>
      <w:r>
        <w:t>satura</w:t>
      </w:r>
      <w:r w:rsidR="006B247D">
        <w:t xml:space="preserve"> izstrādes laikā tik</w:t>
      </w:r>
      <w:r w:rsidR="001239D8">
        <w:t>usi ņemta vērā potenciālo pasākumu atbilstība nacionāl</w:t>
      </w:r>
      <w:r w:rsidR="00C8776E">
        <w:t>aj</w:t>
      </w:r>
      <w:r w:rsidR="001239D8">
        <w:t>os plānošanas dokumentos ietvertajiem mērķiem. Vienlaikus PMIF nacionālās programmas</w:t>
      </w:r>
      <w:r>
        <w:t xml:space="preserve"> saskaņošana</w:t>
      </w:r>
      <w:r w:rsidRPr="003A3BB3">
        <w:t xml:space="preserve"> tika nodrošināta</w:t>
      </w:r>
      <w:r>
        <w:t xml:space="preserve"> IeM</w:t>
      </w:r>
      <w:r w:rsidRPr="003A3BB3">
        <w:t xml:space="preserve"> valsts sekretāra līmenī, kas ļāva </w:t>
      </w:r>
      <w:r>
        <w:t xml:space="preserve">ne tikai </w:t>
      </w:r>
      <w:r w:rsidRPr="003A3BB3">
        <w:t>pārliecināties par programmas atbilstību kopējam nozares attīstības virzienam un prioritātēm</w:t>
      </w:r>
      <w:r>
        <w:t>, bet arī</w:t>
      </w:r>
      <w:r w:rsidRPr="003A3BB3">
        <w:t xml:space="preserve"> izvērtēt </w:t>
      </w:r>
      <w:r>
        <w:t>tā</w:t>
      </w:r>
      <w:r w:rsidRPr="003A3BB3">
        <w:t xml:space="preserve">s </w:t>
      </w:r>
      <w:r w:rsidR="006B247D">
        <w:t>papildinātību ar citiem pasākumiem un nacionāla līmeņa plānošanas dokumentiem</w:t>
      </w:r>
      <w:r w:rsidRPr="003A3BB3">
        <w:t>.</w:t>
      </w:r>
    </w:p>
    <w:p w14:paraId="12D1724F" w14:textId="6424EBFC" w:rsidR="00BC07AE" w:rsidRDefault="00BC07AE" w:rsidP="00BC07AE">
      <w:r>
        <w:t xml:space="preserve">Lai nodrošinātu dažādu pasākumu savstarpējo </w:t>
      </w:r>
      <w:r w:rsidR="00FF017F">
        <w:t>papildinā</w:t>
      </w:r>
      <w:r w:rsidR="0051542A">
        <w:t>t</w:t>
      </w:r>
      <w:r w:rsidR="00FF017F">
        <w:t xml:space="preserve">ību </w:t>
      </w:r>
      <w:r w:rsidR="00567BE2">
        <w:t>UK</w:t>
      </w:r>
      <w:r>
        <w:t xml:space="preserve"> līdzdarbojās pārstāvji no Finanšu ministrijas, Labklājības ministrijas un citām ministrijām, kas deva iespēju identificēt citus īstenotos pasākumus, kuru mērķis ir bijis līdzīgs</w:t>
      </w:r>
      <w:r w:rsidR="00205022">
        <w:t xml:space="preserve"> un </w:t>
      </w:r>
      <w:r w:rsidR="00FE7158">
        <w:t xml:space="preserve">novērst aktivitāšu pārklāšanās riskus. </w:t>
      </w:r>
    </w:p>
    <w:p w14:paraId="6598FC6A" w14:textId="42AA9CF1" w:rsidR="00143135" w:rsidRDefault="00BC07AE" w:rsidP="006E2AA9">
      <w:r>
        <w:t>Vienlaikus projektu iesniegumu formās finansējuma saņēmējiem bija jāiekļauj informācija par citiem finansējuma saņēmēju īstenotajiem projektiem</w:t>
      </w:r>
      <w:r w:rsidR="00A3320D">
        <w:t xml:space="preserve">, kā arī plānoto pasākumu atbilstību nacionālā un ES līmeņa plānošanas dokumentiem un normatīvajiem aktiem. Tādējādi projektu vērtēšanā ticis ietverts arī </w:t>
      </w:r>
      <w:r w:rsidR="00E41112">
        <w:t>papildinā</w:t>
      </w:r>
      <w:r w:rsidR="0051542A">
        <w:t>t</w:t>
      </w:r>
      <w:r w:rsidR="00E41112">
        <w:t xml:space="preserve">ības aspekts, nodrošinot, ka īstenotie pasākumi ir vērsti uz ieguldījumiem plašāku mērķu sasniegšanā. </w:t>
      </w:r>
    </w:p>
    <w:p w14:paraId="5CEAE927" w14:textId="77777777" w:rsidR="00EB53C9" w:rsidRPr="00BC07AE" w:rsidRDefault="00EB53C9" w:rsidP="006E2AA9"/>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74208A0D" w14:textId="77777777" w:rsidTr="00107F75">
        <w:tc>
          <w:tcPr>
            <w:tcW w:w="10252" w:type="dxa"/>
            <w:shd w:val="clear" w:color="auto" w:fill="F3B8FF" w:themeFill="accent6" w:themeFillTint="33"/>
          </w:tcPr>
          <w:p w14:paraId="39184BCB" w14:textId="77777777" w:rsidR="00143135" w:rsidRPr="008F64A0" w:rsidRDefault="00143135" w:rsidP="00A239D8">
            <w:pPr>
              <w:rPr>
                <w:i/>
                <w:iCs/>
                <w:color w:val="5A5A5A" w:themeColor="accent1" w:themeTint="BF"/>
              </w:rPr>
            </w:pPr>
            <w:r w:rsidRPr="008F64A0">
              <w:rPr>
                <w:i/>
                <w:iCs/>
                <w:color w:val="5A5A5A" w:themeColor="accent1" w:themeTint="BF"/>
              </w:rPr>
              <w:lastRenderedPageBreak/>
              <w:t>Apakšjautājums: Vai starp fondu un citiem pasākumiem, kuru mērķi bija līdzīgi, tika izveidoti koordinācijas mehānismi, lai nodrošinātu to papildināmību īstenošanas periodā?</w:t>
            </w:r>
          </w:p>
        </w:tc>
      </w:tr>
    </w:tbl>
    <w:p w14:paraId="3CC965A3" w14:textId="63890D06" w:rsidR="006E2AA9" w:rsidRDefault="00243E71" w:rsidP="006E2AA9">
      <w:pPr>
        <w:rPr>
          <w:rFonts w:cstheme="minorHAnsi"/>
        </w:rPr>
      </w:pPr>
      <w:r>
        <w:rPr>
          <w:rFonts w:cstheme="minorHAnsi"/>
        </w:rPr>
        <w:t xml:space="preserve">Kā norāda atbildīgā iestāde, iekšlietu sektora iestādēm ir jāiesniedz informāciju par visiem projektu konkursiem, kuros tās plāno iesniegt pieteikumus, tai skaitā, norādot plānotās aktivitātes. Tas sniedz iespēju nozares ietvaros uzraudzīt, piemēram, lai vairākas iestādes neplāno vienādas aktivitātes un izvērtēt, vai tās optimālāk būtu īstenot vienoti vairākām iestādēm, kā arī, vai ir plānotas kādas savstarpēji papildinošas vai tieši otrādi — pretēji vērstas aktivitātes. </w:t>
      </w:r>
      <w:r w:rsidR="006E2AA9">
        <w:rPr>
          <w:rFonts w:cstheme="minorHAnsi"/>
        </w:rPr>
        <w:t xml:space="preserve">Tādējādi tika nodrošināta vienota pārraudzība un veicināta saskaņotība dažādu finanšu instrumentu un īstenoto aktivitāšu starpā, kā arī uzraudzīti potenciālo aktivitāšu pārklāšanās riski. </w:t>
      </w:r>
    </w:p>
    <w:p w14:paraId="2F434D84" w14:textId="2A170289" w:rsidR="001C4CA2" w:rsidRPr="006C5B5A" w:rsidRDefault="006E2AA9" w:rsidP="00143135">
      <w:pPr>
        <w:rPr>
          <w:rFonts w:cstheme="minorHAnsi"/>
        </w:rPr>
      </w:pPr>
      <w:r>
        <w:rPr>
          <w:rFonts w:cstheme="minorHAnsi"/>
        </w:rPr>
        <w:t xml:space="preserve">Papildu tam, tika izveidoti arī divi institucionāli uzraudzības un koordinācijas mehānismi — </w:t>
      </w:r>
      <w:r w:rsidR="00567BE2">
        <w:rPr>
          <w:rFonts w:cstheme="minorHAnsi"/>
        </w:rPr>
        <w:t>UK</w:t>
      </w:r>
      <w:r>
        <w:rPr>
          <w:rFonts w:cstheme="minorHAnsi"/>
        </w:rPr>
        <w:t xml:space="preserve"> un Projektu uzraudzības padome. </w:t>
      </w:r>
      <w:r w:rsidR="00567BE2">
        <w:rPr>
          <w:rFonts w:cstheme="minorHAnsi"/>
        </w:rPr>
        <w:t>UK</w:t>
      </w:r>
      <w:r>
        <w:rPr>
          <w:rFonts w:cstheme="minorHAnsi"/>
        </w:rPr>
        <w:t xml:space="preserve">, kas ietvēra pārstāvjus arī no citu nozaru ministrijām kalpoja par mehānismu stratēģiskajai pārraudzībai, nodrošinot dažādu aktivitāšu nepārklāšanās uzraudzību. Savukārt Projektu uzraudzības padome kalpoja kā mehānisms, lai </w:t>
      </w:r>
      <w:r w:rsidRPr="00BC69C6">
        <w:rPr>
          <w:rFonts w:cstheme="minorHAnsi"/>
        </w:rPr>
        <w:t xml:space="preserve">nodrošinātu Latvijas iekšlietu nozares attīstībai stratēģiski nozīmīgu projektu uzraudzību </w:t>
      </w:r>
      <w:r>
        <w:rPr>
          <w:rFonts w:cstheme="minorHAnsi"/>
        </w:rPr>
        <w:t>ES</w:t>
      </w:r>
      <w:r w:rsidRPr="00BC69C6">
        <w:rPr>
          <w:rFonts w:cstheme="minorHAnsi"/>
        </w:rPr>
        <w:t xml:space="preserve"> fondu, Attīstības sadarbības programmas, divpusējo un daudzpusējo finanšu instrumentu ietvaros</w:t>
      </w:r>
      <w:r>
        <w:rPr>
          <w:rFonts w:cstheme="minorHAnsi"/>
        </w:rPr>
        <w:t>. Tās ietvaros tika pārrunāti iekšlietu nozares ietvaros īstenoto projektu progress, tai skaitā, to potenciālā saskanība vai papildinātība ar citiem instrumentiem</w:t>
      </w:r>
      <w:r w:rsidR="006C5B5A">
        <w:rPr>
          <w:rFonts w:cstheme="minorHAnsi"/>
        </w:rPr>
        <w:t xml:space="preserve">, kas arī deva iespēju savlaicīgi identificēt aktivitāšu pārklāšanās riskus.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42CCC134" w14:textId="77777777" w:rsidTr="00107F75">
        <w:tc>
          <w:tcPr>
            <w:tcW w:w="10252" w:type="dxa"/>
            <w:shd w:val="clear" w:color="auto" w:fill="F3B8FF" w:themeFill="accent6" w:themeFillTint="33"/>
          </w:tcPr>
          <w:p w14:paraId="513D96BD" w14:textId="77777777" w:rsidR="00143135" w:rsidRPr="008F64A0" w:rsidRDefault="00143135" w:rsidP="00A239D8">
            <w:pPr>
              <w:rPr>
                <w:i/>
                <w:iCs/>
                <w:color w:val="5A5A5A" w:themeColor="accent1" w:themeTint="BF"/>
              </w:rPr>
            </w:pPr>
            <w:r w:rsidRPr="008F64A0">
              <w:rPr>
                <w:i/>
                <w:iCs/>
                <w:color w:val="5A5A5A" w:themeColor="accent1" w:themeTint="BF"/>
              </w:rPr>
              <w:t>Apakšjautājums: Vai tika piemēroti mehānismi, tiecoties novērst finanšu instrumentu pārklāšanos?</w:t>
            </w:r>
          </w:p>
        </w:tc>
      </w:tr>
    </w:tbl>
    <w:p w14:paraId="7F385F7B" w14:textId="3A417E93" w:rsidR="00D22E8C" w:rsidRDefault="00D22E8C" w:rsidP="00D22E8C">
      <w:r>
        <w:t xml:space="preserve">Projektu pieteikumu dokumentācijā finansējuma saņēmējiem bija jāietver detalizēta informācija par citiem to īstenotajiem projektiem. Šī prasība ļāva projektu izvērtēšanas procesā veikt finansējuma un projektu aktivitāšu savstarpējās nepārklāšanās pārbaudi. Finansējuma saņēmējiem bija jāiesniedz oficiāls apliecinājums par to, ka tie nesaņem un neplāno piesaistīt līdzekļus no citiem finanšu avotiem projekta pieteikumā paredzēto aktivitāšu īstenošanai. </w:t>
      </w:r>
      <w:r w:rsidR="00A306C3">
        <w:t>Vienlaikus</w:t>
      </w:r>
      <w:r>
        <w:t xml:space="preserve">, </w:t>
      </w:r>
      <w:r w:rsidR="00567BE2">
        <w:t>UK</w:t>
      </w:r>
      <w:r>
        <w:t xml:space="preserve"> un Projektu uzraudzības padomes institucionālais ietvars nodrošināja papildu kontroles mehānismu finanšu instrumentu pārklāšanās identificēšanai.</w:t>
      </w:r>
    </w:p>
    <w:p w14:paraId="30B3E021" w14:textId="53DC2750" w:rsidR="00D22E8C" w:rsidRDefault="00D22E8C" w:rsidP="00D22E8C">
      <w:r>
        <w:t xml:space="preserve">Deleģētā iestāde plānošanas perioda ietvaros sistemātiski uzraudzīja mērķa grupas pārstāvju dalību dažādu pakalpojumu sniedzēju organizētajos integrācijas pasākumos, lai novērstu dalībnieku pārklāšanos. Šim nolūkam tika izveidota strukturēta elektroniskā datu bāze </w:t>
      </w:r>
      <w:r w:rsidR="00A306C3">
        <w:rPr>
          <w:i/>
          <w:iCs/>
        </w:rPr>
        <w:t>Excel</w:t>
      </w:r>
      <w:r>
        <w:t xml:space="preserve"> formātā, kurā tika veikta projektu pārskatos norādīto mērķa grupas pārstāvju saņemtā atbalsta </w:t>
      </w:r>
      <w:r w:rsidR="00D43A26">
        <w:t>uzraudzība</w:t>
      </w:r>
      <w:r>
        <w:t>.</w:t>
      </w:r>
    </w:p>
    <w:p w14:paraId="406C578F" w14:textId="2A5EA90C" w:rsidR="008D7684" w:rsidRDefault="00D22E8C" w:rsidP="00D22E8C">
      <w:r>
        <w:t xml:space="preserve">Finansējuma saņēmēji </w:t>
      </w:r>
      <w:r w:rsidR="00D43A26">
        <w:t xml:space="preserve">arī norāda, ka </w:t>
      </w:r>
      <w:r>
        <w:t xml:space="preserve">bija ieviesuši procedūras, lai nodrošinātu izmaksu precīzu nodalīšanu starp dažādiem īstenotajiem projektiem un aktivitātēm. </w:t>
      </w:r>
      <w:r w:rsidR="00D43A26">
        <w:t xml:space="preserve">Piemēram, </w:t>
      </w:r>
      <w:r w:rsidR="00AC5BD9">
        <w:t>g</w:t>
      </w:r>
      <w:r>
        <w:t xml:space="preserve">adījumos, kad darbinieki tika nodarbināti vairākos projektos vienlaicīgi, tika izstrādātas un iesniegtas detalizētas darba laika uzskaites veidlapas, kurās tika precīzi fiksēts </w:t>
      </w:r>
      <w:r w:rsidR="00AC5BD9">
        <w:t xml:space="preserve">darbinieka </w:t>
      </w:r>
      <w:r>
        <w:t>katrā projektā patērētais darba laiks.</w:t>
      </w:r>
      <w:r w:rsidR="00EC24E1">
        <w:t xml:space="preserve"> </w:t>
      </w:r>
    </w:p>
    <w:p w14:paraId="1D3E403F" w14:textId="77777777" w:rsidR="00143135" w:rsidRPr="008F64A0" w:rsidRDefault="00143135" w:rsidP="00BF4167">
      <w:pPr>
        <w:pStyle w:val="Sarakstarindkopa"/>
        <w:numPr>
          <w:ilvl w:val="2"/>
          <w:numId w:val="42"/>
        </w:numPr>
        <w:rPr>
          <w:b/>
        </w:rPr>
      </w:pPr>
      <w:r w:rsidRPr="008F64A0">
        <w:rPr>
          <w:b/>
        </w:rPr>
        <w:t>Kritērijs “ES pievienotā vērtība”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6A63EA00" w14:textId="77777777" w:rsidTr="00D40533">
        <w:tc>
          <w:tcPr>
            <w:tcW w:w="10252" w:type="dxa"/>
            <w:shd w:val="clear" w:color="auto" w:fill="82009B" w:themeFill="accent6"/>
          </w:tcPr>
          <w:p w14:paraId="78337D89" w14:textId="77777777" w:rsidR="00143135" w:rsidRPr="008F64A0" w:rsidRDefault="00143135" w:rsidP="00A239D8">
            <w:pPr>
              <w:rPr>
                <w:b/>
              </w:rPr>
            </w:pPr>
            <w:r w:rsidRPr="008F64A0">
              <w:rPr>
                <w:b/>
              </w:rPr>
              <w:t xml:space="preserve">Izvērtēšanas kritērija jautājums: </w:t>
            </w:r>
            <w:r w:rsidRPr="008F64A0">
              <w:rPr>
                <w:bCs/>
              </w:rPr>
              <w:t>Vai ES atbalsta rezultātā radās pievienotā vērtība?</w:t>
            </w:r>
          </w:p>
        </w:tc>
      </w:tr>
    </w:tbl>
    <w:p w14:paraId="2DA1AD5D" w14:textId="77777777" w:rsidR="000966DF" w:rsidRDefault="008B7D82" w:rsidP="008B7D82">
      <w:pPr>
        <w:rPr>
          <w:rFonts w:cstheme="minorHAnsi"/>
          <w:bCs/>
        </w:rPr>
      </w:pPr>
      <w:r w:rsidRPr="008B7D82">
        <w:rPr>
          <w:rFonts w:cstheme="minorHAnsi"/>
          <w:bCs/>
        </w:rPr>
        <w:t xml:space="preserve">ES atbalsta rezultātā ir radusies būtiska pievienotā vērtība vairākos nozīmīgos aspektos. Vispirms jāatzīmē vispārējās kapacitātes stiprināšana patvēruma sistēmas, integrācijas un atgriešanas spēju jomā. </w:t>
      </w:r>
      <w:r w:rsidR="003505EB" w:rsidRPr="008B7D82">
        <w:rPr>
          <w:rFonts w:cstheme="minorHAnsi"/>
          <w:bCs/>
        </w:rPr>
        <w:t xml:space="preserve">PMIF darbojās kā katalizators atbalsta sistēmas veidošanā, jo tas bija vienīgais pieejamais instruments šāda veida atbalsta nodrošināšanai. </w:t>
      </w:r>
      <w:r w:rsidRPr="008B7D82">
        <w:rPr>
          <w:rFonts w:cstheme="minorHAnsi"/>
          <w:bCs/>
        </w:rPr>
        <w:t>T</w:t>
      </w:r>
      <w:r>
        <w:rPr>
          <w:rFonts w:cstheme="minorHAnsi"/>
          <w:bCs/>
        </w:rPr>
        <w:t>ā</w:t>
      </w:r>
      <w:r w:rsidR="003505EB">
        <w:rPr>
          <w:rFonts w:cstheme="minorHAnsi"/>
          <w:bCs/>
        </w:rPr>
        <w:t xml:space="preserve"> rezultātā tika īstenotas </w:t>
      </w:r>
      <w:r w:rsidRPr="008B7D82">
        <w:rPr>
          <w:rFonts w:cstheme="minorHAnsi"/>
          <w:bCs/>
        </w:rPr>
        <w:t xml:space="preserve">sistēmiskas pārmaiņas, </w:t>
      </w:r>
      <w:r>
        <w:rPr>
          <w:rFonts w:cstheme="minorHAnsi"/>
          <w:bCs/>
        </w:rPr>
        <w:t>piemēram,</w:t>
      </w:r>
      <w:r w:rsidRPr="008B7D82">
        <w:rPr>
          <w:rFonts w:cstheme="minorHAnsi"/>
          <w:bCs/>
        </w:rPr>
        <w:t xml:space="preserve"> normatīvo aktu labojum</w:t>
      </w:r>
      <w:r w:rsidR="003505EB">
        <w:rPr>
          <w:rFonts w:cstheme="minorHAnsi"/>
          <w:bCs/>
        </w:rPr>
        <w:t>i</w:t>
      </w:r>
      <w:r>
        <w:rPr>
          <w:rFonts w:cstheme="minorHAnsi"/>
          <w:bCs/>
        </w:rPr>
        <w:t xml:space="preserve"> un </w:t>
      </w:r>
      <w:r w:rsidRPr="008B7D82">
        <w:rPr>
          <w:rFonts w:cstheme="minorHAnsi"/>
          <w:bCs/>
        </w:rPr>
        <w:t>standartizētu atbalsta pakalpojumu izstrād</w:t>
      </w:r>
      <w:r w:rsidR="003505EB">
        <w:rPr>
          <w:rFonts w:cstheme="minorHAnsi"/>
          <w:bCs/>
        </w:rPr>
        <w:t>e</w:t>
      </w:r>
      <w:r w:rsidRPr="008B7D82">
        <w:rPr>
          <w:rFonts w:cstheme="minorHAnsi"/>
          <w:bCs/>
        </w:rPr>
        <w:t xml:space="preserve">. </w:t>
      </w:r>
      <w:r>
        <w:rPr>
          <w:rFonts w:cstheme="minorHAnsi"/>
          <w:bCs/>
        </w:rPr>
        <w:t>Vienlaikus tika stiprināta iestāžu kapacitāte</w:t>
      </w:r>
      <w:r w:rsidR="00902DD4">
        <w:rPr>
          <w:rFonts w:cstheme="minorHAnsi"/>
          <w:bCs/>
        </w:rPr>
        <w:t xml:space="preserve">, </w:t>
      </w:r>
      <w:r w:rsidR="003505EB">
        <w:rPr>
          <w:rFonts w:cstheme="minorHAnsi"/>
          <w:bCs/>
        </w:rPr>
        <w:lastRenderedPageBreak/>
        <w:t xml:space="preserve">attīstot infrastruktūru, </w:t>
      </w:r>
      <w:r w:rsidR="004E621A">
        <w:rPr>
          <w:rFonts w:cstheme="minorHAnsi"/>
          <w:bCs/>
        </w:rPr>
        <w:t>p</w:t>
      </w:r>
      <w:r w:rsidR="00902DD4">
        <w:rPr>
          <w:rFonts w:cstheme="minorHAnsi"/>
          <w:bCs/>
        </w:rPr>
        <w:t>ilnveidojot</w:t>
      </w:r>
      <w:r w:rsidR="004E621A">
        <w:rPr>
          <w:rFonts w:cstheme="minorHAnsi"/>
          <w:bCs/>
        </w:rPr>
        <w:t xml:space="preserve"> materiāltehnisko nodrošinājumu, </w:t>
      </w:r>
      <w:r w:rsidR="003505EB">
        <w:rPr>
          <w:rFonts w:cstheme="minorHAnsi"/>
          <w:bCs/>
        </w:rPr>
        <w:t xml:space="preserve">kā arī </w:t>
      </w:r>
      <w:r w:rsidR="004E621A">
        <w:rPr>
          <w:rFonts w:cstheme="minorHAnsi"/>
          <w:bCs/>
        </w:rPr>
        <w:t xml:space="preserve">īstenojot </w:t>
      </w:r>
      <w:r w:rsidR="00704A30">
        <w:rPr>
          <w:rFonts w:cstheme="minorHAnsi"/>
          <w:bCs/>
        </w:rPr>
        <w:t xml:space="preserve">aktivitātes darbinieku zināšanu līmeņa celšanai. </w:t>
      </w:r>
    </w:p>
    <w:p w14:paraId="6C3FFF17" w14:textId="625395C8" w:rsidR="00704A30" w:rsidRDefault="00704A30" w:rsidP="008B7D82">
      <w:pPr>
        <w:rPr>
          <w:rFonts w:cstheme="minorHAnsi"/>
          <w:bCs/>
        </w:rPr>
      </w:pPr>
      <w:r>
        <w:rPr>
          <w:rFonts w:cstheme="minorHAnsi"/>
          <w:bCs/>
        </w:rPr>
        <w:t xml:space="preserve">Kā norāda gan finansējuma saņēmēji, gan </w:t>
      </w:r>
      <w:r w:rsidR="006223CB">
        <w:rPr>
          <w:rFonts w:cstheme="minorHAnsi"/>
          <w:bCs/>
        </w:rPr>
        <w:t>deleģētās iestādes pārstāvji, šajā periodā notika pastāvīga mācīšanās un labāko risinājumu pielāgošana</w:t>
      </w:r>
      <w:r w:rsidR="000D5515">
        <w:rPr>
          <w:rFonts w:cstheme="minorHAnsi"/>
          <w:bCs/>
        </w:rPr>
        <w:t>, lai izstrādātu efektīvāko pieeju mērķu sasniegšanai. Šī procesa rezultātā ir izveidojusies gan zināšanu bāze, gan sadarbības kontaktu tīkls, kas atvieglo līdzīgu pasākumu īstenošanu 2021</w:t>
      </w:r>
      <w:r w:rsidR="00355F5D">
        <w:rPr>
          <w:rFonts w:cstheme="minorHAnsi"/>
          <w:bCs/>
        </w:rPr>
        <w:t>.</w:t>
      </w:r>
      <w:r w:rsidR="000D5515">
        <w:rPr>
          <w:rFonts w:cstheme="minorHAnsi"/>
          <w:bCs/>
        </w:rPr>
        <w:t>-2027.</w:t>
      </w:r>
      <w:r w:rsidR="00355F5D">
        <w:rPr>
          <w:rFonts w:cstheme="minorHAnsi"/>
          <w:bCs/>
        </w:rPr>
        <w:t xml:space="preserve"> </w:t>
      </w:r>
      <w:r w:rsidR="000D5515">
        <w:rPr>
          <w:rFonts w:cstheme="minorHAnsi"/>
          <w:bCs/>
        </w:rPr>
        <w:t>gada plānošanas periodā</w:t>
      </w:r>
      <w:r w:rsidR="008A26E1">
        <w:rPr>
          <w:rFonts w:cstheme="minorHAnsi"/>
          <w:bCs/>
        </w:rPr>
        <w:t>,</w:t>
      </w:r>
      <w:r w:rsidR="00BD376F">
        <w:rPr>
          <w:rFonts w:cstheme="minorHAnsi"/>
          <w:bCs/>
        </w:rPr>
        <w:t xml:space="preserve"> un uzlabo to kvalitāti</w:t>
      </w:r>
      <w:r w:rsidR="000D5515">
        <w:rPr>
          <w:rFonts w:cstheme="minorHAnsi"/>
          <w:bCs/>
        </w:rPr>
        <w:t xml:space="preserve">. </w:t>
      </w:r>
      <w:r>
        <w:rPr>
          <w:rFonts w:cstheme="minorHAnsi"/>
          <w:bCs/>
        </w:rPr>
        <w:t xml:space="preserve"> </w:t>
      </w:r>
    </w:p>
    <w:p w14:paraId="6727B4F5" w14:textId="7A123386" w:rsidR="008B7D82" w:rsidRPr="008B7D82" w:rsidRDefault="00704A30" w:rsidP="008B7D82">
      <w:pPr>
        <w:rPr>
          <w:rFonts w:cstheme="minorHAnsi"/>
          <w:bCs/>
        </w:rPr>
      </w:pPr>
      <w:r>
        <w:rPr>
          <w:rFonts w:cstheme="minorHAnsi"/>
          <w:bCs/>
        </w:rPr>
        <w:t xml:space="preserve">Vienlaikus </w:t>
      </w:r>
      <w:r w:rsidR="008B7D82" w:rsidRPr="008B7D82">
        <w:rPr>
          <w:rFonts w:cstheme="minorHAnsi"/>
          <w:bCs/>
        </w:rPr>
        <w:t xml:space="preserve">paplašinājās </w:t>
      </w:r>
      <w:r>
        <w:rPr>
          <w:rFonts w:cstheme="minorHAnsi"/>
          <w:bCs/>
        </w:rPr>
        <w:t xml:space="preserve">PMIF mērķa grupām </w:t>
      </w:r>
      <w:r w:rsidR="008B7D82" w:rsidRPr="008B7D82">
        <w:rPr>
          <w:rFonts w:cstheme="minorHAnsi"/>
          <w:bCs/>
        </w:rPr>
        <w:t xml:space="preserve">pieejamo pakalpojumu tvērums, </w:t>
      </w:r>
      <w:r>
        <w:rPr>
          <w:rFonts w:cstheme="minorHAnsi"/>
          <w:bCs/>
        </w:rPr>
        <w:t xml:space="preserve">piemēram, </w:t>
      </w:r>
      <w:r w:rsidR="008B7D82" w:rsidRPr="008B7D82">
        <w:rPr>
          <w:rFonts w:cstheme="minorHAnsi"/>
          <w:bCs/>
        </w:rPr>
        <w:t>iekļaujot medicīnas aprūp</w:t>
      </w:r>
      <w:r>
        <w:rPr>
          <w:rFonts w:cstheme="minorHAnsi"/>
          <w:bCs/>
        </w:rPr>
        <w:t>es pakalpojumus</w:t>
      </w:r>
      <w:r w:rsidR="008B7D82" w:rsidRPr="008B7D82">
        <w:rPr>
          <w:rFonts w:cstheme="minorHAnsi"/>
          <w:bCs/>
        </w:rPr>
        <w:t>.</w:t>
      </w:r>
      <w:r w:rsidR="003505EB">
        <w:rPr>
          <w:rFonts w:cstheme="minorHAnsi"/>
          <w:bCs/>
        </w:rPr>
        <w:t xml:space="preserve"> Tāpat nozīmīgs aspekts ir tas, ka </w:t>
      </w:r>
      <w:r>
        <w:rPr>
          <w:rFonts w:cstheme="minorHAnsi"/>
          <w:bCs/>
        </w:rPr>
        <w:t>perioda ietvaros aktivitātes tika īstenotas</w:t>
      </w:r>
      <w:r w:rsidR="008B7D82" w:rsidRPr="008B7D82">
        <w:rPr>
          <w:rFonts w:cstheme="minorHAnsi"/>
          <w:bCs/>
        </w:rPr>
        <w:t xml:space="preserve"> ne tikai Rīgā, bet arī reģionos, nodrošinot pastāvīgus, nevis gadījuma rakstura pakalpojumus.</w:t>
      </w:r>
    </w:p>
    <w:p w14:paraId="572CFD53" w14:textId="3C250591" w:rsidR="00ED7A41" w:rsidRPr="008B7D82" w:rsidRDefault="000D5515" w:rsidP="008B7D82">
      <w:pPr>
        <w:rPr>
          <w:rFonts w:cstheme="minorHAnsi"/>
          <w:bCs/>
        </w:rPr>
      </w:pPr>
      <w:r>
        <w:rPr>
          <w:rFonts w:cstheme="minorHAnsi"/>
          <w:bCs/>
        </w:rPr>
        <w:t>PMIF īstenošanas rezultātā tika izstrādāti dažādi atbalsta m</w:t>
      </w:r>
      <w:r w:rsidR="008B7D82" w:rsidRPr="008B7D82">
        <w:rPr>
          <w:rFonts w:cstheme="minorHAnsi"/>
          <w:bCs/>
        </w:rPr>
        <w:t>ehānism</w:t>
      </w:r>
      <w:r>
        <w:rPr>
          <w:rFonts w:cstheme="minorHAnsi"/>
          <w:bCs/>
        </w:rPr>
        <w:t>i, kas pakāpeniski tiek inte</w:t>
      </w:r>
      <w:r w:rsidR="003505EB">
        <w:rPr>
          <w:rFonts w:cstheme="minorHAnsi"/>
          <w:bCs/>
        </w:rPr>
        <w:t xml:space="preserve">grēti kopējā atbalsta sistēmā. Piemēram, </w:t>
      </w:r>
      <w:r w:rsidR="00C768B8">
        <w:t xml:space="preserve">medicīniskā kabineta darbības nodrošināšana, diennakts apsardzes pakalpojums un inkasācijas pakalpojums patvēruma meklētājiem tiek segts no valsts budžeta līdzekļiem. Līdzīgi plāni tiek </w:t>
      </w:r>
      <w:r w:rsidR="009616B9">
        <w:t xml:space="preserve">izstrādāti arī attiecībā uz vienas pieturas aģentūras sniegtajiem pakalpojumiem </w:t>
      </w:r>
      <w:r w:rsidR="002A46A0">
        <w:t>TVP</w:t>
      </w:r>
      <w:r w:rsidR="009616B9">
        <w:t xml:space="preserve">. </w:t>
      </w:r>
      <w:r w:rsidR="008B7D82" w:rsidRPr="008B7D82">
        <w:rPr>
          <w:rFonts w:cstheme="minorHAnsi"/>
          <w:bCs/>
        </w:rPr>
        <w:t xml:space="preserve"> </w:t>
      </w:r>
    </w:p>
    <w:p w14:paraId="526EDF6D" w14:textId="3BA605DA" w:rsidR="00276FBC" w:rsidRDefault="008B7D82" w:rsidP="001502C1">
      <w:pPr>
        <w:rPr>
          <w:rFonts w:cstheme="minorHAnsi"/>
          <w:bCs/>
        </w:rPr>
      </w:pPr>
      <w:r w:rsidRPr="008B7D82">
        <w:rPr>
          <w:rFonts w:cstheme="minorHAnsi"/>
          <w:bCs/>
        </w:rPr>
        <w:t xml:space="preserve">Kopumā var secināt, ka ES atbalsts ir bijis </w:t>
      </w:r>
      <w:r w:rsidR="003E2304">
        <w:rPr>
          <w:rFonts w:cstheme="minorHAnsi"/>
          <w:bCs/>
        </w:rPr>
        <w:t>nozīmīgs</w:t>
      </w:r>
      <w:r w:rsidRPr="008B7D82">
        <w:rPr>
          <w:rFonts w:cstheme="minorHAnsi"/>
          <w:bCs/>
        </w:rPr>
        <w:t xml:space="preserve"> faktors sistēmisko pārmaiņu ieviešanā un </w:t>
      </w:r>
      <w:r w:rsidR="003E2304">
        <w:rPr>
          <w:rFonts w:cstheme="minorHAnsi"/>
          <w:bCs/>
        </w:rPr>
        <w:t xml:space="preserve">iestāžu </w:t>
      </w:r>
      <w:r w:rsidRPr="008B7D82">
        <w:rPr>
          <w:rFonts w:cstheme="minorHAnsi"/>
          <w:bCs/>
        </w:rPr>
        <w:t>profesionālās kapacitātes celšanā patvēruma un migrācijas jomā Latvijā. Tas ir veicinājis gan institucionālo attīstību, gan praktisko mehānismu izveidi atbalsta sniegšanai, vienlaikus tuvinot Latvijas praksi ES</w:t>
      </w:r>
      <w:r w:rsidR="00355F5D">
        <w:rPr>
          <w:rFonts w:cstheme="minorHAnsi"/>
          <w:bCs/>
        </w:rPr>
        <w:t>.</w:t>
      </w:r>
      <w:r w:rsidRPr="008B7D82">
        <w:rPr>
          <w:rFonts w:cstheme="minorHAnsi"/>
          <w:bCs/>
        </w:rPr>
        <w:t xml:space="preserve">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71722963" w14:textId="77777777" w:rsidTr="00107F75">
        <w:tc>
          <w:tcPr>
            <w:tcW w:w="10252" w:type="dxa"/>
            <w:shd w:val="clear" w:color="auto" w:fill="F3B8FF" w:themeFill="accent6" w:themeFillTint="33"/>
          </w:tcPr>
          <w:p w14:paraId="3E6CDD4A" w14:textId="77777777" w:rsidR="00143135" w:rsidRPr="008F64A0" w:rsidRDefault="00143135" w:rsidP="00A239D8">
            <w:pPr>
              <w:rPr>
                <w:i/>
                <w:iCs/>
                <w:color w:val="5A5A5A" w:themeColor="accent1" w:themeTint="BF"/>
              </w:rPr>
            </w:pPr>
            <w:r w:rsidRPr="008F64A0">
              <w:rPr>
                <w:i/>
                <w:iCs/>
                <w:color w:val="5A5A5A" w:themeColor="accent1" w:themeTint="BF"/>
              </w:rPr>
              <w:t>Apakšjautājums: Kādi bija galvenie fonda sniegtā atbalsta rezultātā radušās pievienotās vērtības veidi (apjoms, darbības joma, nozīme, process)?</w:t>
            </w:r>
          </w:p>
        </w:tc>
      </w:tr>
    </w:tbl>
    <w:p w14:paraId="2A5B6813" w14:textId="5C180279" w:rsidR="008C047C" w:rsidRPr="008C047C" w:rsidRDefault="008C047C" w:rsidP="008C047C">
      <w:pPr>
        <w:rPr>
          <w:bCs/>
        </w:rPr>
      </w:pPr>
      <w:r>
        <w:rPr>
          <w:bCs/>
        </w:rPr>
        <w:t xml:space="preserve">Viens no </w:t>
      </w:r>
      <w:r w:rsidR="00AA0282">
        <w:rPr>
          <w:bCs/>
        </w:rPr>
        <w:t xml:space="preserve">izvērtējuma gaitā identificētajiem pievienotās vērtības veidiem, ir mērķa grupām nodrošināto </w:t>
      </w:r>
      <w:r w:rsidRPr="008C047C">
        <w:rPr>
          <w:bCs/>
        </w:rPr>
        <w:t>pakalpojumu daudzveidīb</w:t>
      </w:r>
      <w:r w:rsidR="00AA0282">
        <w:rPr>
          <w:bCs/>
        </w:rPr>
        <w:t xml:space="preserve">a, kas stiprināja kopējo atbalsta un integrācijas sistēmu. </w:t>
      </w:r>
      <w:r w:rsidRPr="008C047C">
        <w:rPr>
          <w:bCs/>
        </w:rPr>
        <w:t xml:space="preserve">Īpaši nozīmīga </w:t>
      </w:r>
      <w:r w:rsidR="00AA0282">
        <w:rPr>
          <w:bCs/>
        </w:rPr>
        <w:t xml:space="preserve">šajā aspektā </w:t>
      </w:r>
      <w:r w:rsidRPr="008C047C">
        <w:rPr>
          <w:bCs/>
        </w:rPr>
        <w:t>bija</w:t>
      </w:r>
      <w:r w:rsidR="00AA0282">
        <w:rPr>
          <w:bCs/>
        </w:rPr>
        <w:t xml:space="preserve"> arī</w:t>
      </w:r>
      <w:r w:rsidRPr="008C047C">
        <w:rPr>
          <w:bCs/>
        </w:rPr>
        <w:t xml:space="preserve"> spēja pielāgoties dažādu migrantu grupu vajadzībām, ko apliecina darbs ar atšķirīgām grupām </w:t>
      </w:r>
      <w:r w:rsidR="00643C45">
        <w:rPr>
          <w:rFonts w:cstheme="minorHAnsi"/>
        </w:rPr>
        <w:t>–</w:t>
      </w:r>
      <w:r w:rsidRPr="008C047C">
        <w:rPr>
          <w:bCs/>
        </w:rPr>
        <w:t xml:space="preserve"> ķīniešiem, vjetnamiešiem, ukraiņiem un Vidusāzijas valstu pilsoņiem.</w:t>
      </w:r>
      <w:r w:rsidR="00E23959">
        <w:rPr>
          <w:bCs/>
        </w:rPr>
        <w:t xml:space="preserve"> Programmas radītā pieredze ir stiprinājusi arī cilvēkresursu kapacitāti, piemēram, latviešu valodas pedagogu pieredzi un zināšanas darbā ar dažādām mērķa grupām. </w:t>
      </w:r>
    </w:p>
    <w:p w14:paraId="1582EE7D" w14:textId="1DACB23D" w:rsidR="008C047C" w:rsidRPr="008C047C" w:rsidRDefault="005446AB" w:rsidP="008C047C">
      <w:pPr>
        <w:rPr>
          <w:bCs/>
        </w:rPr>
      </w:pPr>
      <w:r>
        <w:rPr>
          <w:bCs/>
        </w:rPr>
        <w:t xml:space="preserve">Vienlaikus projektu īstenošanas rezultātā tika stiprināta uzticība iestādēm, kas nodrošina atbalsta pakalpojumus, kā arī </w:t>
      </w:r>
      <w:r w:rsidR="00101AA6">
        <w:rPr>
          <w:bCs/>
        </w:rPr>
        <w:t>uzlabota</w:t>
      </w:r>
      <w:r w:rsidR="00286AD9">
        <w:rPr>
          <w:bCs/>
        </w:rPr>
        <w:t xml:space="preserve"> kopējo pakalpojumu kvalitāt</w:t>
      </w:r>
      <w:r w:rsidR="00101AA6">
        <w:rPr>
          <w:bCs/>
        </w:rPr>
        <w:t>e</w:t>
      </w:r>
      <w:r w:rsidR="00286AD9">
        <w:rPr>
          <w:bCs/>
        </w:rPr>
        <w:t>. T</w:t>
      </w:r>
      <w:r w:rsidR="008C047C" w:rsidRPr="008C047C">
        <w:rPr>
          <w:bCs/>
        </w:rPr>
        <w:t>o apliecin</w:t>
      </w:r>
      <w:r w:rsidR="00286AD9">
        <w:rPr>
          <w:bCs/>
        </w:rPr>
        <w:t>ājusi</w:t>
      </w:r>
      <w:r w:rsidR="008C047C" w:rsidRPr="008C047C">
        <w:rPr>
          <w:bCs/>
        </w:rPr>
        <w:t xml:space="preserve"> gan </w:t>
      </w:r>
      <w:r w:rsidR="00286AD9">
        <w:rPr>
          <w:bCs/>
        </w:rPr>
        <w:t>mērķa grupu pārstāvju atkārtota vēršanās pie pakalpojumu sniedzējiem</w:t>
      </w:r>
      <w:r w:rsidR="008C047C" w:rsidRPr="008C047C">
        <w:rPr>
          <w:bCs/>
        </w:rPr>
        <w:t xml:space="preserve">, gan informācijas izplatīšanās </w:t>
      </w:r>
      <w:r w:rsidR="00286AD9">
        <w:rPr>
          <w:bCs/>
        </w:rPr>
        <w:t>mērķa grupu vidū, daloties par pieejamo atbalstu un pakalpojumiem. Kā norāda finansējuma saņēmēji, p</w:t>
      </w:r>
      <w:r w:rsidR="008C047C" w:rsidRPr="008C047C">
        <w:rPr>
          <w:bCs/>
        </w:rPr>
        <w:t>akalpojumu kvalitāte tika pastāvīgi uzlabota, balstoties uz pieaugošo pieredzi.</w:t>
      </w:r>
    </w:p>
    <w:p w14:paraId="5B03F226" w14:textId="19E48C87" w:rsidR="008C047C" w:rsidRPr="008C047C" w:rsidRDefault="00AE634D" w:rsidP="008C047C">
      <w:pPr>
        <w:rPr>
          <w:bCs/>
        </w:rPr>
      </w:pPr>
      <w:r>
        <w:rPr>
          <w:bCs/>
        </w:rPr>
        <w:t>P</w:t>
      </w:r>
      <w:r w:rsidR="008C047C" w:rsidRPr="008C047C">
        <w:rPr>
          <w:bCs/>
        </w:rPr>
        <w:t xml:space="preserve">ievienotā vērtība izpaudās </w:t>
      </w:r>
      <w:r>
        <w:rPr>
          <w:bCs/>
        </w:rPr>
        <w:t>arī</w:t>
      </w:r>
      <w:r w:rsidR="008C047C" w:rsidRPr="008C047C">
        <w:rPr>
          <w:bCs/>
        </w:rPr>
        <w:t xml:space="preserve"> ģeogrāfiskā tvērumā </w:t>
      </w:r>
      <w:r w:rsidR="00643C45">
        <w:rPr>
          <w:rFonts w:cstheme="minorHAnsi"/>
        </w:rPr>
        <w:t>–</w:t>
      </w:r>
      <w:r w:rsidR="008C047C" w:rsidRPr="008C047C">
        <w:rPr>
          <w:bCs/>
        </w:rPr>
        <w:t xml:space="preserve"> pakalpojumi kļuva pieejami ne tikai Rīgā, bet arī reģionos, gan mērķ</w:t>
      </w:r>
      <w:r>
        <w:rPr>
          <w:bCs/>
        </w:rPr>
        <w:t xml:space="preserve">a </w:t>
      </w:r>
      <w:r w:rsidR="008C047C" w:rsidRPr="008C047C">
        <w:rPr>
          <w:bCs/>
        </w:rPr>
        <w:t xml:space="preserve">grupu daudzveidībā. Attālinātā pieeja ļāva efektīvāk komplektēt </w:t>
      </w:r>
      <w:r w:rsidR="00465DED">
        <w:rPr>
          <w:bCs/>
        </w:rPr>
        <w:t xml:space="preserve">integrācijas pasākumu apmācību </w:t>
      </w:r>
      <w:r w:rsidR="008C047C" w:rsidRPr="008C047C">
        <w:rPr>
          <w:bCs/>
        </w:rPr>
        <w:t>grupas un sasniegt klientus reģionos. Tika nodrošināta arī plašāka ģimenes iesaiste, piemēram, bērnu līdzdalība vecāku valodas apguvē kā tulkiem.</w:t>
      </w:r>
      <w:r>
        <w:rPr>
          <w:bCs/>
        </w:rPr>
        <w:t xml:space="preserve"> Savukārt patvēruma meklētājiem tika nodrošināts bērnu pieskatīšanas pakalpojums, kura ietvaros bērniem tika nodrošinātas izglītojošas aktivitātes.</w:t>
      </w:r>
    </w:p>
    <w:p w14:paraId="43AA9C12" w14:textId="2D24CB45" w:rsidR="00143135" w:rsidRDefault="008C047C" w:rsidP="008C047C">
      <w:pPr>
        <w:rPr>
          <w:bCs/>
        </w:rPr>
      </w:pPr>
      <w:r w:rsidRPr="008C047C">
        <w:rPr>
          <w:bCs/>
        </w:rPr>
        <w:t>Papildu</w:t>
      </w:r>
      <w:r w:rsidR="00AE634D">
        <w:rPr>
          <w:bCs/>
        </w:rPr>
        <w:t xml:space="preserve"> mērķa grupām</w:t>
      </w:r>
      <w:r w:rsidRPr="008C047C">
        <w:rPr>
          <w:bCs/>
        </w:rPr>
        <w:t xml:space="preserve"> radās arī sociālā pievienotā vērtība</w:t>
      </w:r>
      <w:r w:rsidR="00AE634D">
        <w:rPr>
          <w:bCs/>
        </w:rPr>
        <w:t xml:space="preserve">. Piemēram, </w:t>
      </w:r>
      <w:r w:rsidRPr="008C047C">
        <w:rPr>
          <w:bCs/>
        </w:rPr>
        <w:t>valodas kursu grupās veidojās sociālie tīkli, kur dalībnieki turpināja uzturēt kontaktus un sniegt savstarpēju atbalstu</w:t>
      </w:r>
      <w:r w:rsidR="00E80BFA">
        <w:rPr>
          <w:bCs/>
        </w:rPr>
        <w:t xml:space="preserve">, kas sekmēja tālāko integrāciju Latvijā, piemēram, darba atrašanas iespējas. </w:t>
      </w:r>
    </w:p>
    <w:p w14:paraId="73321CF2" w14:textId="77777777" w:rsidR="00EB53C9" w:rsidRPr="008C047C" w:rsidRDefault="00EB53C9" w:rsidP="008C047C">
      <w:pPr>
        <w:rPr>
          <w:bCs/>
        </w:rPr>
      </w:pP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3AFF9803" w14:textId="77777777" w:rsidTr="00107F75">
        <w:tc>
          <w:tcPr>
            <w:tcW w:w="10252" w:type="dxa"/>
            <w:shd w:val="clear" w:color="auto" w:fill="F3B8FF" w:themeFill="accent6" w:themeFillTint="33"/>
          </w:tcPr>
          <w:p w14:paraId="033247F8" w14:textId="77777777" w:rsidR="00143135" w:rsidRPr="008F64A0" w:rsidRDefault="00143135" w:rsidP="00A239D8">
            <w:pPr>
              <w:rPr>
                <w:i/>
                <w:iCs/>
                <w:color w:val="5A5A5A" w:themeColor="accent1" w:themeTint="BF"/>
              </w:rPr>
            </w:pPr>
            <w:r w:rsidRPr="008F64A0">
              <w:rPr>
                <w:i/>
                <w:iCs/>
                <w:color w:val="5A5A5A" w:themeColor="accent1" w:themeTint="BF"/>
              </w:rPr>
              <w:lastRenderedPageBreak/>
              <w:t>Apakšjautājums: Vai darbības, kas nepieciešamas ES politikas īstenošanai fonda jomās, dalībvalsts būtu varējusi veikt bez fonda finansiālā atbalsta?</w:t>
            </w:r>
          </w:p>
        </w:tc>
      </w:tr>
    </w:tbl>
    <w:p w14:paraId="7A77774B" w14:textId="7F60D216" w:rsidR="00143135" w:rsidRDefault="00B67908" w:rsidP="00143135">
      <w:pPr>
        <w:rPr>
          <w:bCs/>
        </w:rPr>
      </w:pPr>
      <w:r w:rsidRPr="0055050C">
        <w:t xml:space="preserve">Finansējuma saņēmēju ieskatā </w:t>
      </w:r>
      <w:r w:rsidR="00226EB9" w:rsidRPr="0055050C">
        <w:t xml:space="preserve">ES atbalsts ir bijis nozīmīgs aktivitāšu īstenošanai. </w:t>
      </w:r>
      <w:r w:rsidR="00BB7B36" w:rsidRPr="0055050C">
        <w:t>5</w:t>
      </w:r>
      <w:r w:rsidR="003259A3">
        <w:t>8</w:t>
      </w:r>
      <w:r w:rsidR="001D7E8E" w:rsidRPr="0055050C">
        <w:t> </w:t>
      </w:r>
      <w:r w:rsidR="00226EB9" w:rsidRPr="0055050C">
        <w:t xml:space="preserve">% finansējuma saņēmēju norāda, ka bez Programmu atbalsta neviena aktivitāte nebūtu ieviesta, savukārt </w:t>
      </w:r>
      <w:r w:rsidR="00BB7B36" w:rsidRPr="0055050C">
        <w:t>3</w:t>
      </w:r>
      <w:r w:rsidR="003259A3">
        <w:t>2</w:t>
      </w:r>
      <w:r w:rsidR="001D7E8E" w:rsidRPr="0055050C">
        <w:t> </w:t>
      </w:r>
      <w:r w:rsidR="00226EB9" w:rsidRPr="0055050C">
        <w:t xml:space="preserve">% — ka </w:t>
      </w:r>
      <w:r w:rsidR="00137179" w:rsidRPr="0055050C">
        <w:t>iespējams tikai atsevišķas aktivitātes būtu ieviestas</w:t>
      </w:r>
      <w:r w:rsidR="0055050C" w:rsidRPr="0055050C">
        <w:rPr>
          <w:bCs/>
        </w:rPr>
        <w:t xml:space="preserve"> (</w:t>
      </w:r>
      <w:r w:rsidR="000467D2">
        <w:rPr>
          <w:bCs/>
          <w:highlight w:val="yellow"/>
        </w:rPr>
        <w:fldChar w:fldCharType="begin"/>
      </w:r>
      <w:r w:rsidR="000467D2">
        <w:rPr>
          <w:bCs/>
        </w:rPr>
        <w:instrText xml:space="preserve"> REF _Ref190278161 \h </w:instrText>
      </w:r>
      <w:r w:rsidR="000467D2">
        <w:rPr>
          <w:bCs/>
          <w:highlight w:val="yellow"/>
        </w:rPr>
      </w:r>
      <w:r w:rsidR="000467D2">
        <w:rPr>
          <w:bCs/>
          <w:highlight w:val="yellow"/>
        </w:rPr>
        <w:fldChar w:fldCharType="separate"/>
      </w:r>
      <w:r w:rsidR="000523B6">
        <w:t xml:space="preserve">Attēls </w:t>
      </w:r>
      <w:r w:rsidR="000523B6">
        <w:rPr>
          <w:noProof/>
        </w:rPr>
        <w:t>12</w:t>
      </w:r>
      <w:r w:rsidR="000467D2">
        <w:rPr>
          <w:bCs/>
          <w:highlight w:val="yellow"/>
        </w:rPr>
        <w:fldChar w:fldCharType="end"/>
      </w:r>
      <w:r w:rsidR="0055050C" w:rsidRPr="0055050C">
        <w:rPr>
          <w:bCs/>
        </w:rPr>
        <w:t>)</w:t>
      </w:r>
      <w:r w:rsidR="00137179" w:rsidRPr="0055050C">
        <w:rPr>
          <w:bCs/>
        </w:rPr>
        <w:t>.</w:t>
      </w:r>
      <w:r w:rsidR="00137179">
        <w:rPr>
          <w:bCs/>
        </w:rPr>
        <w:t xml:space="preserve"> </w:t>
      </w:r>
    </w:p>
    <w:p w14:paraId="51596BB3" w14:textId="63B04365" w:rsidR="00D34CE4" w:rsidRDefault="00D34CE4" w:rsidP="00B11F7C">
      <w:pPr>
        <w:pStyle w:val="GraphTitle"/>
      </w:pPr>
      <w:bookmarkStart w:id="41" w:name="_Ref190278161"/>
      <w:bookmarkStart w:id="42" w:name="_Ref191388611"/>
      <w:r>
        <w:t xml:space="preserve">Attēls </w:t>
      </w:r>
      <w:r w:rsidR="00C47EA2">
        <w:fldChar w:fldCharType="begin"/>
      </w:r>
      <w:r w:rsidR="00C47EA2">
        <w:instrText xml:space="preserve"> SEQ Attēls \* ARABIC </w:instrText>
      </w:r>
      <w:r w:rsidR="00C47EA2">
        <w:fldChar w:fldCharType="separate"/>
      </w:r>
      <w:r w:rsidR="000523B6">
        <w:t>12</w:t>
      </w:r>
      <w:r w:rsidR="00C47EA2">
        <w:fldChar w:fldCharType="end"/>
      </w:r>
      <w:bookmarkEnd w:id="41"/>
      <w:r>
        <w:t>. Finansējuma saņēmēju vērtējums par</w:t>
      </w:r>
      <w:r w:rsidR="00B11F7C">
        <w:t xml:space="preserve">, vai </w:t>
      </w:r>
      <w:r w:rsidR="00B11F7C" w:rsidRPr="00B11F7C">
        <w:t xml:space="preserve">projekta/-u aktivitātes tiktu ieviestas arī bez </w:t>
      </w:r>
      <w:r w:rsidR="00CE6EEB">
        <w:t>ES</w:t>
      </w:r>
      <w:r w:rsidR="00B11F7C" w:rsidRPr="00B11F7C">
        <w:t xml:space="preserve"> Programmas/-u finansējuma</w:t>
      </w:r>
      <w:bookmarkEnd w:id="42"/>
    </w:p>
    <w:p w14:paraId="71925CB8" w14:textId="5F778BBA" w:rsidR="00A02A43" w:rsidRDefault="00A11ABB" w:rsidP="00143135">
      <w:pPr>
        <w:rPr>
          <w:bCs/>
        </w:rPr>
      </w:pPr>
      <w:r>
        <w:rPr>
          <w:noProof/>
        </w:rPr>
        <w:drawing>
          <wp:inline distT="0" distB="0" distL="0" distR="0" wp14:anchorId="083845E6" wp14:editId="68A20D7E">
            <wp:extent cx="6540500" cy="1822450"/>
            <wp:effectExtent l="0" t="0" r="0" b="6350"/>
            <wp:docPr id="1876554501" name="Chart 1">
              <a:extLst xmlns:a="http://schemas.openxmlformats.org/drawingml/2006/main">
                <a:ext uri="{FF2B5EF4-FFF2-40B4-BE49-F238E27FC236}">
                  <a16:creationId xmlns:a16="http://schemas.microsoft.com/office/drawing/2014/main" id="{CF17137B-2E61-4F5E-8955-AE4480E64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CAB0C1" w14:textId="5CCDE931" w:rsidR="00A02A43" w:rsidRPr="00785D09" w:rsidRDefault="00A02A43" w:rsidP="00A02A43">
      <w:pPr>
        <w:jc w:val="right"/>
        <w:rPr>
          <w:rStyle w:val="Izsmalcintsizclums"/>
        </w:rPr>
      </w:pPr>
      <w:r w:rsidRPr="00785D09">
        <w:rPr>
          <w:rStyle w:val="Izsmalcintsizclums"/>
        </w:rPr>
        <w:t>Avots: Finansējuma saņēmēju aptauja, n=</w:t>
      </w:r>
      <w:r w:rsidR="00A11ABB" w:rsidRPr="00785D09">
        <w:rPr>
          <w:rStyle w:val="Izsmalcintsizclums"/>
        </w:rPr>
        <w:t>19</w:t>
      </w:r>
    </w:p>
    <w:p w14:paraId="45132160" w14:textId="3F9C2A86" w:rsidR="009E4537" w:rsidRPr="009E4537" w:rsidRDefault="00265C1C" w:rsidP="009E4537">
      <w:pPr>
        <w:rPr>
          <w:rFonts w:cstheme="minorHAnsi"/>
        </w:rPr>
      </w:pPr>
      <w:r>
        <w:rPr>
          <w:rFonts w:cstheme="minorHAnsi"/>
        </w:rPr>
        <w:t xml:space="preserve">Tādējādi </w:t>
      </w:r>
      <w:r w:rsidR="009E4537" w:rsidRPr="009E4537">
        <w:rPr>
          <w:rFonts w:cstheme="minorHAnsi"/>
        </w:rPr>
        <w:t>var secināt, ka bez ES fonda finansiālā atbalsta dalībvalsts būtu saskārusies ar nopietnām grūtībām ES politikas īstenošanā patvēruma, migrācijas un integrācijas jomā.</w:t>
      </w:r>
    </w:p>
    <w:p w14:paraId="52E13E39" w14:textId="3B9B2DAE" w:rsidR="00A86A14" w:rsidRDefault="002D08B7" w:rsidP="009E4537">
      <w:pPr>
        <w:rPr>
          <w:rFonts w:cstheme="minorHAnsi"/>
        </w:rPr>
      </w:pPr>
      <w:r>
        <w:rPr>
          <w:rFonts w:cstheme="minorHAnsi"/>
        </w:rPr>
        <w:t>Kā norāda finansējuma saņēmēji un uzraugošās iestā</w:t>
      </w:r>
      <w:r w:rsidR="009340ED">
        <w:rPr>
          <w:rFonts w:cstheme="minorHAnsi"/>
        </w:rPr>
        <w:t>des, i</w:t>
      </w:r>
      <w:r w:rsidR="009E4537" w:rsidRPr="009E4537">
        <w:rPr>
          <w:rFonts w:cstheme="minorHAnsi"/>
        </w:rPr>
        <w:t>ntegrācijas sistēma Latvijā gandrīz pilnībā balstās uz projektu finansējumu</w:t>
      </w:r>
      <w:r w:rsidR="009340ED">
        <w:rPr>
          <w:rFonts w:cstheme="minorHAnsi"/>
        </w:rPr>
        <w:t>. Vienlaikus bijis</w:t>
      </w:r>
      <w:r w:rsidR="009E4537" w:rsidRPr="009E4537">
        <w:rPr>
          <w:rFonts w:cstheme="minorHAnsi"/>
        </w:rPr>
        <w:t xml:space="preserve"> vērojams nepietiekams pēctecības nodrošinājums</w:t>
      </w:r>
      <w:r w:rsidR="00A86A14">
        <w:rPr>
          <w:rFonts w:cstheme="minorHAnsi"/>
        </w:rPr>
        <w:t>, iestājoties finansējuma pārtraukumam</w:t>
      </w:r>
      <w:r w:rsidR="009340ED">
        <w:rPr>
          <w:rFonts w:cstheme="minorHAnsi"/>
        </w:rPr>
        <w:t xml:space="preserve"> integrācijas pasākumu nodrošināšanai</w:t>
      </w:r>
      <w:r w:rsidR="00A86A14">
        <w:rPr>
          <w:rFonts w:cstheme="minorHAnsi"/>
        </w:rPr>
        <w:t xml:space="preserve"> starp plānošanas periodiem</w:t>
      </w:r>
      <w:r w:rsidR="009E4537" w:rsidRPr="009E4537">
        <w:rPr>
          <w:rFonts w:cstheme="minorHAnsi"/>
        </w:rPr>
        <w:t xml:space="preserve">. </w:t>
      </w:r>
      <w:r w:rsidR="00A86A14" w:rsidRPr="009E4537">
        <w:rPr>
          <w:rFonts w:cstheme="minorHAnsi"/>
        </w:rPr>
        <w:t xml:space="preserve">Valsts budžeta līdzekļu ieguldījums šajā jomā ir salīdzinoši neliels, un nav vērojama tendence </w:t>
      </w:r>
      <w:r w:rsidR="00FA33A3">
        <w:rPr>
          <w:rFonts w:cstheme="minorHAnsi"/>
        </w:rPr>
        <w:t>to būtiski</w:t>
      </w:r>
      <w:r w:rsidR="00A86A14" w:rsidRPr="009E4537">
        <w:rPr>
          <w:rFonts w:cstheme="minorHAnsi"/>
        </w:rPr>
        <w:t xml:space="preserve"> palielināt. Vienīgais izņēmums ir mērķēt</w:t>
      </w:r>
      <w:r w:rsidR="009A24A9">
        <w:rPr>
          <w:rFonts w:cstheme="minorHAnsi"/>
        </w:rPr>
        <w:t>a</w:t>
      </w:r>
      <w:r w:rsidR="00A86A14" w:rsidRPr="009E4537">
        <w:rPr>
          <w:rFonts w:cstheme="minorHAnsi"/>
        </w:rPr>
        <w:t xml:space="preserve"> atbalst</w:t>
      </w:r>
      <w:r w:rsidR="009A24A9">
        <w:rPr>
          <w:rFonts w:cstheme="minorHAnsi"/>
        </w:rPr>
        <w:t>a nodrošināšana</w:t>
      </w:r>
      <w:r w:rsidR="00A86A14" w:rsidRPr="009E4537">
        <w:rPr>
          <w:rFonts w:cstheme="minorHAnsi"/>
        </w:rPr>
        <w:t xml:space="preserve"> specifiskām grupām, piemēram, Ukrainas civiliedzīvotājiem, kur papildu finansējums ti</w:t>
      </w:r>
      <w:r w:rsidR="009A24A9">
        <w:rPr>
          <w:rFonts w:cstheme="minorHAnsi"/>
        </w:rPr>
        <w:t>cis nodrošināts</w:t>
      </w:r>
      <w:r w:rsidR="00A86A14" w:rsidRPr="009E4537">
        <w:rPr>
          <w:rFonts w:cstheme="minorHAnsi"/>
        </w:rPr>
        <w:t>.</w:t>
      </w:r>
    </w:p>
    <w:p w14:paraId="1E310485" w14:textId="6080E8EE" w:rsidR="009E4537" w:rsidRPr="009E4537" w:rsidRDefault="00E23674" w:rsidP="009E4537">
      <w:pPr>
        <w:rPr>
          <w:rFonts w:cstheme="minorHAnsi"/>
        </w:rPr>
      </w:pPr>
      <w:r>
        <w:rPr>
          <w:rFonts w:cstheme="minorHAnsi"/>
        </w:rPr>
        <w:t>Līdzīga situācija ir arī attiecībā uz atbalsta pakalpojumu nodrošināšanu</w:t>
      </w:r>
      <w:r w:rsidR="00A51742">
        <w:rPr>
          <w:rFonts w:cstheme="minorHAnsi"/>
        </w:rPr>
        <w:t xml:space="preserve"> patvēruma meklētājiem</w:t>
      </w:r>
      <w:r>
        <w:rPr>
          <w:rFonts w:cstheme="minorHAnsi"/>
        </w:rPr>
        <w:t>, kur valsts budžeta ietvaros pieejam</w:t>
      </w:r>
      <w:r w:rsidR="0074342D">
        <w:rPr>
          <w:rFonts w:cstheme="minorHAnsi"/>
        </w:rPr>
        <w:t>ais finansējums ir ierobežots un nodrošina vien minimālu atbalstu</w:t>
      </w:r>
      <w:r w:rsidR="0050671F">
        <w:rPr>
          <w:rFonts w:cstheme="minorHAnsi"/>
        </w:rPr>
        <w:t>— u</w:t>
      </w:r>
      <w:r w:rsidR="0050671F" w:rsidRPr="0050671F">
        <w:rPr>
          <w:rFonts w:cstheme="minorHAnsi"/>
        </w:rPr>
        <w:t>ztura un dienasnaud</w:t>
      </w:r>
      <w:r w:rsidR="0050671F">
        <w:rPr>
          <w:rFonts w:cstheme="minorHAnsi"/>
        </w:rPr>
        <w:t xml:space="preserve">u </w:t>
      </w:r>
      <w:r w:rsidR="0050671F" w:rsidRPr="0050671F">
        <w:rPr>
          <w:rFonts w:cstheme="minorHAnsi"/>
        </w:rPr>
        <w:t>3,00 </w:t>
      </w:r>
      <w:r w:rsidR="0050671F" w:rsidRPr="0050671F">
        <w:rPr>
          <w:rFonts w:cstheme="minorHAnsi"/>
          <w:i/>
          <w:iCs/>
        </w:rPr>
        <w:t>euro</w:t>
      </w:r>
      <w:r w:rsidR="0050671F" w:rsidRPr="0050671F">
        <w:rPr>
          <w:rFonts w:cstheme="minorHAnsi"/>
        </w:rPr>
        <w:t> </w:t>
      </w:r>
      <w:r w:rsidR="0050671F">
        <w:rPr>
          <w:rFonts w:cstheme="minorHAnsi"/>
        </w:rPr>
        <w:t xml:space="preserve">apmērā par vienu </w:t>
      </w:r>
      <w:r w:rsidR="0050671F" w:rsidRPr="0050671F">
        <w:rPr>
          <w:rFonts w:cstheme="minorHAnsi"/>
        </w:rPr>
        <w:t>diennakt</w:t>
      </w:r>
      <w:r w:rsidR="0050671F">
        <w:rPr>
          <w:rFonts w:cstheme="minorHAnsi"/>
        </w:rPr>
        <w:t>i</w:t>
      </w:r>
      <w:r w:rsidR="0050671F">
        <w:rPr>
          <w:rStyle w:val="Vresatsauce"/>
          <w:rFonts w:cstheme="minorHAnsi"/>
        </w:rPr>
        <w:footnoteReference w:id="32"/>
      </w:r>
      <w:r w:rsidR="0074342D">
        <w:rPr>
          <w:rFonts w:cstheme="minorHAnsi"/>
        </w:rPr>
        <w:t>.</w:t>
      </w:r>
      <w:r w:rsidR="00A86A14">
        <w:rPr>
          <w:rFonts w:cstheme="minorHAnsi"/>
        </w:rPr>
        <w:t xml:space="preserve"> Vienlaikus citas PMIF ietvaros īstenotās aktivitātes, kas ietver </w:t>
      </w:r>
      <w:r w:rsidR="00FB09DE">
        <w:rPr>
          <w:rFonts w:cstheme="minorHAnsi"/>
        </w:rPr>
        <w:t>materiāltehniskā nodrošinājuma iegādi, arī nebūtu iespējams pilnvērtīgi īstenot bez ārējā finansējuma</w:t>
      </w:r>
      <w:r w:rsidR="00F45B78">
        <w:rPr>
          <w:rFonts w:cstheme="minorHAnsi"/>
        </w:rPr>
        <w:t xml:space="preserve"> instrumentiem. </w:t>
      </w:r>
    </w:p>
    <w:p w14:paraId="4B7928C1" w14:textId="7F4631C6" w:rsidR="000404DF" w:rsidRDefault="000404DF" w:rsidP="009E4537">
      <w:pPr>
        <w:rPr>
          <w:rFonts w:cstheme="minorHAnsi"/>
        </w:rPr>
      </w:pPr>
      <w:r>
        <w:rPr>
          <w:rFonts w:cstheme="minorHAnsi"/>
        </w:rPr>
        <w:t>Brīvprātīgās atgriešanas jomā b</w:t>
      </w:r>
      <w:r w:rsidR="009E4537" w:rsidRPr="009E4537">
        <w:rPr>
          <w:rFonts w:cstheme="minorHAnsi"/>
        </w:rPr>
        <w:t>ez ES fonda atbalsta pastāv risks, ka fokuss</w:t>
      </w:r>
      <w:r w:rsidR="004C3EDB">
        <w:rPr>
          <w:rFonts w:cstheme="minorHAnsi"/>
        </w:rPr>
        <w:t xml:space="preserve"> nelegālo migrantu izraidīšanai</w:t>
      </w:r>
      <w:r w:rsidR="009E4537" w:rsidRPr="009E4537">
        <w:rPr>
          <w:rFonts w:cstheme="minorHAnsi"/>
        </w:rPr>
        <w:t xml:space="preserve"> būtu vairāk vērsts uz piespiedu atgriešanas pasākumiem, nevis uz integrācijas veicināšanu un brīvprātīgās atgriešanās programmām. </w:t>
      </w:r>
      <w:r>
        <w:rPr>
          <w:rFonts w:cstheme="minorHAnsi"/>
        </w:rPr>
        <w:t xml:space="preserve">Tas savukārt </w:t>
      </w:r>
      <w:r w:rsidR="004C3EDB">
        <w:rPr>
          <w:rFonts w:cstheme="minorHAnsi"/>
        </w:rPr>
        <w:t>ietvertu</w:t>
      </w:r>
      <w:r>
        <w:rPr>
          <w:rFonts w:cstheme="minorHAnsi"/>
        </w:rPr>
        <w:t xml:space="preserve"> papildu izmaks</w:t>
      </w:r>
      <w:r w:rsidR="004C3EDB">
        <w:rPr>
          <w:rFonts w:cstheme="minorHAnsi"/>
        </w:rPr>
        <w:t>as</w:t>
      </w:r>
      <w:r>
        <w:rPr>
          <w:rFonts w:cstheme="minorHAnsi"/>
        </w:rPr>
        <w:t>, jo nelegālo imigrantu uzturēšan</w:t>
      </w:r>
      <w:r w:rsidR="006D1F77">
        <w:rPr>
          <w:rFonts w:cstheme="minorHAnsi"/>
        </w:rPr>
        <w:t>a</w:t>
      </w:r>
      <w:r>
        <w:rPr>
          <w:rFonts w:cstheme="minorHAnsi"/>
        </w:rPr>
        <w:t xml:space="preserve"> valstī </w:t>
      </w:r>
      <w:r w:rsidR="006D1F77">
        <w:rPr>
          <w:rFonts w:cstheme="minorHAnsi"/>
        </w:rPr>
        <w:t>līdz</w:t>
      </w:r>
      <w:r w:rsidR="00AC5890">
        <w:rPr>
          <w:rFonts w:cstheme="minorHAnsi"/>
        </w:rPr>
        <w:t xml:space="preserve"> piespiedu</w:t>
      </w:r>
      <w:r w:rsidR="006D1F77">
        <w:rPr>
          <w:rFonts w:cstheme="minorHAnsi"/>
        </w:rPr>
        <w:t xml:space="preserve"> izraidīšanai </w:t>
      </w:r>
      <w:r>
        <w:rPr>
          <w:rFonts w:cstheme="minorHAnsi"/>
        </w:rPr>
        <w:t>un piespiedu atgriešanas pasākumu īstenošana izmaksā dārgāk, nekā brīvprātīgā</w:t>
      </w:r>
      <w:r w:rsidR="004C3EDB">
        <w:rPr>
          <w:rFonts w:cstheme="minorHAnsi"/>
        </w:rPr>
        <w:t>s</w:t>
      </w:r>
      <w:r>
        <w:rPr>
          <w:rFonts w:cstheme="minorHAnsi"/>
        </w:rPr>
        <w:t xml:space="preserve"> atgriešana</w:t>
      </w:r>
      <w:r w:rsidR="004C3EDB">
        <w:rPr>
          <w:rFonts w:cstheme="minorHAnsi"/>
        </w:rPr>
        <w:t>s pasā</w:t>
      </w:r>
      <w:r w:rsidR="00355F5D">
        <w:rPr>
          <w:rFonts w:cstheme="minorHAnsi"/>
        </w:rPr>
        <w:t>k</w:t>
      </w:r>
      <w:r w:rsidR="004C3EDB">
        <w:rPr>
          <w:rFonts w:cstheme="minorHAnsi"/>
        </w:rPr>
        <w:t>umi</w:t>
      </w:r>
      <w:r>
        <w:rPr>
          <w:rFonts w:cstheme="minorHAnsi"/>
        </w:rPr>
        <w:t xml:space="preserve">. </w:t>
      </w:r>
    </w:p>
    <w:p w14:paraId="01305CEE" w14:textId="26033BEB" w:rsidR="000106EC" w:rsidRPr="00560D15" w:rsidRDefault="009E4537" w:rsidP="00143135">
      <w:pPr>
        <w:rPr>
          <w:rFonts w:cstheme="minorHAnsi"/>
        </w:rPr>
      </w:pPr>
      <w:r w:rsidRPr="009E4537">
        <w:rPr>
          <w:rFonts w:cstheme="minorHAnsi"/>
        </w:rPr>
        <w:t xml:space="preserve">Var secināt, ka bez ES fonda finansējuma integrācijas un migrācijas atbalsta sistēma Latvijā būtu ievērojami vājāka, jo nacionālā finansējuma </w:t>
      </w:r>
      <w:r w:rsidR="00930BB2">
        <w:rPr>
          <w:rFonts w:cstheme="minorHAnsi"/>
        </w:rPr>
        <w:t xml:space="preserve">iespējas </w:t>
      </w:r>
      <w:r w:rsidRPr="009E4537">
        <w:rPr>
          <w:rFonts w:cstheme="minorHAnsi"/>
        </w:rPr>
        <w:t>šo jautājumu risināšanai</w:t>
      </w:r>
      <w:r w:rsidR="00930BB2">
        <w:rPr>
          <w:rFonts w:cstheme="minorHAnsi"/>
        </w:rPr>
        <w:t xml:space="preserve"> ir ierobežotas</w:t>
      </w:r>
      <w:r w:rsidRPr="009E4537">
        <w:rPr>
          <w:rFonts w:cstheme="minorHAnsi"/>
        </w:rPr>
        <w:t xml:space="preserve">. ES fondu atbalsts ir bijis </w:t>
      </w:r>
      <w:r w:rsidR="00930BB2">
        <w:rPr>
          <w:rFonts w:cstheme="minorHAnsi"/>
        </w:rPr>
        <w:t>nozīmīgs</w:t>
      </w:r>
      <w:r w:rsidRPr="009E4537">
        <w:rPr>
          <w:rFonts w:cstheme="minorHAnsi"/>
        </w:rPr>
        <w:t>, lai nodrošinātu nepieciešamo pakalpojumu pieejamību un kvalitāti.</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2BC4D204" w14:textId="77777777" w:rsidTr="00107F75">
        <w:tc>
          <w:tcPr>
            <w:tcW w:w="10252" w:type="dxa"/>
            <w:shd w:val="clear" w:color="auto" w:fill="F3B8FF" w:themeFill="accent6" w:themeFillTint="33"/>
          </w:tcPr>
          <w:p w14:paraId="54285EAC" w14:textId="77777777" w:rsidR="00143135" w:rsidRPr="008F64A0" w:rsidRDefault="00143135" w:rsidP="00A239D8">
            <w:pPr>
              <w:rPr>
                <w:i/>
                <w:iCs/>
                <w:color w:val="5A5A5A" w:themeColor="accent1" w:themeTint="BF"/>
              </w:rPr>
            </w:pPr>
            <w:r w:rsidRPr="008F64A0">
              <w:rPr>
                <w:i/>
                <w:iCs/>
                <w:color w:val="5A5A5A" w:themeColor="accent1" w:themeTint="BF"/>
              </w:rPr>
              <w:lastRenderedPageBreak/>
              <w:t>Apakšjautājums: Kādas sekas, visticamāk, izraisītu fonda atbalsta pārtraukšana?</w:t>
            </w:r>
          </w:p>
        </w:tc>
      </w:tr>
    </w:tbl>
    <w:p w14:paraId="702EF15A" w14:textId="4D1003D1" w:rsidR="00B355C1" w:rsidRPr="00B355C1" w:rsidRDefault="00B355C1" w:rsidP="00B355C1">
      <w:pPr>
        <w:rPr>
          <w:rFonts w:cstheme="minorHAnsi"/>
        </w:rPr>
      </w:pPr>
      <w:r>
        <w:rPr>
          <w:rFonts w:cstheme="minorHAnsi"/>
        </w:rPr>
        <w:t xml:space="preserve">Atbilstoši finansējuma saņēmēju un uzraugošo iestāžu viedoklim </w:t>
      </w:r>
      <w:r w:rsidRPr="00B355C1">
        <w:rPr>
          <w:rFonts w:cstheme="minorHAnsi"/>
        </w:rPr>
        <w:t>ES fonda atbalsta pārtraukšana radītu nopietnas un daudzpusīgas negatīvas sekas</w:t>
      </w:r>
      <w:r>
        <w:rPr>
          <w:rFonts w:cstheme="minorHAnsi"/>
        </w:rPr>
        <w:t>. Pirmkārt, s</w:t>
      </w:r>
      <w:r w:rsidRPr="00B355C1">
        <w:rPr>
          <w:rFonts w:cstheme="minorHAnsi"/>
        </w:rPr>
        <w:t xml:space="preserve">istēmiskā līmenī vērojams, ka jau </w:t>
      </w:r>
      <w:r>
        <w:rPr>
          <w:rFonts w:cstheme="minorHAnsi"/>
        </w:rPr>
        <w:t xml:space="preserve">šobrīd </w:t>
      </w:r>
      <w:r w:rsidRPr="00B355C1">
        <w:rPr>
          <w:rFonts w:cstheme="minorHAnsi"/>
        </w:rPr>
        <w:t xml:space="preserve">ar ES fondiem nepietiek, lai </w:t>
      </w:r>
      <w:r>
        <w:rPr>
          <w:rFonts w:cstheme="minorHAnsi"/>
        </w:rPr>
        <w:t xml:space="preserve">apmierinātu </w:t>
      </w:r>
      <w:r w:rsidRPr="00B355C1">
        <w:rPr>
          <w:rFonts w:cstheme="minorHAnsi"/>
        </w:rPr>
        <w:t xml:space="preserve">visas esošās vajadzības. Pārtraucot fondu atbalstu, būtu jāatsakās no vairākām būtiskām aktivitātēm, lai ar ierobežotajiem resursiem varētu apkalpot lielāku </w:t>
      </w:r>
      <w:r w:rsidR="00EE508B">
        <w:rPr>
          <w:rFonts w:cstheme="minorHAnsi"/>
        </w:rPr>
        <w:t xml:space="preserve">atbalsta </w:t>
      </w:r>
      <w:r w:rsidRPr="00B355C1">
        <w:rPr>
          <w:rFonts w:cstheme="minorHAnsi"/>
        </w:rPr>
        <w:t xml:space="preserve">saņēmēju skaitu. </w:t>
      </w:r>
      <w:r w:rsidR="005B0C80">
        <w:rPr>
          <w:rFonts w:cstheme="minorHAnsi"/>
        </w:rPr>
        <w:t xml:space="preserve">Turklāt </w:t>
      </w:r>
      <w:r w:rsidRPr="00B355C1">
        <w:rPr>
          <w:rFonts w:cstheme="minorHAnsi"/>
        </w:rPr>
        <w:t>iespējas izpētīt un ieviest jaunus atbalsta mehānismus</w:t>
      </w:r>
      <w:r w:rsidR="005B0C80">
        <w:rPr>
          <w:rFonts w:cstheme="minorHAnsi"/>
        </w:rPr>
        <w:t xml:space="preserve"> būtu vēl ierobežotākas </w:t>
      </w:r>
      <w:r w:rsidR="00297E74">
        <w:rPr>
          <w:rFonts w:cstheme="minorHAnsi"/>
        </w:rPr>
        <w:t>ne</w:t>
      </w:r>
      <w:r w:rsidR="005B0C80">
        <w:rPr>
          <w:rFonts w:cstheme="minorHAnsi"/>
        </w:rPr>
        <w:t>kā šobrīd</w:t>
      </w:r>
      <w:r w:rsidRPr="00B355C1">
        <w:rPr>
          <w:rFonts w:cstheme="minorHAnsi"/>
        </w:rPr>
        <w:t>.</w:t>
      </w:r>
    </w:p>
    <w:p w14:paraId="53BFD80F" w14:textId="3019A98A" w:rsidR="005B0C80" w:rsidRPr="00B355C1" w:rsidRDefault="005B0C80" w:rsidP="005B0C80">
      <w:pPr>
        <w:rPr>
          <w:rFonts w:cstheme="minorHAnsi"/>
        </w:rPr>
      </w:pPr>
      <w:r>
        <w:rPr>
          <w:rFonts w:cstheme="minorHAnsi"/>
        </w:rPr>
        <w:t>Tā kā n</w:t>
      </w:r>
      <w:r w:rsidRPr="00B355C1">
        <w:rPr>
          <w:rFonts w:cstheme="minorHAnsi"/>
        </w:rPr>
        <w:t>acionālā budžeta līdzekļ</w:t>
      </w:r>
      <w:r>
        <w:rPr>
          <w:rFonts w:cstheme="minorHAnsi"/>
        </w:rPr>
        <w:t>i ir ierobežoti, lai, piemēram, patvēruma meklētājiem nodrošinātu pamatvajadzī</w:t>
      </w:r>
      <w:r w:rsidR="004D7EDB">
        <w:rPr>
          <w:rFonts w:cstheme="minorHAnsi"/>
        </w:rPr>
        <w:t xml:space="preserve">bas, kā piemēram, projekta ietvaros </w:t>
      </w:r>
      <w:r w:rsidR="00216ED6">
        <w:rPr>
          <w:rFonts w:cstheme="minorHAnsi"/>
        </w:rPr>
        <w:t xml:space="preserve">piešķirtās </w:t>
      </w:r>
      <w:r w:rsidR="004D7EDB">
        <w:rPr>
          <w:rFonts w:cstheme="minorHAnsi"/>
        </w:rPr>
        <w:t>higiēnas preces, t</w:t>
      </w:r>
      <w:r w:rsidRPr="00B355C1">
        <w:rPr>
          <w:rFonts w:cstheme="minorHAnsi"/>
        </w:rPr>
        <w:t xml:space="preserve">ā rezultātā varētu pieaugt to personu skaits, kuri pamet </w:t>
      </w:r>
      <w:r w:rsidR="005A37F3">
        <w:rPr>
          <w:rFonts w:cstheme="minorHAnsi"/>
        </w:rPr>
        <w:t>PMC</w:t>
      </w:r>
      <w:r w:rsidRPr="00B355C1">
        <w:rPr>
          <w:rFonts w:cstheme="minorHAnsi"/>
        </w:rPr>
        <w:t xml:space="preserve"> un potenciāli dodas uz citām ES valstīm, meklējot labākus dzīves apstākļus. Tas radītu gan humanitāras problēmas, gan apdraudētu ES kopējo migrācijas politikas īstenošanu.</w:t>
      </w:r>
    </w:p>
    <w:p w14:paraId="6EBC45C3" w14:textId="6009D5CD" w:rsidR="00B355C1" w:rsidRPr="00B355C1" w:rsidRDefault="00216ED6" w:rsidP="00B355C1">
      <w:pPr>
        <w:rPr>
          <w:rFonts w:cstheme="minorHAnsi"/>
        </w:rPr>
      </w:pPr>
      <w:r>
        <w:rPr>
          <w:rFonts w:cstheme="minorHAnsi"/>
        </w:rPr>
        <w:t>Bez ES fondu atbalsta arī i</w:t>
      </w:r>
      <w:r w:rsidR="00B355C1" w:rsidRPr="00B355C1">
        <w:rPr>
          <w:rFonts w:cstheme="minorHAnsi"/>
        </w:rPr>
        <w:t xml:space="preserve">ntegrācijas procesi tiktu nopietni kavēti, jo īpaši valodas apguves jomā. Lai gan daļa cilvēku varētu atļauties maksāt par </w:t>
      </w:r>
      <w:r w:rsidR="00297E74">
        <w:rPr>
          <w:rFonts w:cstheme="minorHAnsi"/>
        </w:rPr>
        <w:t xml:space="preserve">šiem </w:t>
      </w:r>
      <w:r w:rsidR="00B355C1" w:rsidRPr="00B355C1">
        <w:rPr>
          <w:rFonts w:cstheme="minorHAnsi"/>
        </w:rPr>
        <w:t xml:space="preserve">pakalpojumiem, </w:t>
      </w:r>
      <w:r w:rsidR="00C61530">
        <w:rPr>
          <w:rFonts w:cstheme="minorHAnsi"/>
        </w:rPr>
        <w:t>lielākā mērķa grupas</w:t>
      </w:r>
      <w:r w:rsidR="00B355C1" w:rsidRPr="00B355C1">
        <w:rPr>
          <w:rFonts w:cstheme="minorHAnsi"/>
        </w:rPr>
        <w:t xml:space="preserve"> daļa to nevarētu, īpaši sākotnējā integrācijas posmā, kad valodas prasme ir būtisks priekšnoteikums nodarbinātībai un iekļaušanai sabiedrībā.</w:t>
      </w:r>
      <w:r w:rsidR="000E136C">
        <w:rPr>
          <w:rFonts w:cstheme="minorHAnsi"/>
        </w:rPr>
        <w:t xml:space="preserve"> Finansējuma saņēmēji norāda, ka tas potenciāli varētu ietekmēt arī noziedzības paaugstināšanos, jo </w:t>
      </w:r>
      <w:r w:rsidR="00F71D1B">
        <w:rPr>
          <w:rFonts w:cstheme="minorHAnsi"/>
        </w:rPr>
        <w:t>bez valodas zināšanā</w:t>
      </w:r>
      <w:r w:rsidR="009F7EBD">
        <w:rPr>
          <w:rFonts w:cstheme="minorHAnsi"/>
        </w:rPr>
        <w:t>m ir apgrūtināta darba v</w:t>
      </w:r>
      <w:r w:rsidR="00422059">
        <w:rPr>
          <w:rFonts w:cstheme="minorHAnsi"/>
        </w:rPr>
        <w:t>ietas atrašana. Vienlaikus ti</w:t>
      </w:r>
      <w:r w:rsidR="004167BB">
        <w:rPr>
          <w:rFonts w:cstheme="minorHAnsi"/>
        </w:rPr>
        <w:t>k</w:t>
      </w:r>
      <w:r w:rsidR="00355F5D">
        <w:rPr>
          <w:rFonts w:cstheme="minorHAnsi"/>
        </w:rPr>
        <w:t>t</w:t>
      </w:r>
      <w:r w:rsidR="004167BB">
        <w:rPr>
          <w:rFonts w:cstheme="minorHAnsi"/>
        </w:rPr>
        <w:t>u</w:t>
      </w:r>
      <w:r w:rsidR="00422059">
        <w:rPr>
          <w:rFonts w:cstheme="minorHAnsi"/>
        </w:rPr>
        <w:t xml:space="preserve"> mazinātas </w:t>
      </w:r>
      <w:r w:rsidR="004167BB">
        <w:rPr>
          <w:rFonts w:cstheme="minorHAnsi"/>
        </w:rPr>
        <w:t xml:space="preserve">TVP </w:t>
      </w:r>
      <w:r w:rsidR="00422059">
        <w:rPr>
          <w:rFonts w:cstheme="minorHAnsi"/>
        </w:rPr>
        <w:t>iespējas integrēties vietējā sabiedrībā, tādējādi veicinot kopienu sabiedrības veidošanos</w:t>
      </w:r>
      <w:r w:rsidR="003F2285">
        <w:rPr>
          <w:rFonts w:cstheme="minorHAnsi"/>
        </w:rPr>
        <w:t xml:space="preserve">. </w:t>
      </w:r>
    </w:p>
    <w:tbl>
      <w:tblPr>
        <w:tblStyle w:val="Reatabula"/>
        <w:tblW w:w="10343" w:type="dxa"/>
        <w:shd w:val="clear" w:color="auto" w:fill="D8FBEB" w:themeFill="accent5" w:themeFillTint="33"/>
        <w:tblLook w:val="04A0" w:firstRow="1" w:lastRow="0" w:firstColumn="1" w:lastColumn="0" w:noHBand="0" w:noVBand="1"/>
      </w:tblPr>
      <w:tblGrid>
        <w:gridCol w:w="10343"/>
      </w:tblGrid>
      <w:tr w:rsidR="00143135" w:rsidRPr="008F64A0" w14:paraId="48DFD2DA" w14:textId="77777777" w:rsidTr="008D7A69">
        <w:tc>
          <w:tcPr>
            <w:tcW w:w="10343" w:type="dxa"/>
            <w:shd w:val="clear" w:color="auto" w:fill="F3B8FF" w:themeFill="accent6" w:themeFillTint="33"/>
          </w:tcPr>
          <w:p w14:paraId="439511FC" w14:textId="77777777" w:rsidR="00143135" w:rsidRPr="008F64A0" w:rsidRDefault="00143135" w:rsidP="00A239D8">
            <w:pPr>
              <w:rPr>
                <w:i/>
                <w:iCs/>
                <w:color w:val="5A5A5A" w:themeColor="accent1" w:themeTint="BF"/>
              </w:rPr>
            </w:pPr>
            <w:r w:rsidRPr="008F64A0">
              <w:rPr>
                <w:i/>
                <w:iCs/>
                <w:color w:val="5A5A5A" w:themeColor="accent1" w:themeTint="BF"/>
              </w:rPr>
              <w:t>Apakšjautājums: Cik lielā mērā fonda atbalstītās darbības sniedza priekšrocības Savienības līmenī?</w:t>
            </w:r>
          </w:p>
        </w:tc>
      </w:tr>
    </w:tbl>
    <w:p w14:paraId="3BD80A28" w14:textId="24A8CA0D" w:rsidR="00AE634D" w:rsidRPr="008F64A0" w:rsidRDefault="001604D6" w:rsidP="00143135">
      <w:pPr>
        <w:rPr>
          <w:b/>
        </w:rPr>
      </w:pPr>
      <w:r w:rsidRPr="001604D6">
        <w:rPr>
          <w:bCs/>
        </w:rPr>
        <w:t>UK fokusgrupas intervijas pārstāvji identificējuši divas galvenās priekšrocības ES līmenī. Pirmkārt, finansējums attīstībai sekmē iespējas uzlabot procesu efektivitāti un kvalitāti, tādējādi sniedzot ieguldījumu kopējās drošības uzlabošanā. Vienlaikus īstenotie pasākumi ir ļāvuši veicināt atbilstību ES prasībām un standartiem, kas ļāvis Latvijai attīstīties līdzvērtīgā līmenī ar citām ES dalībvalstīm.</w:t>
      </w:r>
    </w:p>
    <w:p w14:paraId="61E7493F" w14:textId="0CE2D713" w:rsidR="00143135" w:rsidRPr="008F64A0" w:rsidRDefault="00143135" w:rsidP="00BF4167">
      <w:pPr>
        <w:pStyle w:val="Sarakstarindkopa"/>
        <w:numPr>
          <w:ilvl w:val="2"/>
          <w:numId w:val="42"/>
        </w:numPr>
        <w:rPr>
          <w:b/>
        </w:rPr>
      </w:pPr>
      <w:r w:rsidRPr="008F64A0">
        <w:rPr>
          <w:b/>
        </w:rPr>
        <w:t>Kritērijs “</w:t>
      </w:r>
      <w:r w:rsidR="009F7C32">
        <w:rPr>
          <w:b/>
        </w:rPr>
        <w:t>Ilg</w:t>
      </w:r>
      <w:r w:rsidRPr="008F64A0">
        <w:rPr>
          <w:b/>
        </w:rPr>
        <w:t>tspēja”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5C556F38" w14:textId="77777777" w:rsidTr="00D40533">
        <w:tc>
          <w:tcPr>
            <w:tcW w:w="10252" w:type="dxa"/>
            <w:shd w:val="clear" w:color="auto" w:fill="82009B" w:themeFill="accent6"/>
          </w:tcPr>
          <w:p w14:paraId="00F1EE73" w14:textId="77777777" w:rsidR="00143135" w:rsidRPr="008F64A0" w:rsidRDefault="00143135" w:rsidP="00A239D8">
            <w:pPr>
              <w:rPr>
                <w:b/>
              </w:rPr>
            </w:pPr>
            <w:r w:rsidRPr="008F64A0">
              <w:rPr>
                <w:b/>
              </w:rPr>
              <w:t xml:space="preserve">Izvērtēšanas kritērija jautājums: </w:t>
            </w:r>
            <w:r w:rsidRPr="008F64A0">
              <w:rPr>
                <w:bCs/>
              </w:rPr>
              <w:t>Vai fonda atbalstīto projektu pozitīvais efekts varētu turpināties arī pēc tam, kad fonda atbalsts beigsies?</w:t>
            </w:r>
          </w:p>
        </w:tc>
      </w:tr>
    </w:tbl>
    <w:p w14:paraId="2B3E6ADF" w14:textId="5E133084" w:rsidR="009C3588" w:rsidRDefault="00BD6844" w:rsidP="00C57FE7">
      <w:pPr>
        <w:rPr>
          <w:bCs/>
        </w:rPr>
      </w:pPr>
      <w:r w:rsidRPr="006046C3">
        <w:t xml:space="preserve">Finansējuma saņēmēji projektu sasniegto rezultātu noturību vērtē pozitīvi — </w:t>
      </w:r>
      <w:r w:rsidR="00704B86">
        <w:rPr>
          <w:bCs/>
        </w:rPr>
        <w:t>42</w:t>
      </w:r>
      <w:r w:rsidR="006046C3" w:rsidRPr="006046C3">
        <w:rPr>
          <w:bCs/>
        </w:rPr>
        <w:t> </w:t>
      </w:r>
      <w:r w:rsidRPr="006046C3">
        <w:t xml:space="preserve">% norāda, ka rezultāti ir ļoti noturīgi, bet </w:t>
      </w:r>
      <w:r w:rsidR="00704B86">
        <w:rPr>
          <w:bCs/>
        </w:rPr>
        <w:t>58</w:t>
      </w:r>
      <w:r w:rsidR="006046C3" w:rsidRPr="006046C3">
        <w:rPr>
          <w:bCs/>
        </w:rPr>
        <w:t xml:space="preserve"> </w:t>
      </w:r>
      <w:r w:rsidRPr="006046C3">
        <w:t>% rezultātus novērtējuši kā drīzāk noturīgus</w:t>
      </w:r>
      <w:r w:rsidR="006046C3">
        <w:rPr>
          <w:bCs/>
        </w:rPr>
        <w:t xml:space="preserve"> (</w:t>
      </w:r>
      <w:r w:rsidR="000F4624">
        <w:rPr>
          <w:bCs/>
          <w:highlight w:val="yellow"/>
        </w:rPr>
        <w:fldChar w:fldCharType="begin"/>
      </w:r>
      <w:r w:rsidR="000F4624">
        <w:rPr>
          <w:bCs/>
        </w:rPr>
        <w:instrText xml:space="preserve"> REF _Ref190278953 \h </w:instrText>
      </w:r>
      <w:r w:rsidR="000F4624">
        <w:rPr>
          <w:bCs/>
          <w:highlight w:val="yellow"/>
        </w:rPr>
      </w:r>
      <w:r w:rsidR="000F4624">
        <w:rPr>
          <w:bCs/>
          <w:highlight w:val="yellow"/>
        </w:rPr>
        <w:fldChar w:fldCharType="separate"/>
      </w:r>
      <w:r w:rsidR="000523B6">
        <w:t xml:space="preserve">Attēls </w:t>
      </w:r>
      <w:r w:rsidR="000523B6">
        <w:rPr>
          <w:noProof/>
        </w:rPr>
        <w:t>13</w:t>
      </w:r>
      <w:r w:rsidR="000F4624">
        <w:rPr>
          <w:bCs/>
          <w:highlight w:val="yellow"/>
        </w:rPr>
        <w:fldChar w:fldCharType="end"/>
      </w:r>
      <w:r w:rsidR="006046C3">
        <w:rPr>
          <w:bCs/>
        </w:rPr>
        <w:t>)</w:t>
      </w:r>
      <w:r w:rsidRPr="006046C3">
        <w:rPr>
          <w:bCs/>
        </w:rPr>
        <w:t>.</w:t>
      </w:r>
      <w:r>
        <w:rPr>
          <w:bCs/>
        </w:rPr>
        <w:t xml:space="preserve"> </w:t>
      </w:r>
    </w:p>
    <w:p w14:paraId="2196AE1D" w14:textId="103A15CD" w:rsidR="00471181" w:rsidRDefault="00471181" w:rsidP="003731AA">
      <w:pPr>
        <w:pStyle w:val="GraphTitle"/>
      </w:pPr>
      <w:bookmarkStart w:id="43" w:name="_Ref190278953"/>
      <w:bookmarkStart w:id="44" w:name="_Ref191388613"/>
      <w:r>
        <w:t xml:space="preserve">Attēls </w:t>
      </w:r>
      <w:r w:rsidR="00C47EA2">
        <w:fldChar w:fldCharType="begin"/>
      </w:r>
      <w:r w:rsidR="00C47EA2">
        <w:instrText xml:space="preserve"> SEQ Attēls \* ARABIC </w:instrText>
      </w:r>
      <w:r w:rsidR="00C47EA2">
        <w:fldChar w:fldCharType="separate"/>
      </w:r>
      <w:r w:rsidR="000523B6">
        <w:t>13</w:t>
      </w:r>
      <w:r w:rsidR="00C47EA2">
        <w:fldChar w:fldCharType="end"/>
      </w:r>
      <w:bookmarkEnd w:id="43"/>
      <w:r>
        <w:t>. Finansējuma saņēmēju vērtējums par</w:t>
      </w:r>
      <w:r w:rsidR="0043193E">
        <w:t xml:space="preserve"> īstenoto projektu </w:t>
      </w:r>
      <w:r w:rsidR="0043193E" w:rsidRPr="0043193E">
        <w:t>sasniegto rezultātu noturību turpmāko 5 gadu laikā</w:t>
      </w:r>
      <w:bookmarkEnd w:id="44"/>
    </w:p>
    <w:p w14:paraId="5D5753BD" w14:textId="3475B9A1" w:rsidR="00983E0B" w:rsidRDefault="009C2E5B" w:rsidP="00C57FE7">
      <w:pPr>
        <w:rPr>
          <w:bCs/>
        </w:rPr>
      </w:pPr>
      <w:r>
        <w:rPr>
          <w:noProof/>
        </w:rPr>
        <w:drawing>
          <wp:inline distT="0" distB="0" distL="0" distR="0" wp14:anchorId="235F20CB" wp14:editId="1D424218">
            <wp:extent cx="6502400" cy="1171575"/>
            <wp:effectExtent l="0" t="0" r="0" b="0"/>
            <wp:docPr id="666405350" name="Chart 1">
              <a:extLst xmlns:a="http://schemas.openxmlformats.org/drawingml/2006/main">
                <a:ext uri="{FF2B5EF4-FFF2-40B4-BE49-F238E27FC236}">
                  <a16:creationId xmlns:a16="http://schemas.microsoft.com/office/drawing/2014/main" id="{69BEDFEE-F110-4E5A-BB7F-6BB6ECBD28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FDD45E3" w14:textId="2E42E461" w:rsidR="00471181" w:rsidRPr="00785D09" w:rsidRDefault="00471181" w:rsidP="00471181">
      <w:pPr>
        <w:jc w:val="right"/>
        <w:rPr>
          <w:rStyle w:val="Izsmalcintsizclums"/>
        </w:rPr>
      </w:pPr>
      <w:r w:rsidRPr="00785D09">
        <w:rPr>
          <w:rStyle w:val="Izsmalcintsizclums"/>
        </w:rPr>
        <w:t>Avots: Finansējuma saņēmēju aptauja, n=</w:t>
      </w:r>
      <w:r w:rsidR="009C2E5B" w:rsidRPr="00785D09">
        <w:rPr>
          <w:rStyle w:val="Izsmalcintsizclums"/>
        </w:rPr>
        <w:t>19</w:t>
      </w:r>
    </w:p>
    <w:p w14:paraId="2574D27B" w14:textId="74EAE190" w:rsidR="00820076" w:rsidRDefault="00820076" w:rsidP="00820076">
      <w:r>
        <w:t xml:space="preserve">Analizējot fonda atbalstīto projektu ilgtspējas potenciālu pēc finansējuma beigām, var identificēt vairākus nozīmīgus aspektus. Pozitīvi vērtējams, ka daļa projekta ietvaros uzsākto pakalpojumu jau ir kļuvuši par </w:t>
      </w:r>
      <w:r>
        <w:lastRenderedPageBreak/>
        <w:t xml:space="preserve">pastāvīgu sistēmas </w:t>
      </w:r>
      <w:r w:rsidR="00D770E6">
        <w:t>sastāvdaļu</w:t>
      </w:r>
      <w:r>
        <w:t xml:space="preserve"> un tiek finansēti no valsts budžeta līdzekļiem, piemēram, medicīniskā kabineta darbība, diennakts apsardzes un inkasācijas pakalpojumi</w:t>
      </w:r>
      <w:r w:rsidR="00107D93">
        <w:t xml:space="preserve"> patvēruma meklētājiem projekta </w:t>
      </w:r>
      <w:r w:rsidR="008E7DC0" w:rsidRPr="00586A4A">
        <w:t>Nr. PMLP/PMIF/2019/7</w:t>
      </w:r>
      <w:r w:rsidR="008E7DC0">
        <w:t xml:space="preserve"> </w:t>
      </w:r>
      <w:r w:rsidR="00484522">
        <w:t>“</w:t>
      </w:r>
      <w:r w:rsidR="00484522" w:rsidRPr="00586A4A">
        <w:t>Atbalsta pasākumi personu, kurām nepieciešama starptautiskā aizsardzība, uzņemšanai un izmitināšanai Latvijā</w:t>
      </w:r>
      <w:r w:rsidR="00484522">
        <w:t>” rezultātā</w:t>
      </w:r>
      <w:r>
        <w:t xml:space="preserve">. </w:t>
      </w:r>
      <w:r w:rsidR="00CA29FE">
        <w:t>Līdzīgi arī deleģētā iestāde norāda uz</w:t>
      </w:r>
      <w:r w:rsidR="00B23446">
        <w:t xml:space="preserve"> plāniem</w:t>
      </w:r>
      <w:r w:rsidR="00CA29FE">
        <w:t xml:space="preserve"> vienas pieturas aģentūras </w:t>
      </w:r>
      <w:r w:rsidR="00D83612">
        <w:t>funkciju pakāpenisk</w:t>
      </w:r>
      <w:r w:rsidR="00B23446">
        <w:t>ai</w:t>
      </w:r>
      <w:r w:rsidR="00D83612">
        <w:t xml:space="preserve"> integrācij</w:t>
      </w:r>
      <w:r w:rsidR="00B23446">
        <w:t>ai</w:t>
      </w:r>
      <w:r w:rsidR="00D83612">
        <w:t xml:space="preserve"> valsts atbalsta sistēmā neatkarīgi no ES fondu finansējuma. </w:t>
      </w:r>
      <w:r>
        <w:t>Tāpat būtisks ilgtspējas rādītājs ir projekta ietvaros iegādātā materiāltehniskā nodrošinājuma</w:t>
      </w:r>
      <w:r w:rsidR="00484522">
        <w:t xml:space="preserve"> un izveidoto </w:t>
      </w:r>
      <w:r w:rsidR="00E85CAA">
        <w:t>IS</w:t>
      </w:r>
      <w:r>
        <w:t xml:space="preserve"> pastāvīga izmantošana un uzturēšana.</w:t>
      </w:r>
    </w:p>
    <w:p w14:paraId="2500A748" w14:textId="3173E433" w:rsidR="00685D5F" w:rsidRPr="003D6073" w:rsidRDefault="00685D5F" w:rsidP="00820076">
      <w:r w:rsidRPr="00F00E88">
        <w:t>Vienlaikus projekta īstenoto pasākumu ietvaros ir radušies arī papildu rezultāti, kas tiek izmantoti ilgtermiņā</w:t>
      </w:r>
      <w:r w:rsidR="000A19B5" w:rsidRPr="00F00E88">
        <w:t>. P</w:t>
      </w:r>
      <w:r w:rsidRPr="000828D7">
        <w:t>iemēram,</w:t>
      </w:r>
      <w:r w:rsidR="00946559" w:rsidRPr="000828D7">
        <w:t xml:space="preserve"> ir izstrādāti metodoloģiskie materiāli </w:t>
      </w:r>
      <w:r w:rsidR="00032B84" w:rsidRPr="000828D7">
        <w:t>integrācijas pasākumu nodrošināšan</w:t>
      </w:r>
      <w:r w:rsidR="00946559" w:rsidRPr="000828D7">
        <w:t>ai</w:t>
      </w:r>
      <w:r w:rsidR="000A19B5" w:rsidRPr="00F00E88">
        <w:t xml:space="preserve"> un </w:t>
      </w:r>
      <w:r w:rsidR="00FF23DC" w:rsidRPr="00F00E88">
        <w:t>standartizēta pārtikas un higiēnas preču nodrošināšanas sistēma</w:t>
      </w:r>
      <w:r w:rsidR="000A19B5" w:rsidRPr="00F00E88">
        <w:t xml:space="preserve"> patvēruma meklētāju atbalstam, kas tiek praktiski izmantoti </w:t>
      </w:r>
      <w:r w:rsidR="0030497F" w:rsidRPr="00F00E88">
        <w:t>arī pēc attiecīgo projektu noslēguma.</w:t>
      </w:r>
    </w:p>
    <w:p w14:paraId="13BD8D7D" w14:textId="34487876" w:rsidR="00CA3EBC" w:rsidRDefault="00CA3EBC" w:rsidP="00CA3EBC">
      <w:pPr>
        <w:rPr>
          <w:bCs/>
        </w:rPr>
      </w:pPr>
      <w:r w:rsidRPr="004227B5">
        <w:t xml:space="preserve">Galvenie riski, ko finansējuma saņēmēji identificē attiecībā uz rezultātu ilgtspēju un ilgnoturību ietver </w:t>
      </w:r>
      <w:r w:rsidR="00B3635C" w:rsidRPr="004227B5">
        <w:t>finanšu trūkumu projektu rezultātu uzturēšanai</w:t>
      </w:r>
      <w:r w:rsidRPr="004227B5">
        <w:t xml:space="preserve"> un </w:t>
      </w:r>
      <w:r w:rsidR="00C71659" w:rsidRPr="004227B5">
        <w:t xml:space="preserve">uzsākto aktivitāšu neturpināšanu bez </w:t>
      </w:r>
      <w:r w:rsidR="006F7173" w:rsidRPr="004227B5">
        <w:t>papildu ārējā finansējuma</w:t>
      </w:r>
      <w:r w:rsidRPr="004227B5">
        <w:t>. Savukārt tād</w:t>
      </w:r>
      <w:r w:rsidR="00EF4178">
        <w:t>a</w:t>
      </w:r>
      <w:r w:rsidRPr="004227B5">
        <w:t xml:space="preserve"> faktor</w:t>
      </w:r>
      <w:r w:rsidR="00EF4178">
        <w:t>a</w:t>
      </w:r>
      <w:r w:rsidRPr="004227B5">
        <w:t xml:space="preserve"> kā </w:t>
      </w:r>
      <w:r w:rsidR="00DB50CA">
        <w:rPr>
          <w:bCs/>
        </w:rPr>
        <w:t>i</w:t>
      </w:r>
      <w:r w:rsidR="00DB50CA" w:rsidRPr="00DB50CA">
        <w:rPr>
          <w:bCs/>
        </w:rPr>
        <w:t>erobežotas iespējas rezultātu mērogošanai vai paplašināšanai</w:t>
      </w:r>
      <w:r w:rsidRPr="004227B5">
        <w:t xml:space="preserve"> </w:t>
      </w:r>
      <w:r w:rsidR="00EF4178">
        <w:t>finansējuma saņēmēji vērtē kā mazāk būtisku</w:t>
      </w:r>
      <w:r w:rsidR="004227B5">
        <w:rPr>
          <w:bCs/>
        </w:rPr>
        <w:t xml:space="preserve"> (</w:t>
      </w:r>
      <w:r w:rsidR="00A36265">
        <w:rPr>
          <w:bCs/>
          <w:highlight w:val="yellow"/>
        </w:rPr>
        <w:fldChar w:fldCharType="begin"/>
      </w:r>
      <w:r w:rsidR="00A36265">
        <w:rPr>
          <w:bCs/>
        </w:rPr>
        <w:instrText xml:space="preserve"> REF _Ref190869634 \h </w:instrText>
      </w:r>
      <w:r w:rsidR="00A36265">
        <w:rPr>
          <w:bCs/>
          <w:highlight w:val="yellow"/>
        </w:rPr>
      </w:r>
      <w:r w:rsidR="00A36265">
        <w:rPr>
          <w:bCs/>
          <w:highlight w:val="yellow"/>
        </w:rPr>
        <w:fldChar w:fldCharType="separate"/>
      </w:r>
      <w:r w:rsidR="000523B6">
        <w:t xml:space="preserve">Attēls </w:t>
      </w:r>
      <w:r w:rsidR="000523B6">
        <w:rPr>
          <w:noProof/>
        </w:rPr>
        <w:t>14</w:t>
      </w:r>
      <w:r w:rsidR="00A36265">
        <w:rPr>
          <w:bCs/>
          <w:highlight w:val="yellow"/>
        </w:rPr>
        <w:fldChar w:fldCharType="end"/>
      </w:r>
      <w:r w:rsidR="004227B5">
        <w:rPr>
          <w:bCs/>
        </w:rPr>
        <w:t>)</w:t>
      </w:r>
      <w:r w:rsidRPr="004227B5">
        <w:rPr>
          <w:bCs/>
        </w:rPr>
        <w:t>.</w:t>
      </w:r>
      <w:r>
        <w:rPr>
          <w:bCs/>
        </w:rPr>
        <w:t xml:space="preserve"> </w:t>
      </w:r>
    </w:p>
    <w:p w14:paraId="51E338F1" w14:textId="61D51647" w:rsidR="00406EE1" w:rsidRDefault="00406EE1" w:rsidP="007F2F3D">
      <w:pPr>
        <w:pStyle w:val="GraphTitle"/>
      </w:pPr>
      <w:bookmarkStart w:id="45" w:name="_Ref190869634"/>
      <w:bookmarkStart w:id="46" w:name="_Ref191388616"/>
      <w:r>
        <w:t xml:space="preserve">Attēls </w:t>
      </w:r>
      <w:r w:rsidR="00C47EA2">
        <w:fldChar w:fldCharType="begin"/>
      </w:r>
      <w:r w:rsidR="00C47EA2">
        <w:instrText xml:space="preserve"> SEQ Attēls \* ARABIC </w:instrText>
      </w:r>
      <w:r w:rsidR="00C47EA2">
        <w:fldChar w:fldCharType="separate"/>
      </w:r>
      <w:r w:rsidR="000523B6">
        <w:t>14</w:t>
      </w:r>
      <w:r w:rsidR="00C47EA2">
        <w:fldChar w:fldCharType="end"/>
      </w:r>
      <w:bookmarkEnd w:id="45"/>
      <w:r>
        <w:t>. Finansējuma saņēmēju viedoklis par</w:t>
      </w:r>
      <w:r w:rsidR="007F2F3D">
        <w:t xml:space="preserve"> riskiem, kas apdraud </w:t>
      </w:r>
      <w:r w:rsidR="007F2F3D" w:rsidRPr="007F2F3D">
        <w:t>projekta/-u rezultātu ilgtspēju un ilgnoturību</w:t>
      </w:r>
      <w:bookmarkEnd w:id="46"/>
    </w:p>
    <w:p w14:paraId="71FE021B" w14:textId="06858908" w:rsidR="006046C3" w:rsidRDefault="00EF4178" w:rsidP="00CA3EBC">
      <w:pPr>
        <w:rPr>
          <w:bCs/>
        </w:rPr>
      </w:pPr>
      <w:r>
        <w:rPr>
          <w:noProof/>
        </w:rPr>
        <w:drawing>
          <wp:inline distT="0" distB="0" distL="0" distR="0" wp14:anchorId="4BE69B92" wp14:editId="29B57789">
            <wp:extent cx="6502400" cy="2775585"/>
            <wp:effectExtent l="0" t="0" r="0" b="5715"/>
            <wp:docPr id="1326563937" name="Chart 1">
              <a:extLst xmlns:a="http://schemas.openxmlformats.org/drawingml/2006/main">
                <a:ext uri="{FF2B5EF4-FFF2-40B4-BE49-F238E27FC236}">
                  <a16:creationId xmlns:a16="http://schemas.microsoft.com/office/drawing/2014/main" id="{0FA5A57A-67E0-435C-B7EF-B7B306018F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3A8033E" w14:textId="762D269D" w:rsidR="00406EE1" w:rsidRPr="00785D09" w:rsidRDefault="00406EE1" w:rsidP="00406EE1">
      <w:pPr>
        <w:jc w:val="right"/>
        <w:rPr>
          <w:rStyle w:val="Izsmalcintsizclums"/>
        </w:rPr>
      </w:pPr>
      <w:r w:rsidRPr="00785D09">
        <w:rPr>
          <w:rStyle w:val="Izsmalcintsizclums"/>
        </w:rPr>
        <w:t>Avots: Finansējuma saņēmēju aptauja, n=</w:t>
      </w:r>
      <w:r w:rsidR="00EF4178" w:rsidRPr="00785D09">
        <w:rPr>
          <w:rStyle w:val="Izsmalcintsizclums"/>
        </w:rPr>
        <w:t>19</w:t>
      </w:r>
    </w:p>
    <w:p w14:paraId="0DBB85A3" w14:textId="4DFE4DA9" w:rsidR="00820076" w:rsidRDefault="00CA3EBC" w:rsidP="00820076">
      <w:r>
        <w:t>Interviju ietvaros identificētie riski ietver vairākus aspektus. Piemēram,</w:t>
      </w:r>
      <w:r w:rsidR="00D770E6">
        <w:t xml:space="preserve"> integrācijas pasākumu jomā</w:t>
      </w:r>
      <w:r w:rsidR="00820076">
        <w:t xml:space="preserve"> NVO sektors ir ievērojami atkarīgs no projektu finansējuma, jo</w:t>
      </w:r>
      <w:r w:rsidR="00D770E6">
        <w:t xml:space="preserve"> valsts budžeta līdzekļu pieejamība vai </w:t>
      </w:r>
      <w:r w:rsidR="00820076">
        <w:t>ziedojumu piesaiste šādām aktivitātēm ir ierobežota. Būtisks risks</w:t>
      </w:r>
      <w:r w:rsidR="00D770E6">
        <w:t xml:space="preserve"> šajā aspektā</w:t>
      </w:r>
      <w:r w:rsidR="00820076">
        <w:t xml:space="preserve"> ir</w:t>
      </w:r>
      <w:r w:rsidR="00D770E6">
        <w:t xml:space="preserve"> pieejamā</w:t>
      </w:r>
      <w:r w:rsidR="00820076">
        <w:t xml:space="preserve"> finansējuma pārtraukumi, kas var apdraudēt pakalpojumu nepārtrauktību. </w:t>
      </w:r>
      <w:r w:rsidR="003050B7" w:rsidRPr="003050B7">
        <w:t>Līdzīga situācija pastāv arī attiecībā uz atbalsta pakalpojumu nodrošināšanu patvēruma meklētājiem. Lai gan atsevišķus pakalpojumus ir iespējams finansēt no valsts budžeta līdzekļiem, fondu finansējums ir būtisks resurss plašāka atbalsta un atbilstošu apstākļu nodrošināšanai.</w:t>
      </w:r>
    </w:p>
    <w:p w14:paraId="6E028698" w14:textId="790BEEEA" w:rsidR="00820076" w:rsidRDefault="00820076" w:rsidP="00820076">
      <w:r>
        <w:t>Pozitīvi vērtējama</w:t>
      </w:r>
      <w:r w:rsidR="002D3B41">
        <w:t xml:space="preserve"> 2021</w:t>
      </w:r>
      <w:r w:rsidR="008B5B53">
        <w:t>.</w:t>
      </w:r>
      <w:r w:rsidR="002D3B41">
        <w:t>-2027.</w:t>
      </w:r>
      <w:r w:rsidR="008B5B53">
        <w:t xml:space="preserve"> </w:t>
      </w:r>
      <w:r w:rsidR="002D3B41">
        <w:t>gada periodā</w:t>
      </w:r>
      <w:r>
        <w:t xml:space="preserve"> izveidotā </w:t>
      </w:r>
      <w:r w:rsidR="002D3B41">
        <w:t>integrācijas pasākumu sistēma</w:t>
      </w:r>
      <w:r>
        <w:t xml:space="preserve"> ar kopējo reģistru un skaidriem noteikumiem, </w:t>
      </w:r>
      <w:r w:rsidR="002D3B41">
        <w:t xml:space="preserve">kas sekmē uzsākto integrācijas pasākumu efektīvāku īstenošanu. Vienlaikus </w:t>
      </w:r>
      <w:r>
        <w:t xml:space="preserve"> arī veiksmīgā starpinstitucionālā sadarbība starp </w:t>
      </w:r>
      <w:r w:rsidR="002D3B41">
        <w:t>iesaistītajām pusēm tiek izcelta kā</w:t>
      </w:r>
      <w:r>
        <w:t xml:space="preserve"> </w:t>
      </w:r>
      <w:r w:rsidR="00DC1A11">
        <w:t>nozīmīgs pamats</w:t>
      </w:r>
      <w:r>
        <w:t xml:space="preserve"> ilgtspējai, taču tās saglabāšana un stiprināšana prasa nepārtrauktu uzmanību un resursus.</w:t>
      </w:r>
    </w:p>
    <w:p w14:paraId="71F260E3" w14:textId="66407407" w:rsidR="00820076" w:rsidRDefault="00820076" w:rsidP="00820076">
      <w:r>
        <w:lastRenderedPageBreak/>
        <w:t>Lai nodrošinātu projektu pozitīvā efekta turpināšanos, nepieciešams saglabāt līdzvērtīgu projektu finansējumu, kas ļauj turpināt un attīstīt uzsāktās aktivitātes. Svarīga ir koordinēta pieeja finansējuma plānošanā starp dažādām institūcijām un pietiekama finansējuma nodrošināšana</w:t>
      </w:r>
      <w:r w:rsidR="00D9788C">
        <w:t xml:space="preserve"> projektu īstenošanai, tai skaitā arī</w:t>
      </w:r>
      <w:r>
        <w:t xml:space="preserve"> administratīvajām izmaksām. Tāpat būtiska ir plašāka finansējuma piesaiste, lai palielinātu pakalpojumu pieejamību un kvalitāti.</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13E3750E" w14:textId="77777777" w:rsidTr="00107F75">
        <w:tc>
          <w:tcPr>
            <w:tcW w:w="10252" w:type="dxa"/>
            <w:shd w:val="clear" w:color="auto" w:fill="F3B8FF" w:themeFill="accent6" w:themeFillTint="33"/>
          </w:tcPr>
          <w:p w14:paraId="7BB618D4" w14:textId="77777777" w:rsidR="00143135" w:rsidRPr="008F64A0" w:rsidRDefault="00143135" w:rsidP="00A239D8">
            <w:pPr>
              <w:rPr>
                <w:i/>
                <w:iCs/>
                <w:color w:val="5A5A5A" w:themeColor="accent1" w:themeTint="BF"/>
              </w:rPr>
            </w:pPr>
            <w:r w:rsidRPr="008F64A0">
              <w:rPr>
                <w:i/>
                <w:iCs/>
                <w:color w:val="5A5A5A" w:themeColor="accent1" w:themeTint="BF"/>
              </w:rPr>
              <w:t>Apakšjautājums: Kādi bija galvenie dalībvalsts pieņemtie pasākumi, lai nodrošinātu ar fonda atbalstu īstenoto projektu rezultātu ilgtspēju (gan programmu veidošanas, gan īstenošanas posmā)?</w:t>
            </w:r>
          </w:p>
        </w:tc>
      </w:tr>
    </w:tbl>
    <w:p w14:paraId="4975A3F9" w14:textId="614DC517" w:rsidR="00E44AC9" w:rsidRPr="00E44AC9" w:rsidRDefault="00E44AC9" w:rsidP="00E44AC9">
      <w:pPr>
        <w:rPr>
          <w:bCs/>
        </w:rPr>
      </w:pPr>
      <w:r w:rsidRPr="00E44AC9">
        <w:rPr>
          <w:bCs/>
        </w:rPr>
        <w:t>Ilgtspējas nodrošināšanai programmu veidošanas un īstenošanas posmā tika ieviesti vairāki būtiski pasākumi. Primāri tika nodrošināta projektu pēctecība starp plānošanas periodiem, īpaši akcentējot pāreju uz 2021</w:t>
      </w:r>
      <w:r w:rsidR="008B5B53">
        <w:rPr>
          <w:bCs/>
        </w:rPr>
        <w:t>.</w:t>
      </w:r>
      <w:r w:rsidRPr="00E44AC9">
        <w:rPr>
          <w:bCs/>
        </w:rPr>
        <w:t>-2027.</w:t>
      </w:r>
      <w:r w:rsidR="008B5B53">
        <w:rPr>
          <w:bCs/>
        </w:rPr>
        <w:t xml:space="preserve"> </w:t>
      </w:r>
      <w:r w:rsidRPr="00E44AC9">
        <w:rPr>
          <w:bCs/>
        </w:rPr>
        <w:t>gada plānošanas periodu. Šāda pieeja ļauj saglabāt projektu aktivitāšu nepārtrauktību un turpināt iesāktos pasākumus ilgtermiņā.</w:t>
      </w:r>
    </w:p>
    <w:p w14:paraId="41207049" w14:textId="67A8C784" w:rsidR="00E44AC9" w:rsidRPr="00E44AC9" w:rsidRDefault="00A81351" w:rsidP="00E44AC9">
      <w:pPr>
        <w:rPr>
          <w:bCs/>
        </w:rPr>
      </w:pPr>
      <w:r>
        <w:rPr>
          <w:bCs/>
        </w:rPr>
        <w:t>M</w:t>
      </w:r>
      <w:r w:rsidRPr="00E44AC9">
        <w:rPr>
          <w:bCs/>
        </w:rPr>
        <w:t>ateriāltehniskā nodrošinājum</w:t>
      </w:r>
      <w:r>
        <w:rPr>
          <w:bCs/>
        </w:rPr>
        <w:t>a ilgtspēja savukārt tie nodrošināta, f</w:t>
      </w:r>
      <w:r w:rsidR="00E44AC9">
        <w:rPr>
          <w:bCs/>
        </w:rPr>
        <w:t>inansējuma saņēmēji</w:t>
      </w:r>
      <w:r>
        <w:rPr>
          <w:bCs/>
        </w:rPr>
        <w:t xml:space="preserve">em turpinot </w:t>
      </w:r>
      <w:r w:rsidR="006B142C">
        <w:rPr>
          <w:bCs/>
        </w:rPr>
        <w:t xml:space="preserve">ne tikai pastāvīgi izmantot projektos </w:t>
      </w:r>
      <w:r w:rsidR="00E44AC9" w:rsidRPr="00E44AC9">
        <w:rPr>
          <w:bCs/>
        </w:rPr>
        <w:t>iegādāt</w:t>
      </w:r>
      <w:r w:rsidR="006B142C">
        <w:rPr>
          <w:bCs/>
        </w:rPr>
        <w:t>o</w:t>
      </w:r>
      <w:r w:rsidR="00E44AC9" w:rsidRPr="00E44AC9">
        <w:rPr>
          <w:bCs/>
        </w:rPr>
        <w:t xml:space="preserve"> aprīkojum</w:t>
      </w:r>
      <w:r w:rsidR="006B142C">
        <w:rPr>
          <w:bCs/>
        </w:rPr>
        <w:t xml:space="preserve">u vai izveidoto infrastruktūru, bet </w:t>
      </w:r>
      <w:r w:rsidR="00E44AC9" w:rsidRPr="00E44AC9">
        <w:rPr>
          <w:bCs/>
        </w:rPr>
        <w:t xml:space="preserve">arī </w:t>
      </w:r>
      <w:r w:rsidR="006B142C">
        <w:rPr>
          <w:bCs/>
        </w:rPr>
        <w:t>nodrošinot tā</w:t>
      </w:r>
      <w:r w:rsidR="00E44AC9" w:rsidRPr="00E44AC9">
        <w:rPr>
          <w:bCs/>
        </w:rPr>
        <w:t xml:space="preserve"> regulār</w:t>
      </w:r>
      <w:r w:rsidR="006B142C">
        <w:rPr>
          <w:bCs/>
        </w:rPr>
        <w:t xml:space="preserve">u </w:t>
      </w:r>
      <w:r w:rsidR="00E44AC9" w:rsidRPr="00E44AC9">
        <w:rPr>
          <w:bCs/>
        </w:rPr>
        <w:t>uzturēšan</w:t>
      </w:r>
      <w:r w:rsidR="006B142C">
        <w:rPr>
          <w:bCs/>
        </w:rPr>
        <w:t>u</w:t>
      </w:r>
      <w:r w:rsidR="00E44AC9" w:rsidRPr="00E44AC9">
        <w:rPr>
          <w:bCs/>
        </w:rPr>
        <w:t>. Papildu tam, izmantojot nākamo projektu līdzekļus, materiāltehniskā bāze tiek mērķtiecīgi atjaunota un papildināta, tādējādi nodrošinot tās ilgtermiņa izmantošanas iespējas.</w:t>
      </w:r>
    </w:p>
    <w:p w14:paraId="148066CE" w14:textId="0551D169" w:rsidR="00E44AC9" w:rsidRPr="00E44AC9" w:rsidRDefault="004B0405" w:rsidP="00E44AC9">
      <w:pPr>
        <w:rPr>
          <w:bCs/>
        </w:rPr>
      </w:pPr>
      <w:r>
        <w:rPr>
          <w:bCs/>
        </w:rPr>
        <w:t>Vienlaikus finansējuma saņēmēji norāda arī uz cilvēkresursu kapacitātes celšanu. Vairākas iestādes 2014</w:t>
      </w:r>
      <w:r w:rsidR="008B5B53">
        <w:rPr>
          <w:bCs/>
        </w:rPr>
        <w:t>.</w:t>
      </w:r>
      <w:r>
        <w:rPr>
          <w:bCs/>
        </w:rPr>
        <w:t>-2020.</w:t>
      </w:r>
      <w:r w:rsidR="008B5B53">
        <w:rPr>
          <w:bCs/>
        </w:rPr>
        <w:t xml:space="preserve"> </w:t>
      </w:r>
      <w:r>
        <w:rPr>
          <w:bCs/>
        </w:rPr>
        <w:t xml:space="preserve">gada </w:t>
      </w:r>
      <w:r w:rsidR="008B5B53">
        <w:rPr>
          <w:bCs/>
        </w:rPr>
        <w:t xml:space="preserve">plānošanas </w:t>
      </w:r>
      <w:r>
        <w:rPr>
          <w:bCs/>
        </w:rPr>
        <w:t xml:space="preserve">periodā ir </w:t>
      </w:r>
      <w:r w:rsidR="007F4F55">
        <w:rPr>
          <w:bCs/>
        </w:rPr>
        <w:t xml:space="preserve">īstenojušas pasākumus lai palielinātu projektu vadībā un citos pasākumos iesaistīto cilvēkresursu kapacitāti, tai skaitā palielinot darbinieku skaitu. </w:t>
      </w:r>
      <w:r w:rsidR="002D7C22">
        <w:rPr>
          <w:bCs/>
        </w:rPr>
        <w:t xml:space="preserve">Turpinot īstenot projektus nākamajā plānošanas periodā, tiek sekmēta </w:t>
      </w:r>
      <w:r w:rsidR="00E44AC9" w:rsidRPr="00E44AC9">
        <w:rPr>
          <w:bCs/>
        </w:rPr>
        <w:t>augsti kvalificētu speciālistu ar specifiskām zināšanām</w:t>
      </w:r>
      <w:r w:rsidR="002D7C22">
        <w:rPr>
          <w:bCs/>
        </w:rPr>
        <w:t xml:space="preserve"> pieejamība</w:t>
      </w:r>
      <w:r w:rsidR="00E44AC9" w:rsidRPr="00E44AC9">
        <w:rPr>
          <w:bCs/>
        </w:rPr>
        <w:t>. Tādējādi tiek saglabātas un pilnveidotas uzkrātās zināšanas un profesionālās kompetences.</w:t>
      </w:r>
    </w:p>
    <w:p w14:paraId="1EC4DB26" w14:textId="5ACBC75F" w:rsidR="00C57FE7" w:rsidRPr="00E44AC9" w:rsidRDefault="003E44E3" w:rsidP="00143135">
      <w:pPr>
        <w:rPr>
          <w:bCs/>
        </w:rPr>
      </w:pPr>
      <w:r>
        <w:rPr>
          <w:bCs/>
        </w:rPr>
        <w:t>PMIF ietvaros integrācijas pasākumiem tikuši īstenoti arī pasākumi</w:t>
      </w:r>
      <w:r w:rsidR="00E44AC9" w:rsidRPr="00E44AC9">
        <w:rPr>
          <w:bCs/>
        </w:rPr>
        <w:t>, apkopojot mērķauditorijas viedokļus un novērtējumu par sniegtajiem pakalpojumiem</w:t>
      </w:r>
      <w:r w:rsidR="00E7119C">
        <w:rPr>
          <w:bCs/>
        </w:rPr>
        <w:t xml:space="preserve"> (skat. </w:t>
      </w:r>
      <w:r w:rsidR="00BC6215">
        <w:rPr>
          <w:bCs/>
        </w:rPr>
        <w:t>1</w:t>
      </w:r>
      <w:r w:rsidR="00E7119C">
        <w:rPr>
          <w:bCs/>
        </w:rPr>
        <w:t>.</w:t>
      </w:r>
      <w:r w:rsidR="00BC6215">
        <w:rPr>
          <w:bCs/>
        </w:rPr>
        <w:t>2</w:t>
      </w:r>
      <w:r w:rsidR="00E7119C">
        <w:rPr>
          <w:bCs/>
        </w:rPr>
        <w:t>.3.</w:t>
      </w:r>
      <w:r w:rsidR="008B5B53">
        <w:rPr>
          <w:bCs/>
        </w:rPr>
        <w:t xml:space="preserve"> </w:t>
      </w:r>
      <w:r w:rsidR="00E7119C">
        <w:rPr>
          <w:bCs/>
        </w:rPr>
        <w:t>nodaļu)</w:t>
      </w:r>
      <w:r w:rsidR="00E44AC9" w:rsidRPr="00E44AC9">
        <w:rPr>
          <w:bCs/>
        </w:rPr>
        <w:t xml:space="preserve">. </w:t>
      </w:r>
      <w:r w:rsidR="00E7119C">
        <w:rPr>
          <w:bCs/>
        </w:rPr>
        <w:t xml:space="preserve">Tas ir sniedzis iespēju pielāgot aktivitātes, lai tās ir atbilstošākas mērķa grupas vajadzībām, nodrošinot stabilu pieprasījumu un augstāku pievienoto vērtību integrācijas pasākumu kontekstā.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3DA91B60" w14:textId="77777777" w:rsidTr="00107F75">
        <w:tc>
          <w:tcPr>
            <w:tcW w:w="10252" w:type="dxa"/>
            <w:shd w:val="clear" w:color="auto" w:fill="F3B8FF" w:themeFill="accent6" w:themeFillTint="33"/>
          </w:tcPr>
          <w:p w14:paraId="77B6DF80" w14:textId="77777777" w:rsidR="00143135" w:rsidRPr="008F64A0" w:rsidRDefault="00143135" w:rsidP="00A239D8">
            <w:pPr>
              <w:rPr>
                <w:i/>
                <w:iCs/>
                <w:color w:val="5A5A5A" w:themeColor="accent1" w:themeTint="BF"/>
              </w:rPr>
            </w:pPr>
            <w:r w:rsidRPr="008F64A0">
              <w:rPr>
                <w:i/>
                <w:iCs/>
                <w:color w:val="5A5A5A" w:themeColor="accent1" w:themeTint="BF"/>
              </w:rPr>
              <w:t>Apakšjautājums: Kādi pasākumi tika veikti, lai nodrošinātu ilgtspējas pārbaudi programmu veidošanas un īstenošanas posmā?</w:t>
            </w:r>
          </w:p>
        </w:tc>
      </w:tr>
    </w:tbl>
    <w:p w14:paraId="1B8BFEAE" w14:textId="5BDE8C1F" w:rsidR="00143135" w:rsidRDefault="00687343" w:rsidP="00143135">
      <w:pPr>
        <w:rPr>
          <w:bCs/>
        </w:rPr>
      </w:pPr>
      <w:r>
        <w:rPr>
          <w:bCs/>
        </w:rPr>
        <w:t xml:space="preserve">Iesniedzot projektu iesniegumu formas, finansējuma saņēmējiem bija jāapraksta </w:t>
      </w:r>
      <w:r w:rsidR="00204CB5">
        <w:rPr>
          <w:bCs/>
        </w:rPr>
        <w:t xml:space="preserve">sagaidāma projekta ietekme, tai skaitā, ietverot arī projekta rezultātu ilgtspējas aprakstu. </w:t>
      </w:r>
      <w:r w:rsidR="00B819B3">
        <w:rPr>
          <w:bCs/>
        </w:rPr>
        <w:t>Tādējādi ilgtspējas aspekts ir ticis iekļauts projektu iesniegumu vērtēšanas posmā.</w:t>
      </w:r>
    </w:p>
    <w:p w14:paraId="7F3B2B6E" w14:textId="6EAEB391" w:rsidR="005D6FA8" w:rsidRPr="005D6FA8" w:rsidRDefault="005D6FA8" w:rsidP="005D6FA8">
      <w:pPr>
        <w:rPr>
          <w:bCs/>
        </w:rPr>
      </w:pPr>
      <w:r>
        <w:rPr>
          <w:bCs/>
        </w:rPr>
        <w:t>Granta līguma noteikumi</w:t>
      </w:r>
      <w:r w:rsidR="001147E4">
        <w:rPr>
          <w:bCs/>
        </w:rPr>
        <w:t xml:space="preserve"> arī ietver pienākumu nodrošināt projekt</w:t>
      </w:r>
      <w:r w:rsidR="00EE0E6C">
        <w:rPr>
          <w:bCs/>
        </w:rPr>
        <w:t>u rezultātu ilgtspēju. Tie</w:t>
      </w:r>
      <w:r>
        <w:rPr>
          <w:bCs/>
        </w:rPr>
        <w:t xml:space="preserve"> ietver </w:t>
      </w:r>
      <w:r w:rsidR="001147E4">
        <w:rPr>
          <w:bCs/>
        </w:rPr>
        <w:t>aizliegumu f</w:t>
      </w:r>
      <w:r w:rsidRPr="005D6FA8">
        <w:rPr>
          <w:bCs/>
        </w:rPr>
        <w:t xml:space="preserve">inansējuma saņēmējam pārdot, dāvināt vai kā citādi nodot trešajām personām </w:t>
      </w:r>
      <w:r w:rsidR="00EE0E6C">
        <w:rPr>
          <w:bCs/>
        </w:rPr>
        <w:t>p</w:t>
      </w:r>
      <w:r w:rsidRPr="005D6FA8">
        <w:rPr>
          <w:bCs/>
        </w:rPr>
        <w:t>rojekt</w:t>
      </w:r>
      <w:r w:rsidR="00EE0E6C">
        <w:rPr>
          <w:bCs/>
        </w:rPr>
        <w:t>u</w:t>
      </w:r>
      <w:r w:rsidRPr="005D6FA8">
        <w:rPr>
          <w:bCs/>
        </w:rPr>
        <w:t xml:space="preserve"> ietvaros iegādātos un radītos pamatlīdzekļus un nemateriālos ieguldījumus pēc Projekta īstenošanas beigām:</w:t>
      </w:r>
    </w:p>
    <w:p w14:paraId="1BFE0F54" w14:textId="3BC1C3D8" w:rsidR="005D6FA8" w:rsidRPr="001147E4" w:rsidRDefault="005D6FA8" w:rsidP="001147E4">
      <w:pPr>
        <w:pStyle w:val="Sarakstarindkopa"/>
        <w:numPr>
          <w:ilvl w:val="0"/>
          <w:numId w:val="29"/>
        </w:numPr>
        <w:rPr>
          <w:bCs/>
        </w:rPr>
      </w:pPr>
      <w:r w:rsidRPr="001147E4">
        <w:rPr>
          <w:bCs/>
        </w:rPr>
        <w:t xml:space="preserve">vismaz 3 gadus attiecībā uz </w:t>
      </w:r>
      <w:r w:rsidR="00A24C07">
        <w:rPr>
          <w:bCs/>
        </w:rPr>
        <w:t>IKT</w:t>
      </w:r>
      <w:r w:rsidRPr="001147E4">
        <w:rPr>
          <w:bCs/>
        </w:rPr>
        <w:t xml:space="preserve"> aprīkojumu (neattiecas uz </w:t>
      </w:r>
      <w:r w:rsidR="00A24C07">
        <w:rPr>
          <w:bCs/>
        </w:rPr>
        <w:t>IKT</w:t>
      </w:r>
      <w:r w:rsidRPr="001147E4">
        <w:rPr>
          <w:bCs/>
        </w:rPr>
        <w:t xml:space="preserve"> aprīkojuma nodošanu </w:t>
      </w:r>
      <w:r w:rsidR="00207C65">
        <w:rPr>
          <w:bCs/>
        </w:rPr>
        <w:t>IeM</w:t>
      </w:r>
      <w:r w:rsidRPr="001147E4">
        <w:rPr>
          <w:bCs/>
        </w:rPr>
        <w:t xml:space="preserve"> </w:t>
      </w:r>
      <w:r w:rsidR="00207C65">
        <w:rPr>
          <w:bCs/>
        </w:rPr>
        <w:t>IC</w:t>
      </w:r>
      <w:r w:rsidRPr="001147E4">
        <w:rPr>
          <w:bCs/>
        </w:rPr>
        <w:t xml:space="preserve"> Iekšlietu ministrijas resora ietvaros);</w:t>
      </w:r>
    </w:p>
    <w:p w14:paraId="7C9EC06F" w14:textId="2ECFB7CB" w:rsidR="005D6FA8" w:rsidRPr="001147E4" w:rsidRDefault="005D6FA8" w:rsidP="001147E4">
      <w:pPr>
        <w:pStyle w:val="Sarakstarindkopa"/>
        <w:numPr>
          <w:ilvl w:val="0"/>
          <w:numId w:val="29"/>
        </w:numPr>
        <w:rPr>
          <w:bCs/>
        </w:rPr>
      </w:pPr>
      <w:r w:rsidRPr="001147E4">
        <w:rPr>
          <w:bCs/>
        </w:rPr>
        <w:t>vismaz 5 gadus attiecībā uz citiem aprīkojuma veidiem (piemēram, tehniskais aprīkojums, transportlīdzekļi);</w:t>
      </w:r>
    </w:p>
    <w:p w14:paraId="4979F5B1" w14:textId="37C7CFD2" w:rsidR="00204CB5" w:rsidRDefault="005D6FA8" w:rsidP="001147E4">
      <w:pPr>
        <w:pStyle w:val="Sarakstarindkopa"/>
        <w:numPr>
          <w:ilvl w:val="0"/>
          <w:numId w:val="29"/>
        </w:numPr>
        <w:rPr>
          <w:bCs/>
        </w:rPr>
      </w:pPr>
      <w:r w:rsidRPr="001147E4">
        <w:rPr>
          <w:bCs/>
        </w:rPr>
        <w:t>vismaz 10 gadus attiecībā uz ēkām.</w:t>
      </w:r>
    </w:p>
    <w:p w14:paraId="6D19DAA3" w14:textId="77777777" w:rsidR="00FB16A7" w:rsidRPr="00FB16A7" w:rsidRDefault="00FB16A7" w:rsidP="00FB16A7">
      <w:pPr>
        <w:rPr>
          <w:bCs/>
        </w:rPr>
      </w:pPr>
      <w:r w:rsidRPr="00FB16A7">
        <w:rPr>
          <w:bCs/>
        </w:rPr>
        <w:t xml:space="preserve">Kā norāda atbildīgās iestādes pārstāvji, papildu pārbaudes, piemēram, pēc projektu īstenošanas attiecībā uz ilgtspējas nodrošināšanu netiek veiktas, jo finansējuma saņēmējiem ir saistošas granta līgumos ietvertās prasības. Situācijās, kad finansējuma saņēmējiem ir radušās problēmas ar kāda rezultāta </w:t>
      </w:r>
      <w:r w:rsidRPr="00FB16A7">
        <w:rPr>
          <w:bCs/>
        </w:rPr>
        <w:lastRenderedPageBreak/>
        <w:t xml:space="preserve">ilgtspējas nodrošināšanu, piemēram, iegādātais aprīkojums ticis bojāts, tiek nodrošinātas konsultācijas par to, kā risināt radušos sarežģījumus. </w:t>
      </w:r>
    </w:p>
    <w:p w14:paraId="65076612" w14:textId="5D653C63" w:rsidR="00040357" w:rsidRPr="005C1763" w:rsidRDefault="00040357" w:rsidP="005C1763">
      <w:pPr>
        <w:rPr>
          <w:bCs/>
        </w:rPr>
      </w:pPr>
      <w:r>
        <w:rPr>
          <w:bCs/>
        </w:rPr>
        <w:t>Vienlaikus, vērtējot jaunā 2021</w:t>
      </w:r>
      <w:r w:rsidR="00C70F51">
        <w:rPr>
          <w:bCs/>
        </w:rPr>
        <w:t>.</w:t>
      </w:r>
      <w:r>
        <w:rPr>
          <w:bCs/>
        </w:rPr>
        <w:t>-2027.</w:t>
      </w:r>
      <w:r w:rsidR="00C70F51">
        <w:rPr>
          <w:bCs/>
        </w:rPr>
        <w:t xml:space="preserve"> </w:t>
      </w:r>
      <w:r>
        <w:rPr>
          <w:bCs/>
        </w:rPr>
        <w:t>gada plānošanas perioda projektus, tiek pārbaudīts, vai projektos plānotās darbības neaizstāj tās, kurām vēl nepieciešamas nodrošināt ilgtspējas prasības</w:t>
      </w:r>
      <w:r w:rsidR="0017790A">
        <w:rPr>
          <w:bCs/>
        </w:rPr>
        <w:t xml:space="preserve"> </w:t>
      </w:r>
      <w:r w:rsidR="00D13E6D">
        <w:rPr>
          <w:bCs/>
        </w:rPr>
        <w:t>iepriekš īstenotajos projektos</w:t>
      </w:r>
      <w:r>
        <w:rPr>
          <w:bCs/>
        </w:rPr>
        <w:t xml:space="preserve">.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381CE195" w14:textId="77777777" w:rsidTr="00E26047">
        <w:tc>
          <w:tcPr>
            <w:tcW w:w="10252" w:type="dxa"/>
            <w:shd w:val="clear" w:color="auto" w:fill="F3B8FF" w:themeFill="accent6" w:themeFillTint="33"/>
          </w:tcPr>
          <w:p w14:paraId="64B613A7" w14:textId="77777777" w:rsidR="00143135" w:rsidRPr="008F64A0" w:rsidRDefault="00143135" w:rsidP="00A239D8">
            <w:pPr>
              <w:rPr>
                <w:i/>
                <w:iCs/>
                <w:color w:val="5A5A5A" w:themeColor="accent1" w:themeTint="BF"/>
              </w:rPr>
            </w:pPr>
            <w:r w:rsidRPr="008F64A0">
              <w:rPr>
                <w:i/>
                <w:iCs/>
                <w:color w:val="5A5A5A" w:themeColor="accent1" w:themeTint="BF"/>
              </w:rPr>
              <w:t>Apakšjautājums: Cik lielā mērā ir sagaidāms, ka fonda atbalstīto darbību rezultāti/priekšrocības pastāvēs pēc atbalsta beigšanās?</w:t>
            </w:r>
          </w:p>
        </w:tc>
      </w:tr>
    </w:tbl>
    <w:p w14:paraId="20727FB0" w14:textId="52513BEF" w:rsidR="005F289F" w:rsidRPr="005F289F" w:rsidRDefault="005F289F" w:rsidP="005F289F">
      <w:pPr>
        <w:rPr>
          <w:bCs/>
        </w:rPr>
      </w:pPr>
      <w:r w:rsidRPr="005F289F">
        <w:rPr>
          <w:bCs/>
        </w:rPr>
        <w:t>Integrācijas pasākumu kontekstā kā viens no būtiskākajiem identificētajiem riskiem ir nespēja nodrošināt to nepārtrauktību. Latviešu valodas apguves kursu nodrošināšanā izveidojās pārtraukums starp abiem plānošanas periodiem. Līdz ar to radās risks, ka personai, kura pabeigusi noteikta līmeņa valodas apmācību 2014.-2020. gada periodā, nav iespējas to uzreiz turpināt, tādējādi zaudējot apgūto valodas līmeni līdz jaunu kursu pieejamībai. Vienlaikus atkārtot jau apgūto valodas līmeni</w:t>
      </w:r>
      <w:r w:rsidR="003D1DE3">
        <w:rPr>
          <w:bCs/>
        </w:rPr>
        <w:t xml:space="preserve"> Programmas aktivitāšu ietvaros</w:t>
      </w:r>
      <w:r w:rsidRPr="005F289F">
        <w:rPr>
          <w:bCs/>
        </w:rPr>
        <w:t xml:space="preserve"> nav iespējams dubultā finansējuma noteikumu dēļ.</w:t>
      </w:r>
    </w:p>
    <w:p w14:paraId="639958CE" w14:textId="77777777" w:rsidR="005F289F" w:rsidRPr="005F289F" w:rsidRDefault="005F289F" w:rsidP="005F289F">
      <w:pPr>
        <w:rPr>
          <w:bCs/>
        </w:rPr>
      </w:pPr>
      <w:r w:rsidRPr="005F289F">
        <w:rPr>
          <w:bCs/>
        </w:rPr>
        <w:t>Līdzīga situācija vērojama arī atbalsta pasākumos patvēruma meklētājiem. Kā būtisks risks tiek norādīta finansējuma pārtraukšana, jo valsts budžeta līdzekļi nav pietiekami līdzvērtīga atbalsta turpināšanai. Šādā gadījumā būtu jāsamazina patvēruma meklētājiem pašlaik nodrošinātie uzņemšanas standarti.</w:t>
      </w:r>
    </w:p>
    <w:p w14:paraId="22852915" w14:textId="49EE7640" w:rsidR="00210B76" w:rsidRPr="00EC1C5D" w:rsidRDefault="005F289F" w:rsidP="005F289F">
      <w:pPr>
        <w:rPr>
          <w:bCs/>
        </w:rPr>
      </w:pPr>
      <w:r w:rsidRPr="005F289F">
        <w:rPr>
          <w:bCs/>
        </w:rPr>
        <w:t>Savukārt IT sistēmu izstrādes ilgtspējas kontekstā jāņem vērā nepieciešamība tās turpināt attīstīt un pielāgot, ievērojot tehnoloģisko attīstību un ar to saistītās risinājumu izmaiņas.</w:t>
      </w:r>
      <w:r w:rsidR="00F4078D">
        <w:rPr>
          <w:bCs/>
        </w:rPr>
        <w:t xml:space="preserve"> </w:t>
      </w:r>
    </w:p>
    <w:p w14:paraId="6F6E1DE4" w14:textId="77777777" w:rsidR="00143135" w:rsidRPr="008F64A0" w:rsidRDefault="00143135" w:rsidP="00BF4167">
      <w:pPr>
        <w:pStyle w:val="Sarakstarindkopa"/>
        <w:numPr>
          <w:ilvl w:val="2"/>
          <w:numId w:val="42"/>
        </w:numPr>
        <w:rPr>
          <w:b/>
        </w:rPr>
      </w:pPr>
      <w:r w:rsidRPr="008F64A0">
        <w:rPr>
          <w:b/>
        </w:rPr>
        <w:t>Kritērijs “Administratīvā sloga vienkāršošana un samazināšana”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67FD423D" w14:textId="77777777" w:rsidTr="00D40533">
        <w:tc>
          <w:tcPr>
            <w:tcW w:w="10252" w:type="dxa"/>
            <w:shd w:val="clear" w:color="auto" w:fill="82009B" w:themeFill="accent6"/>
          </w:tcPr>
          <w:p w14:paraId="6E7DB7B3" w14:textId="77777777" w:rsidR="00143135" w:rsidRPr="008F64A0" w:rsidRDefault="00143135" w:rsidP="00A239D8">
            <w:pPr>
              <w:rPr>
                <w:b/>
              </w:rPr>
            </w:pPr>
            <w:r w:rsidRPr="008F64A0">
              <w:rPr>
                <w:b/>
              </w:rPr>
              <w:t xml:space="preserve">Izvērtēšanas kritērija jautājums: </w:t>
            </w:r>
            <w:r w:rsidRPr="008F64A0">
              <w:rPr>
                <w:bCs/>
              </w:rPr>
              <w:t>  Vai fonda pārvaldes procedūras tika vienkāršotas un vai saņēmējiem tika samazināts administratīvais slogs?</w:t>
            </w:r>
          </w:p>
        </w:tc>
      </w:tr>
    </w:tbl>
    <w:p w14:paraId="2F05D324" w14:textId="6A12B06E" w:rsidR="00896ED9" w:rsidRDefault="00896ED9" w:rsidP="00A239D8">
      <w:pPr>
        <w:rPr>
          <w:bCs/>
        </w:rPr>
      </w:pPr>
      <w:r>
        <w:rPr>
          <w:bCs/>
        </w:rPr>
        <w:t xml:space="preserve">Veikto interviju laikā tika identificēti atsevišķi pasākumi Programmu administratīvā sloga mazināšanai </w:t>
      </w:r>
      <w:r w:rsidRPr="00485175">
        <w:rPr>
          <w:bCs/>
        </w:rPr>
        <w:t>2014</w:t>
      </w:r>
      <w:r w:rsidR="00C70F51">
        <w:rPr>
          <w:bCs/>
        </w:rPr>
        <w:t>.</w:t>
      </w:r>
      <w:r w:rsidRPr="00485175">
        <w:rPr>
          <w:bCs/>
        </w:rPr>
        <w:t>-2020.</w:t>
      </w:r>
      <w:r w:rsidR="00C70F51">
        <w:rPr>
          <w:bCs/>
        </w:rPr>
        <w:t xml:space="preserve"> </w:t>
      </w:r>
      <w:r w:rsidRPr="00485175">
        <w:rPr>
          <w:bCs/>
        </w:rPr>
        <w:t>gada plānošanas perioda ietvaros</w:t>
      </w:r>
      <w:r>
        <w:rPr>
          <w:bCs/>
        </w:rPr>
        <w:t xml:space="preserve">. Tie </w:t>
      </w:r>
      <w:r w:rsidRPr="00485175">
        <w:rPr>
          <w:bCs/>
        </w:rPr>
        <w:t>ir bijuši saistīti ar pāreju uz elektronisko dokumentu apriti,</w:t>
      </w:r>
      <w:r>
        <w:rPr>
          <w:bCs/>
        </w:rPr>
        <w:t xml:space="preserve"> kā arī</w:t>
      </w:r>
      <w:r w:rsidRPr="00485175">
        <w:rPr>
          <w:bCs/>
        </w:rPr>
        <w:t xml:space="preserve"> elastīgāku pieeju oficiālu grozījumu veikšanai, </w:t>
      </w:r>
      <w:r>
        <w:rPr>
          <w:bCs/>
        </w:rPr>
        <w:t xml:space="preserve">piemēram, ļaujot nosūtīt informatīvu vēstuli par izmaiņām personāla sastāvā, neveicot grozījumus projektā. Vienlaikus tikusi nodrošināta </w:t>
      </w:r>
      <w:r w:rsidRPr="00485175">
        <w:rPr>
          <w:bCs/>
        </w:rPr>
        <w:t>iespēj</w:t>
      </w:r>
      <w:r>
        <w:rPr>
          <w:bCs/>
        </w:rPr>
        <w:t>a</w:t>
      </w:r>
      <w:r w:rsidRPr="00485175">
        <w:rPr>
          <w:bCs/>
        </w:rPr>
        <w:t xml:space="preserve"> saskaņot atskaišu saturu</w:t>
      </w:r>
      <w:r>
        <w:rPr>
          <w:bCs/>
        </w:rPr>
        <w:t xml:space="preserve"> pirms to oficiālās iesniegšanas</w:t>
      </w:r>
      <w:r w:rsidRPr="00485175">
        <w:rPr>
          <w:bCs/>
        </w:rPr>
        <w:t>, lai sekmētu ātrāku apstiprināšanas procesu.</w:t>
      </w:r>
    </w:p>
    <w:p w14:paraId="0D81D61C" w14:textId="6A0767D1" w:rsidR="00896ED9" w:rsidRDefault="00896ED9" w:rsidP="00896ED9">
      <w:pPr>
        <w:rPr>
          <w:bCs/>
        </w:rPr>
      </w:pPr>
      <w:r>
        <w:rPr>
          <w:bCs/>
        </w:rPr>
        <w:t>Būtiski uzlabojumi administratīvā sloga mazināšanai</w:t>
      </w:r>
      <w:r w:rsidRPr="00485175">
        <w:rPr>
          <w:bCs/>
        </w:rPr>
        <w:t xml:space="preserve"> ir novēroti 2021</w:t>
      </w:r>
      <w:r w:rsidR="00AC5BD9">
        <w:rPr>
          <w:bCs/>
        </w:rPr>
        <w:t>.</w:t>
      </w:r>
      <w:r w:rsidRPr="00485175">
        <w:rPr>
          <w:bCs/>
        </w:rPr>
        <w:t>-2027.</w:t>
      </w:r>
      <w:r w:rsidR="00C70F51">
        <w:rPr>
          <w:bCs/>
        </w:rPr>
        <w:t xml:space="preserve"> </w:t>
      </w:r>
      <w:r w:rsidRPr="00485175">
        <w:rPr>
          <w:bCs/>
        </w:rPr>
        <w:t xml:space="preserve">gada plānošanas periodā. </w:t>
      </w:r>
      <w:r>
        <w:rPr>
          <w:bCs/>
        </w:rPr>
        <w:t xml:space="preserve">Tie ietver elastīgāku pieeju grozījumu veikšanai, samazinātu pamatojošās dokumentācijas apjomu, platformas nodrošināšanu pamatojošās dokumentācijas augšupielādei, kā arī plašākas konsultāciju iespējas ar uzraugošajām iestādēm projektu īstenošanas laikā. </w:t>
      </w:r>
    </w:p>
    <w:tbl>
      <w:tblPr>
        <w:tblStyle w:val="Reatabula"/>
        <w:tblW w:w="0" w:type="auto"/>
        <w:shd w:val="clear" w:color="auto" w:fill="D8FBEB" w:themeFill="accent5" w:themeFillTint="33"/>
        <w:tblLook w:val="04A0" w:firstRow="1" w:lastRow="0" w:firstColumn="1" w:lastColumn="0" w:noHBand="0" w:noVBand="1"/>
      </w:tblPr>
      <w:tblGrid>
        <w:gridCol w:w="10252"/>
      </w:tblGrid>
      <w:tr w:rsidR="00A01FBE" w:rsidRPr="008F64A0" w14:paraId="29C1ADDE" w14:textId="77777777" w:rsidTr="00A239D8">
        <w:tc>
          <w:tcPr>
            <w:tcW w:w="10252" w:type="dxa"/>
            <w:tcBorders>
              <w:bottom w:val="single" w:sz="4" w:space="0" w:color="auto"/>
            </w:tcBorders>
            <w:shd w:val="clear" w:color="auto" w:fill="F3B8FF" w:themeFill="accent6" w:themeFillTint="33"/>
          </w:tcPr>
          <w:p w14:paraId="0309CB1C" w14:textId="77777777" w:rsidR="00A01FBE" w:rsidRPr="008F64A0" w:rsidRDefault="00A01FBE" w:rsidP="00A239D8">
            <w:pPr>
              <w:rPr>
                <w:i/>
                <w:iCs/>
                <w:color w:val="5A5A5A" w:themeColor="accent1" w:themeTint="BF"/>
              </w:rPr>
            </w:pPr>
            <w:r w:rsidRPr="008F64A0">
              <w:rPr>
                <w:i/>
                <w:iCs/>
                <w:color w:val="5A5A5A" w:themeColor="accent1" w:themeTint="BF"/>
              </w:rPr>
              <w:t>Apakšjautājums: Vai fonda ieviesto inovatīvo procedūru (vienkāršoto izmaksu iespēja, daudzgadu programmas, valsts atbilstības noteikumi, daudzpusīgākas un elastīgākas valsts programmas) rezultātā fonda finansējuma saņēmēji varēja baudīt vienkāršošanas priekšrocības?</w:t>
            </w:r>
          </w:p>
        </w:tc>
      </w:tr>
    </w:tbl>
    <w:p w14:paraId="3C54669A" w14:textId="63FCEC53" w:rsidR="005F4ADE" w:rsidRDefault="00A01FBE" w:rsidP="00A01FBE">
      <w:pPr>
        <w:rPr>
          <w:bCs/>
        </w:rPr>
      </w:pPr>
      <w:r>
        <w:rPr>
          <w:bCs/>
        </w:rPr>
        <w:t xml:space="preserve">Būtiskas priekšrocības Programmas projektu plānošanai un elastīgākai pieejai ir devusi daudzgadu programmas ieviešana. Tas ļāvis ne tikai elastīgāk pielāgot Programmas aktivitātes, bet arī stratēģiskāk plānot projektu īstenošanu, tai skaitā, ļaujot īstenot garākus projektus. </w:t>
      </w:r>
    </w:p>
    <w:p w14:paraId="723B5A77" w14:textId="242C878F" w:rsidR="002E25D3" w:rsidRPr="003D3F6E" w:rsidRDefault="00A01FBE" w:rsidP="00A01FBE">
      <w:pPr>
        <w:rPr>
          <w:rFonts w:asciiTheme="majorHAnsi" w:eastAsiaTheme="majorEastAsia" w:hAnsiTheme="majorHAnsi" w:cstheme="majorBidi"/>
          <w:color w:val="1A1A1A" w:themeColor="accent1" w:themeShade="BF"/>
        </w:rPr>
      </w:pPr>
      <w:r>
        <w:rPr>
          <w:bCs/>
        </w:rPr>
        <w:t>Vienlaikus komunikācijā ar finansējuma saņēmējiem netika identificētas inovatīvas procedūras, kas 2014</w:t>
      </w:r>
      <w:r w:rsidR="00C70F51">
        <w:rPr>
          <w:bCs/>
        </w:rPr>
        <w:t>.</w:t>
      </w:r>
      <w:r>
        <w:rPr>
          <w:bCs/>
        </w:rPr>
        <w:t>-2020.</w:t>
      </w:r>
      <w:r w:rsidR="00C70F51">
        <w:rPr>
          <w:bCs/>
        </w:rPr>
        <w:t xml:space="preserve"> </w:t>
      </w:r>
      <w:r>
        <w:rPr>
          <w:bCs/>
        </w:rPr>
        <w:t xml:space="preserve">gada periodā būtu vienkāršojušas administratīvos procesus. </w:t>
      </w:r>
      <w:r w:rsidR="002E25D3" w:rsidRPr="00F00E88">
        <w:br w:type="page"/>
      </w:r>
    </w:p>
    <w:p w14:paraId="7AF4E975" w14:textId="0B872A91" w:rsidR="00143135" w:rsidRPr="008F64A0" w:rsidRDefault="00915009" w:rsidP="00BF4167">
      <w:pPr>
        <w:pStyle w:val="Virsraksts1"/>
        <w:numPr>
          <w:ilvl w:val="0"/>
          <w:numId w:val="42"/>
        </w:numPr>
      </w:pPr>
      <w:bookmarkStart w:id="47" w:name="_Toc193371304"/>
      <w:r w:rsidRPr="008F64A0">
        <w:rPr>
          <w:b/>
          <w:bCs/>
        </w:rPr>
        <w:lastRenderedPageBreak/>
        <w:t>Iekšējā</w:t>
      </w:r>
      <w:r w:rsidR="00C70F51">
        <w:rPr>
          <w:b/>
          <w:bCs/>
        </w:rPr>
        <w:t>s</w:t>
      </w:r>
      <w:r w:rsidRPr="008F64A0">
        <w:rPr>
          <w:b/>
          <w:bCs/>
        </w:rPr>
        <w:t xml:space="preserve"> drošības fonda finansiāl</w:t>
      </w:r>
      <w:r w:rsidR="00D62F7C" w:rsidRPr="008F64A0">
        <w:rPr>
          <w:b/>
          <w:bCs/>
        </w:rPr>
        <w:t>a</w:t>
      </w:r>
      <w:r w:rsidRPr="008F64A0">
        <w:rPr>
          <w:b/>
          <w:bCs/>
        </w:rPr>
        <w:t xml:space="preserve"> atbalsta instruments ārējām robežām un vīzām</w:t>
      </w:r>
      <w:bookmarkEnd w:id="47"/>
    </w:p>
    <w:p w14:paraId="41577067" w14:textId="1F49E1E4" w:rsidR="00143135" w:rsidRPr="008F64A0" w:rsidRDefault="00143135" w:rsidP="00BF4167">
      <w:pPr>
        <w:pStyle w:val="Virsraksts2"/>
        <w:numPr>
          <w:ilvl w:val="1"/>
          <w:numId w:val="42"/>
        </w:numPr>
        <w:ind w:left="360" w:hanging="360"/>
      </w:pPr>
      <w:bookmarkStart w:id="48" w:name="_Toc193371305"/>
      <w:r w:rsidRPr="008F64A0">
        <w:t xml:space="preserve">Pārskats par </w:t>
      </w:r>
      <w:r w:rsidR="002551FA" w:rsidRPr="008F64A0">
        <w:rPr>
          <w:b/>
          <w:bCs/>
        </w:rPr>
        <w:t>IDF finansiāl</w:t>
      </w:r>
      <w:r w:rsidR="00D62F7C" w:rsidRPr="008F64A0">
        <w:rPr>
          <w:b/>
          <w:bCs/>
        </w:rPr>
        <w:t>a</w:t>
      </w:r>
      <w:r w:rsidR="002551FA" w:rsidRPr="008F64A0">
        <w:rPr>
          <w:b/>
          <w:bCs/>
        </w:rPr>
        <w:t xml:space="preserve"> atbalsta instrumenta ārējām robežām un vīzām ieviešanu</w:t>
      </w:r>
      <w:r w:rsidR="00771613">
        <w:rPr>
          <w:b/>
          <w:bCs/>
        </w:rPr>
        <w:t xml:space="preserve"> un intervences loģika</w:t>
      </w:r>
      <w:bookmarkEnd w:id="48"/>
    </w:p>
    <w:p w14:paraId="411885C7" w14:textId="01D6AEB9" w:rsidR="00875FBC" w:rsidRPr="008F64A0" w:rsidRDefault="008B73FB" w:rsidP="00875FBC">
      <w:r w:rsidRPr="008F64A0">
        <w:t>IDF</w:t>
      </w:r>
      <w:r w:rsidRPr="008F64A0">
        <w:rPr>
          <w:b/>
          <w:bCs/>
        </w:rPr>
        <w:t xml:space="preserve"> </w:t>
      </w:r>
      <w:r w:rsidRPr="008F64A0">
        <w:t xml:space="preserve">finansiāla atbalsta instruments ārējām robežām un vīzām </w:t>
      </w:r>
      <w:r w:rsidR="00875FBC" w:rsidRPr="008F64A0">
        <w:t>ir izveidots atbilstoši ES Regulai Nr.</w:t>
      </w:r>
      <w:r w:rsidR="0086736B" w:rsidRPr="008F64A0">
        <w:t xml:space="preserve"> 5</w:t>
      </w:r>
      <w:r w:rsidR="00875FBC" w:rsidRPr="008F64A0">
        <w:t>1</w:t>
      </w:r>
      <w:r w:rsidR="00DB4061" w:rsidRPr="008F64A0">
        <w:t>5</w:t>
      </w:r>
      <w:r w:rsidR="00875FBC" w:rsidRPr="008F64A0">
        <w:t xml:space="preserve">/2014, un tā vispārīgais mērķis veicināt augsta drošības līmeņa nodrošināšanu </w:t>
      </w:r>
      <w:r w:rsidR="00CE6EEB">
        <w:t>ES</w:t>
      </w:r>
      <w:r w:rsidR="00875FBC" w:rsidRPr="008F64A0">
        <w:t xml:space="preserve"> un atvieglot likumīgu ceļošanu, nodrošinot vienotu un augsta līmeņa ārējo robežu</w:t>
      </w:r>
      <w:r w:rsidR="004E7F26" w:rsidRPr="008F64A0">
        <w:t xml:space="preserve"> </w:t>
      </w:r>
      <w:r w:rsidR="00875FBC" w:rsidRPr="008F64A0">
        <w:t>kontroli un efektīvu Šengenas vīzu apstrādi, atbilstīgi Savienības saistībām ievērot</w:t>
      </w:r>
      <w:r w:rsidRPr="008F64A0">
        <w:t xml:space="preserve"> </w:t>
      </w:r>
      <w:r w:rsidR="00875FBC" w:rsidRPr="008F64A0">
        <w:t xml:space="preserve">pamatbrīvības un cilvēktiesības. Vienlaikus regulā ir izvirzīti </w:t>
      </w:r>
      <w:r w:rsidR="00F21A0B" w:rsidRPr="008F64A0">
        <w:t xml:space="preserve">divi </w:t>
      </w:r>
      <w:r w:rsidR="00875FBC" w:rsidRPr="008F64A0">
        <w:t xml:space="preserve">specifiskie mērķi </w:t>
      </w:r>
      <w:r w:rsidR="00180C56">
        <w:t>(</w:t>
      </w:r>
      <w:r w:rsidR="00875FBC" w:rsidRPr="008F64A0">
        <w:fldChar w:fldCharType="begin"/>
      </w:r>
      <w:r w:rsidR="00875FBC" w:rsidRPr="008F64A0">
        <w:instrText xml:space="preserve"> REF _Ref189656386 \h </w:instrText>
      </w:r>
      <w:r w:rsidR="00875FBC" w:rsidRPr="008F64A0">
        <w:fldChar w:fldCharType="separate"/>
      </w:r>
      <w:r w:rsidR="000523B6" w:rsidRPr="008F64A0">
        <w:t xml:space="preserve">Tabula </w:t>
      </w:r>
      <w:r w:rsidR="000523B6">
        <w:rPr>
          <w:noProof/>
        </w:rPr>
        <w:t>3</w:t>
      </w:r>
      <w:r w:rsidR="00875FBC" w:rsidRPr="008F64A0">
        <w:fldChar w:fldCharType="end"/>
      </w:r>
      <w:r w:rsidR="00180C56">
        <w:t>)</w:t>
      </w:r>
      <w:r w:rsidR="00875FBC" w:rsidRPr="008F64A0">
        <w:t xml:space="preserve">. </w:t>
      </w:r>
    </w:p>
    <w:p w14:paraId="7EB875D0" w14:textId="66185FEC" w:rsidR="004A286D" w:rsidRPr="008F64A0" w:rsidRDefault="00875FBC" w:rsidP="00875FBC">
      <w:r w:rsidRPr="008F64A0">
        <w:t xml:space="preserve">Atbilstoši </w:t>
      </w:r>
      <w:r w:rsidR="00460132" w:rsidRPr="008F64A0">
        <w:t>ES Regulas Nr. 515/2014 9.</w:t>
      </w:r>
      <w:r w:rsidR="00C70F51">
        <w:t xml:space="preserve"> </w:t>
      </w:r>
      <w:r w:rsidR="00460132" w:rsidRPr="008F64A0">
        <w:t xml:space="preserve">pantam un </w:t>
      </w:r>
      <w:r w:rsidRPr="008F64A0">
        <w:t>ES Regulas Nr. 51</w:t>
      </w:r>
      <w:r w:rsidR="00460132" w:rsidRPr="008F64A0">
        <w:t>4</w:t>
      </w:r>
      <w:r w:rsidRPr="008F64A0">
        <w:t>/2014 14.</w:t>
      </w:r>
      <w:r w:rsidR="00C70F51">
        <w:t xml:space="preserve"> </w:t>
      </w:r>
      <w:r w:rsidRPr="008F64A0">
        <w:t xml:space="preserve">pantam, tika izstrādāta </w:t>
      </w:r>
      <w:r w:rsidR="00E21F41">
        <w:t>IDF</w:t>
      </w:r>
      <w:r w:rsidRPr="008F64A0">
        <w:t xml:space="preserve"> nacionālā programma, kuras sākotnējo versiju </w:t>
      </w:r>
      <w:r w:rsidR="00777E7E">
        <w:t>EK</w:t>
      </w:r>
      <w:r w:rsidRPr="008F64A0">
        <w:t xml:space="preserve"> apstiprināja 2015. gada </w:t>
      </w:r>
      <w:r w:rsidR="00DF6D7C" w:rsidRPr="008F64A0">
        <w:t>17</w:t>
      </w:r>
      <w:r w:rsidRPr="008F64A0">
        <w:t xml:space="preserve">. </w:t>
      </w:r>
      <w:r w:rsidR="00DF6D7C" w:rsidRPr="008F64A0">
        <w:t>decembrī</w:t>
      </w:r>
      <w:r w:rsidRPr="008F64A0">
        <w:t>.</w:t>
      </w:r>
      <w:r w:rsidRPr="008F64A0">
        <w:rPr>
          <w:rStyle w:val="Vresatsauce"/>
        </w:rPr>
        <w:footnoteReference w:id="33"/>
      </w:r>
      <w:r w:rsidRPr="008F64A0">
        <w:t xml:space="preserve"> </w:t>
      </w:r>
      <w:r w:rsidR="004A286D" w:rsidRPr="008F64A0">
        <w:t xml:space="preserve">IDF nacionālajā programmā ir ietverti plānotie pasākumi gan finansiāla atbalsta instrumenta ārējām robežām un vīzām ietvaros, gan finansiāla atbalsta instrumenta policijas sadarbībai, noziedzības novēršanai un apkarošanai un krīžu pārvarēšanai ietvaros. </w:t>
      </w:r>
    </w:p>
    <w:p w14:paraId="64D10153" w14:textId="2F23494B" w:rsidR="00875FBC" w:rsidRPr="008F64A0" w:rsidRDefault="004A286D" w:rsidP="00875FBC">
      <w:r w:rsidRPr="008F64A0">
        <w:t>IDF</w:t>
      </w:r>
      <w:r w:rsidR="00875FBC" w:rsidRPr="008F64A0">
        <w:t xml:space="preserve"> nacionālajā programmā atbilstoši ES Regulas Nr. 51</w:t>
      </w:r>
      <w:r w:rsidR="00524E1F" w:rsidRPr="008F64A0">
        <w:t>5</w:t>
      </w:r>
      <w:r w:rsidR="00875FBC" w:rsidRPr="008F64A0">
        <w:t>/2014 noteiktajiem specifiskajiem mērķiem tika definētas konkrētas aktivitātes šo mērķu sasniegšanai (</w:t>
      </w:r>
      <w:r w:rsidRPr="008F64A0">
        <w:fldChar w:fldCharType="begin"/>
      </w:r>
      <w:r w:rsidRPr="008F64A0">
        <w:instrText xml:space="preserve"> REF _Ref189656386 \h </w:instrText>
      </w:r>
      <w:r w:rsidRPr="008F64A0">
        <w:fldChar w:fldCharType="separate"/>
      </w:r>
      <w:r w:rsidR="000523B6" w:rsidRPr="008F64A0">
        <w:t xml:space="preserve">Tabula </w:t>
      </w:r>
      <w:r w:rsidR="000523B6">
        <w:rPr>
          <w:noProof/>
        </w:rPr>
        <w:t>3</w:t>
      </w:r>
      <w:r w:rsidRPr="008F64A0">
        <w:fldChar w:fldCharType="end"/>
      </w:r>
      <w:r w:rsidR="00875FBC" w:rsidRPr="008F64A0">
        <w:t xml:space="preserve">). Programmas īstenošanas gaitā </w:t>
      </w:r>
      <w:r w:rsidR="001D5961" w:rsidRPr="008F64A0">
        <w:t>IDF</w:t>
      </w:r>
      <w:r w:rsidR="00875FBC" w:rsidRPr="008F64A0">
        <w:t xml:space="preserve"> nacionālā programmā </w:t>
      </w:r>
      <w:r w:rsidR="001D5961" w:rsidRPr="008F64A0">
        <w:t>sešas</w:t>
      </w:r>
      <w:r w:rsidR="00875FBC" w:rsidRPr="008F64A0">
        <w:t xml:space="preserve"> reizes tikuši veikti grozījumi, t.sk. mainot sākotnēji plānotās aktivitātes un paredzēto budžetu un tā sadalījumu. </w:t>
      </w:r>
    </w:p>
    <w:p w14:paraId="412CCBC8" w14:textId="0A340853" w:rsidR="00875FBC" w:rsidRPr="008F64A0" w:rsidRDefault="00875FBC" w:rsidP="00875FBC">
      <w:pPr>
        <w:pStyle w:val="TableTitle"/>
      </w:pPr>
      <w:bookmarkStart w:id="49" w:name="_Ref189656386"/>
      <w:bookmarkStart w:id="50" w:name="_Ref191388521"/>
      <w:r w:rsidRPr="008F64A0">
        <w:t xml:space="preserve">Tabula </w:t>
      </w:r>
      <w:r w:rsidRPr="008F64A0">
        <w:fldChar w:fldCharType="begin"/>
      </w:r>
      <w:r w:rsidRPr="008F64A0">
        <w:instrText xml:space="preserve"> SEQ Tabula \* ARABIC </w:instrText>
      </w:r>
      <w:r w:rsidRPr="008F64A0">
        <w:fldChar w:fldCharType="separate"/>
      </w:r>
      <w:r w:rsidR="000523B6">
        <w:t>3</w:t>
      </w:r>
      <w:r w:rsidRPr="008F64A0">
        <w:fldChar w:fldCharType="end"/>
      </w:r>
      <w:bookmarkEnd w:id="49"/>
      <w:r w:rsidR="006F3D9A">
        <w:t>.</w:t>
      </w:r>
      <w:r w:rsidRPr="008F64A0">
        <w:t xml:space="preserve"> Nacionālajā programmā paredzētās aktivitātes atbilstoši </w:t>
      </w:r>
      <w:r w:rsidR="00074D06" w:rsidRPr="008F64A0">
        <w:t>IDF robežas un vīzas</w:t>
      </w:r>
      <w:r w:rsidRPr="008F64A0">
        <w:t xml:space="preserve"> specifiskajiem mērķiem</w:t>
      </w:r>
      <w:bookmarkEnd w:id="50"/>
    </w:p>
    <w:tbl>
      <w:tblPr>
        <w:tblStyle w:val="Reatabula"/>
        <w:tblW w:w="10343" w:type="dxa"/>
        <w:tblLook w:val="04A0" w:firstRow="1" w:lastRow="0" w:firstColumn="1" w:lastColumn="0" w:noHBand="0" w:noVBand="1"/>
      </w:tblPr>
      <w:tblGrid>
        <w:gridCol w:w="5524"/>
        <w:gridCol w:w="4819"/>
      </w:tblGrid>
      <w:tr w:rsidR="00875FBC" w:rsidRPr="008F64A0" w14:paraId="5D3AC21E" w14:textId="77777777" w:rsidTr="00FD1F7E">
        <w:trPr>
          <w:trHeight w:val="610"/>
        </w:trPr>
        <w:tc>
          <w:tcPr>
            <w:tcW w:w="5524" w:type="dxa"/>
            <w:shd w:val="clear" w:color="auto" w:fill="40004D" w:themeFill="accent6" w:themeFillShade="80"/>
          </w:tcPr>
          <w:p w14:paraId="6E929072" w14:textId="1FA5BEC7" w:rsidR="00875FBC" w:rsidRPr="008F64A0" w:rsidRDefault="00F56D34" w:rsidP="00A239D8">
            <w:pPr>
              <w:rPr>
                <w:b/>
                <w:bCs/>
              </w:rPr>
            </w:pPr>
            <w:r w:rsidRPr="008F64A0">
              <w:rPr>
                <w:b/>
                <w:bCs/>
              </w:rPr>
              <w:t>IDF robežas un vīzas</w:t>
            </w:r>
            <w:r w:rsidR="00875FBC" w:rsidRPr="008F64A0">
              <w:rPr>
                <w:b/>
                <w:bCs/>
              </w:rPr>
              <w:t xml:space="preserve"> specifiskais mērķis</w:t>
            </w:r>
          </w:p>
        </w:tc>
        <w:tc>
          <w:tcPr>
            <w:tcW w:w="4819" w:type="dxa"/>
            <w:shd w:val="clear" w:color="auto" w:fill="40004D" w:themeFill="accent6" w:themeFillShade="80"/>
          </w:tcPr>
          <w:p w14:paraId="07BC489F" w14:textId="642A06F6" w:rsidR="00875FBC" w:rsidRPr="008F64A0" w:rsidRDefault="00F56D34" w:rsidP="00A239D8">
            <w:pPr>
              <w:rPr>
                <w:b/>
                <w:bCs/>
              </w:rPr>
            </w:pPr>
            <w:r w:rsidRPr="008F64A0">
              <w:rPr>
                <w:b/>
                <w:bCs/>
              </w:rPr>
              <w:t>IDF</w:t>
            </w:r>
            <w:r w:rsidR="00875FBC" w:rsidRPr="008F64A0">
              <w:rPr>
                <w:b/>
                <w:bCs/>
              </w:rPr>
              <w:t xml:space="preserve"> nacionālajā programmā paredzētās aktivitātes</w:t>
            </w:r>
          </w:p>
        </w:tc>
      </w:tr>
      <w:tr w:rsidR="00875FBC" w:rsidRPr="008F64A0" w14:paraId="0BA042E4" w14:textId="77777777" w:rsidTr="00FD1F7E">
        <w:trPr>
          <w:trHeight w:val="288"/>
        </w:trPr>
        <w:tc>
          <w:tcPr>
            <w:tcW w:w="5524" w:type="dxa"/>
            <w:vMerge w:val="restart"/>
          </w:tcPr>
          <w:p w14:paraId="3235E83E" w14:textId="443A53DC" w:rsidR="00875FBC" w:rsidRPr="008F64A0" w:rsidRDefault="00875FBC" w:rsidP="00A239D8">
            <w:r w:rsidRPr="008F64A0">
              <w:t xml:space="preserve">SM1. </w:t>
            </w:r>
            <w:r w:rsidR="000D0D98" w:rsidRPr="008F64A0">
              <w:t>A</w:t>
            </w:r>
            <w:r w:rsidR="00F56D34" w:rsidRPr="008F64A0">
              <w:t>tbalstīt kopējo vīzu politiku, lai atvieglotu likumīgu ceļošanu, sniegtu kvalitatīvus</w:t>
            </w:r>
            <w:r w:rsidR="000D0D98" w:rsidRPr="008F64A0">
              <w:t xml:space="preserve"> </w:t>
            </w:r>
            <w:r w:rsidR="00F56D34" w:rsidRPr="008F64A0">
              <w:t>pakalpojumus vīzu pieteikumu iesniedzējiem, nodrošinātu vienlīdzīgu attieksmi pret trešo</w:t>
            </w:r>
            <w:r w:rsidR="000D0D98" w:rsidRPr="008F64A0">
              <w:t xml:space="preserve"> </w:t>
            </w:r>
            <w:r w:rsidR="00F56D34" w:rsidRPr="008F64A0">
              <w:t>valstu valstspiederīgajiem un novērstu nelikumīgu imigrāciju</w:t>
            </w:r>
          </w:p>
        </w:tc>
        <w:tc>
          <w:tcPr>
            <w:tcW w:w="4819" w:type="dxa"/>
          </w:tcPr>
          <w:p w14:paraId="591B6937" w14:textId="1B928990" w:rsidR="00875FBC" w:rsidRPr="008F64A0" w:rsidRDefault="00255692" w:rsidP="00384A63">
            <w:pPr>
              <w:pStyle w:val="Sarakstarindkopa"/>
              <w:numPr>
                <w:ilvl w:val="0"/>
                <w:numId w:val="24"/>
              </w:numPr>
            </w:pPr>
            <w:r w:rsidRPr="008F64A0">
              <w:t>NVIS izmantošana un attīstīšana</w:t>
            </w:r>
          </w:p>
        </w:tc>
      </w:tr>
      <w:tr w:rsidR="00875FBC" w:rsidRPr="008F64A0" w14:paraId="440DDC20" w14:textId="77777777" w:rsidTr="00FD1F7E">
        <w:trPr>
          <w:trHeight w:val="1050"/>
        </w:trPr>
        <w:tc>
          <w:tcPr>
            <w:tcW w:w="5524" w:type="dxa"/>
            <w:vMerge/>
          </w:tcPr>
          <w:p w14:paraId="1E32EB7D" w14:textId="77777777" w:rsidR="00875FBC" w:rsidRPr="008F64A0" w:rsidRDefault="00875FBC" w:rsidP="00A239D8"/>
        </w:tc>
        <w:tc>
          <w:tcPr>
            <w:tcW w:w="4819" w:type="dxa"/>
          </w:tcPr>
          <w:p w14:paraId="2280D8E7" w14:textId="0BE9B4CE" w:rsidR="00875FBC" w:rsidRPr="008F64A0" w:rsidRDefault="00255692" w:rsidP="00384A63">
            <w:pPr>
              <w:pStyle w:val="Sarakstarindkopa"/>
              <w:numPr>
                <w:ilvl w:val="0"/>
                <w:numId w:val="24"/>
              </w:numPr>
            </w:pPr>
            <w:r w:rsidRPr="008F64A0">
              <w:t>Reģionālo apmācību nodrošināšana konsulāriem darbiniekiem par ES kopējo Šengenas vīzu izsniegšanas politiku</w:t>
            </w:r>
          </w:p>
        </w:tc>
      </w:tr>
      <w:tr w:rsidR="00B817CE" w:rsidRPr="008F64A0" w14:paraId="548A69B9" w14:textId="77777777" w:rsidTr="00FD1F7E">
        <w:trPr>
          <w:trHeight w:val="410"/>
        </w:trPr>
        <w:tc>
          <w:tcPr>
            <w:tcW w:w="5524" w:type="dxa"/>
            <w:vMerge w:val="restart"/>
          </w:tcPr>
          <w:p w14:paraId="0BCFAF68" w14:textId="6A339427" w:rsidR="00B817CE" w:rsidRPr="008F64A0" w:rsidRDefault="00B817CE" w:rsidP="00522800">
            <w:r w:rsidRPr="008F64A0">
              <w:t xml:space="preserve">SM2. Atbalstīt robežu integrētu pārvaldību, cita starpā veicinot robežu pārvaldības pasākumu turpmāku saskaņošanu atbilstīgi kopējiem Savienības standartiem un apmainoties ar informāciju starp dalībvalstīm un starp dalībvalstīm un </w:t>
            </w:r>
            <w:r w:rsidRPr="008F64A0">
              <w:rPr>
                <w:i/>
                <w:iCs/>
              </w:rPr>
              <w:t>Frontex</w:t>
            </w:r>
            <w:r w:rsidRPr="008F64A0">
              <w:t xml:space="preserve"> aģentūru, lai nodrošinātu, no vienas puses, ārējo robežu vienādu un augsta līmeņa kontroli un aizsardzību, ieskaitot nelikumīgās imigrācijas novēršanu, un, no otras puses, ārējo robežu raitu šķērsošanu saskaņā ar Šengenas </w:t>
            </w:r>
            <w:r w:rsidRPr="008F64A0">
              <w:rPr>
                <w:i/>
                <w:iCs/>
              </w:rPr>
              <w:lastRenderedPageBreak/>
              <w:t>acquis</w:t>
            </w:r>
            <w:r w:rsidRPr="008F64A0">
              <w:t>, vienlaikus garantējot piekļuvi starptautiskajai aizsardzībai personām, kam tā ir vajadzīga, saskaņā ar dalībvalstu līgumos noteiktajām saistībām attiecībā uz cilvēktiesībām, tostarp neizraidīšanas principu.</w:t>
            </w:r>
          </w:p>
        </w:tc>
        <w:tc>
          <w:tcPr>
            <w:tcW w:w="4819" w:type="dxa"/>
          </w:tcPr>
          <w:p w14:paraId="3988EA1F" w14:textId="0DE824E4" w:rsidR="00B817CE" w:rsidRPr="008F64A0" w:rsidRDefault="00B817CE" w:rsidP="00384A63">
            <w:pPr>
              <w:pStyle w:val="Sarakstarindkopa"/>
              <w:numPr>
                <w:ilvl w:val="0"/>
                <w:numId w:val="24"/>
              </w:numPr>
            </w:pPr>
            <w:r w:rsidRPr="008F64A0">
              <w:lastRenderedPageBreak/>
              <w:t>EUROSUR</w:t>
            </w:r>
            <w:r w:rsidR="00255692" w:rsidRPr="008F64A0">
              <w:t xml:space="preserve"> ieviešana</w:t>
            </w:r>
          </w:p>
        </w:tc>
      </w:tr>
      <w:tr w:rsidR="00B817CE" w:rsidRPr="008F64A0" w14:paraId="4D2A51D8" w14:textId="77777777" w:rsidTr="00FD1F7E">
        <w:trPr>
          <w:trHeight w:val="408"/>
        </w:trPr>
        <w:tc>
          <w:tcPr>
            <w:tcW w:w="5524" w:type="dxa"/>
            <w:vMerge/>
          </w:tcPr>
          <w:p w14:paraId="5D06BC77" w14:textId="77777777" w:rsidR="00B817CE" w:rsidRPr="008F64A0" w:rsidRDefault="00B817CE" w:rsidP="00A239D8"/>
        </w:tc>
        <w:tc>
          <w:tcPr>
            <w:tcW w:w="4819" w:type="dxa"/>
          </w:tcPr>
          <w:p w14:paraId="66790E66" w14:textId="198C1BE2" w:rsidR="00B817CE" w:rsidRPr="008F64A0" w:rsidRDefault="00B817CE" w:rsidP="00384A63">
            <w:pPr>
              <w:pStyle w:val="Sarakstarindkopa"/>
              <w:numPr>
                <w:ilvl w:val="0"/>
                <w:numId w:val="25"/>
              </w:numPr>
            </w:pPr>
            <w:r w:rsidRPr="008F64A0">
              <w:t xml:space="preserve">ABC </w:t>
            </w:r>
            <w:r w:rsidR="00255692" w:rsidRPr="008F64A0">
              <w:t xml:space="preserve">vārtu uzstādīšana </w:t>
            </w:r>
            <w:r w:rsidR="00F00E88" w:rsidRPr="008F64A0">
              <w:t>starptautiskajā</w:t>
            </w:r>
            <w:r w:rsidR="00255692" w:rsidRPr="008F64A0">
              <w:t xml:space="preserve"> lidostā “Rīga”</w:t>
            </w:r>
          </w:p>
        </w:tc>
      </w:tr>
      <w:tr w:rsidR="00B817CE" w:rsidRPr="008F64A0" w14:paraId="3F7693BF" w14:textId="77777777" w:rsidTr="00FD1F7E">
        <w:trPr>
          <w:trHeight w:val="408"/>
        </w:trPr>
        <w:tc>
          <w:tcPr>
            <w:tcW w:w="5524" w:type="dxa"/>
            <w:vMerge/>
          </w:tcPr>
          <w:p w14:paraId="6B92AFCC" w14:textId="77777777" w:rsidR="00B817CE" w:rsidRPr="008F64A0" w:rsidRDefault="00B817CE" w:rsidP="00A239D8"/>
        </w:tc>
        <w:tc>
          <w:tcPr>
            <w:tcW w:w="4819" w:type="dxa"/>
          </w:tcPr>
          <w:p w14:paraId="756F0743" w14:textId="7242BB40" w:rsidR="00B817CE" w:rsidRPr="008F64A0" w:rsidRDefault="001D6150" w:rsidP="00384A63">
            <w:pPr>
              <w:pStyle w:val="Sarakstarindkopa"/>
              <w:numPr>
                <w:ilvl w:val="0"/>
                <w:numId w:val="24"/>
              </w:numPr>
            </w:pPr>
            <w:r w:rsidRPr="008F64A0">
              <w:t>Jaunas REIS sistēmas attīstīšana VRS</w:t>
            </w:r>
          </w:p>
        </w:tc>
      </w:tr>
      <w:tr w:rsidR="00B817CE" w:rsidRPr="008F64A0" w14:paraId="1D02A457" w14:textId="77777777" w:rsidTr="00FD1F7E">
        <w:trPr>
          <w:trHeight w:val="408"/>
        </w:trPr>
        <w:tc>
          <w:tcPr>
            <w:tcW w:w="5524" w:type="dxa"/>
            <w:vMerge/>
          </w:tcPr>
          <w:p w14:paraId="430ECA59" w14:textId="77777777" w:rsidR="00B817CE" w:rsidRPr="008F64A0" w:rsidRDefault="00B817CE" w:rsidP="00A239D8"/>
        </w:tc>
        <w:tc>
          <w:tcPr>
            <w:tcW w:w="4819" w:type="dxa"/>
          </w:tcPr>
          <w:p w14:paraId="29758882" w14:textId="4E32A410" w:rsidR="00B817CE" w:rsidRPr="008F64A0" w:rsidRDefault="001D6150" w:rsidP="00384A63">
            <w:pPr>
              <w:pStyle w:val="Sarakstarindkopa"/>
              <w:numPr>
                <w:ilvl w:val="0"/>
                <w:numId w:val="24"/>
              </w:numPr>
            </w:pPr>
            <w:r w:rsidRPr="008F64A0">
              <w:t>N.SIS II un SIRENE attīstīšana</w:t>
            </w:r>
          </w:p>
        </w:tc>
      </w:tr>
      <w:tr w:rsidR="00B817CE" w:rsidRPr="008F64A0" w14:paraId="6B93D204" w14:textId="77777777" w:rsidTr="00FD1F7E">
        <w:trPr>
          <w:trHeight w:val="408"/>
        </w:trPr>
        <w:tc>
          <w:tcPr>
            <w:tcW w:w="5524" w:type="dxa"/>
            <w:vMerge/>
          </w:tcPr>
          <w:p w14:paraId="09677187" w14:textId="77777777" w:rsidR="00B817CE" w:rsidRPr="008F64A0" w:rsidRDefault="00B817CE" w:rsidP="00A239D8"/>
        </w:tc>
        <w:tc>
          <w:tcPr>
            <w:tcW w:w="4819" w:type="dxa"/>
          </w:tcPr>
          <w:p w14:paraId="607B0C4D" w14:textId="7B56BFA0" w:rsidR="00B817CE" w:rsidRPr="008F64A0" w:rsidRDefault="00447A7B" w:rsidP="00384A63">
            <w:pPr>
              <w:pStyle w:val="Sarakstarindkopa"/>
              <w:numPr>
                <w:ilvl w:val="0"/>
                <w:numId w:val="24"/>
              </w:numPr>
            </w:pPr>
            <w:r w:rsidRPr="008F64A0">
              <w:t>Tehnisko līdzekļu modernizācija robežkontroles vajadzībām</w:t>
            </w:r>
          </w:p>
        </w:tc>
      </w:tr>
      <w:tr w:rsidR="00B817CE" w:rsidRPr="008F64A0" w14:paraId="57CD7BCE" w14:textId="77777777" w:rsidTr="00FD1F7E">
        <w:trPr>
          <w:trHeight w:val="408"/>
        </w:trPr>
        <w:tc>
          <w:tcPr>
            <w:tcW w:w="5524" w:type="dxa"/>
            <w:vMerge/>
          </w:tcPr>
          <w:p w14:paraId="20ECE0CF" w14:textId="77777777" w:rsidR="00B817CE" w:rsidRPr="008F64A0" w:rsidRDefault="00B817CE" w:rsidP="00A239D8"/>
        </w:tc>
        <w:tc>
          <w:tcPr>
            <w:tcW w:w="4819" w:type="dxa"/>
          </w:tcPr>
          <w:p w14:paraId="3A793AB1" w14:textId="4D21A4CA" w:rsidR="00B817CE" w:rsidRPr="008F64A0" w:rsidRDefault="00447A7B" w:rsidP="00384A63">
            <w:pPr>
              <w:pStyle w:val="Sarakstarindkopa"/>
              <w:numPr>
                <w:ilvl w:val="0"/>
                <w:numId w:val="24"/>
              </w:numPr>
            </w:pPr>
            <w:r w:rsidRPr="008F64A0">
              <w:t>VRS mobilitātes uzlabošana</w:t>
            </w:r>
          </w:p>
        </w:tc>
      </w:tr>
      <w:tr w:rsidR="00B817CE" w:rsidRPr="008F64A0" w14:paraId="5AAB3BA9" w14:textId="77777777" w:rsidTr="00FD1F7E">
        <w:trPr>
          <w:trHeight w:val="408"/>
        </w:trPr>
        <w:tc>
          <w:tcPr>
            <w:tcW w:w="5524" w:type="dxa"/>
            <w:vMerge/>
          </w:tcPr>
          <w:p w14:paraId="0466495E" w14:textId="77777777" w:rsidR="00B817CE" w:rsidRPr="008F64A0" w:rsidRDefault="00B817CE" w:rsidP="00A239D8"/>
        </w:tc>
        <w:tc>
          <w:tcPr>
            <w:tcW w:w="4819" w:type="dxa"/>
          </w:tcPr>
          <w:p w14:paraId="63193FA3" w14:textId="705EAFD6" w:rsidR="00B817CE" w:rsidRPr="008F64A0" w:rsidRDefault="00906E83" w:rsidP="00384A63">
            <w:pPr>
              <w:pStyle w:val="Sarakstarindkopa"/>
              <w:numPr>
                <w:ilvl w:val="0"/>
                <w:numId w:val="24"/>
              </w:numPr>
            </w:pPr>
            <w:r w:rsidRPr="008F64A0">
              <w:t>Imigrācijas sakaru koordin</w:t>
            </w:r>
            <w:r w:rsidR="0090316F" w:rsidRPr="008F64A0">
              <w:t>atoru darbības izveide un tu</w:t>
            </w:r>
            <w:r w:rsidR="005253B2">
              <w:t>r</w:t>
            </w:r>
            <w:r w:rsidR="0090316F" w:rsidRPr="008F64A0">
              <w:t>pm</w:t>
            </w:r>
            <w:r w:rsidR="005253B2">
              <w:t>ā</w:t>
            </w:r>
            <w:r w:rsidR="0090316F" w:rsidRPr="008F64A0">
              <w:t xml:space="preserve">ka attīstīšana </w:t>
            </w:r>
          </w:p>
        </w:tc>
      </w:tr>
      <w:tr w:rsidR="00B817CE" w:rsidRPr="008F64A0" w14:paraId="1A1796FB" w14:textId="77777777" w:rsidTr="00FD1F7E">
        <w:trPr>
          <w:trHeight w:val="408"/>
        </w:trPr>
        <w:tc>
          <w:tcPr>
            <w:tcW w:w="5524" w:type="dxa"/>
            <w:vMerge/>
          </w:tcPr>
          <w:p w14:paraId="2CF79D86" w14:textId="77777777" w:rsidR="00B817CE" w:rsidRPr="008F64A0" w:rsidRDefault="00B817CE" w:rsidP="00A239D8"/>
        </w:tc>
        <w:tc>
          <w:tcPr>
            <w:tcW w:w="4819" w:type="dxa"/>
          </w:tcPr>
          <w:p w14:paraId="3262F9D8" w14:textId="63F56C6C" w:rsidR="00B817CE" w:rsidRPr="008F64A0" w:rsidRDefault="0090316F" w:rsidP="00384A63">
            <w:pPr>
              <w:pStyle w:val="Sarakstarindkopa"/>
              <w:numPr>
                <w:ilvl w:val="0"/>
                <w:numId w:val="24"/>
              </w:numPr>
            </w:pPr>
            <w:r w:rsidRPr="008F64A0">
              <w:t>Mobilā sauszemes un piekrastes uzraudzības transportlīdzekļa iegāde</w:t>
            </w:r>
          </w:p>
        </w:tc>
      </w:tr>
      <w:tr w:rsidR="00B817CE" w:rsidRPr="008F64A0" w14:paraId="7C358905" w14:textId="77777777" w:rsidTr="00FD1F7E">
        <w:trPr>
          <w:trHeight w:val="408"/>
        </w:trPr>
        <w:tc>
          <w:tcPr>
            <w:tcW w:w="5524" w:type="dxa"/>
            <w:vMerge/>
          </w:tcPr>
          <w:p w14:paraId="0D50F9B9" w14:textId="77777777" w:rsidR="00B817CE" w:rsidRPr="008F64A0" w:rsidRDefault="00B817CE" w:rsidP="00A239D8"/>
        </w:tc>
        <w:tc>
          <w:tcPr>
            <w:tcW w:w="4819" w:type="dxa"/>
          </w:tcPr>
          <w:p w14:paraId="7688E13B" w14:textId="18713083" w:rsidR="00B817CE" w:rsidRPr="008F64A0" w:rsidRDefault="004E5495" w:rsidP="00384A63">
            <w:pPr>
              <w:pStyle w:val="Sarakstarindkopa"/>
              <w:numPr>
                <w:ilvl w:val="0"/>
                <w:numId w:val="24"/>
              </w:numPr>
            </w:pPr>
            <w:r w:rsidRPr="008F64A0">
              <w:t>Piekrastes patruļas kuģu iegāde</w:t>
            </w:r>
          </w:p>
        </w:tc>
      </w:tr>
    </w:tbl>
    <w:p w14:paraId="18A3B004" w14:textId="67F5A876" w:rsidR="00875FBC" w:rsidRPr="008F64A0" w:rsidRDefault="00875FBC" w:rsidP="00875FBC">
      <w:pPr>
        <w:jc w:val="right"/>
        <w:rPr>
          <w:rStyle w:val="Izsmalcintsizclums"/>
        </w:rPr>
      </w:pPr>
      <w:r w:rsidRPr="008F64A0">
        <w:rPr>
          <w:rStyle w:val="Izsmalcintsizclums"/>
        </w:rPr>
        <w:t xml:space="preserve">Avots: </w:t>
      </w:r>
      <w:r w:rsidR="00F56D34" w:rsidRPr="008F64A0">
        <w:rPr>
          <w:rStyle w:val="Izsmalcintsizclums"/>
        </w:rPr>
        <w:t>IDF</w:t>
      </w:r>
      <w:r w:rsidRPr="008F64A0">
        <w:rPr>
          <w:rStyle w:val="Izsmalcintsizclums"/>
        </w:rPr>
        <w:t xml:space="preserve"> nacionālā programma</w:t>
      </w:r>
    </w:p>
    <w:p w14:paraId="755309FC" w14:textId="6374F9B4" w:rsidR="007E6D77" w:rsidRPr="008F64A0" w:rsidRDefault="00875FBC" w:rsidP="00875FBC">
      <w:r w:rsidRPr="008F64A0">
        <w:t xml:space="preserve">Lai nodrošinātu </w:t>
      </w:r>
      <w:r w:rsidR="00F11A79" w:rsidRPr="008F64A0">
        <w:t>IDF</w:t>
      </w:r>
      <w:r w:rsidRPr="008F64A0">
        <w:t xml:space="preserve"> nacionālajā programmā paredzēto aktivitāšu ieviešanu</w:t>
      </w:r>
      <w:r w:rsidR="00F11A79" w:rsidRPr="008F64A0">
        <w:t xml:space="preserve"> robežu un vīzu jomā</w:t>
      </w:r>
      <w:r w:rsidRPr="008F64A0">
        <w:t xml:space="preserve">, kopumā ir tikuši īstenoti  </w:t>
      </w:r>
      <w:r w:rsidR="00462D87" w:rsidRPr="008F64A0">
        <w:t>24</w:t>
      </w:r>
      <w:r w:rsidRPr="008F64A0">
        <w:t xml:space="preserve"> projekti</w:t>
      </w:r>
      <w:r w:rsidRPr="008F64A0">
        <w:rPr>
          <w:rStyle w:val="Vresatsauce"/>
        </w:rPr>
        <w:footnoteReference w:id="34"/>
      </w:r>
      <w:r w:rsidR="009E387B" w:rsidRPr="008F64A0">
        <w:t xml:space="preserve">, kurus īstenoja četras dažādas iestādes — </w:t>
      </w:r>
      <w:r w:rsidR="0063083B">
        <w:t>VRS</w:t>
      </w:r>
      <w:r w:rsidR="009E387B" w:rsidRPr="008F64A0">
        <w:t xml:space="preserve">, </w:t>
      </w:r>
      <w:r w:rsidR="00207C65">
        <w:t>IeM IC</w:t>
      </w:r>
      <w:r w:rsidR="009E387B" w:rsidRPr="008F64A0">
        <w:t xml:space="preserve">, </w:t>
      </w:r>
      <w:r w:rsidR="000E758D">
        <w:t>ĀM</w:t>
      </w:r>
      <w:r w:rsidR="00611EFC" w:rsidRPr="008F64A0">
        <w:t xml:space="preserve"> un </w:t>
      </w:r>
      <w:r w:rsidR="005A37F3">
        <w:t>PMLP</w:t>
      </w:r>
      <w:r w:rsidR="00611EFC" w:rsidRPr="008F64A0">
        <w:t xml:space="preserve">. </w:t>
      </w:r>
    </w:p>
    <w:p w14:paraId="6D6E3DD7" w14:textId="2F1676FB" w:rsidR="00875FBC" w:rsidRPr="008F64A0" w:rsidRDefault="007E6D77" w:rsidP="00875FBC">
      <w:bookmarkStart w:id="51" w:name="_Hlk190693008"/>
      <w:r w:rsidRPr="008F64A0">
        <w:t>Ņemot vērā ar Eiropas bēgļu krīzes risināšanu saistītus faktorus</w:t>
      </w:r>
      <w:r w:rsidR="00611EFC" w:rsidRPr="008F64A0">
        <w:t xml:space="preserve"> IDF </w:t>
      </w:r>
      <w:r w:rsidRPr="008F64A0">
        <w:t>programmas izdevumu attiecināmības termiņš no 31.12.2022 tika pagarināts līdz 30.06.2024, kā rezultātā tika pagarināts vairāku projektu īstenošanas termiņš.</w:t>
      </w:r>
    </w:p>
    <w:bookmarkEnd w:id="51"/>
    <w:p w14:paraId="22B17ABF" w14:textId="1EB73BF9" w:rsidR="00E30D28" w:rsidRPr="008F64A0" w:rsidRDefault="00E30D28" w:rsidP="000A0684">
      <w:pPr>
        <w:tabs>
          <w:tab w:val="num" w:pos="720"/>
        </w:tabs>
      </w:pPr>
      <w:r w:rsidRPr="008F64A0">
        <w:t>Lai sekmētu SM1 sasniegšanu</w:t>
      </w:r>
      <w:r w:rsidR="00EE75C6" w:rsidRPr="008F64A0">
        <w:t xml:space="preserve"> projektu ietvaros tika īstenoti tādi pasākumi kā </w:t>
      </w:r>
      <w:r w:rsidR="00E85CAA">
        <w:t>NVIS</w:t>
      </w:r>
      <w:r w:rsidRPr="008F64A0">
        <w:t xml:space="preserve"> darbīb</w:t>
      </w:r>
      <w:r w:rsidR="00EE75C6" w:rsidRPr="008F64A0">
        <w:t xml:space="preserve">as uzlabošana, </w:t>
      </w:r>
      <w:r w:rsidRPr="008F64A0">
        <w:t>darbinieku</w:t>
      </w:r>
      <w:r w:rsidR="00D4206C" w:rsidRPr="008F64A0">
        <w:t xml:space="preserve"> zināšanu </w:t>
      </w:r>
      <w:r w:rsidR="00BC574C" w:rsidRPr="008F64A0">
        <w:t>veicināšana</w:t>
      </w:r>
      <w:r w:rsidR="00D4206C" w:rsidRPr="008F64A0">
        <w:t xml:space="preserve"> </w:t>
      </w:r>
      <w:r w:rsidRPr="008F64A0">
        <w:t xml:space="preserve"> zināšanām vīzu izsniegšanas</w:t>
      </w:r>
      <w:r w:rsidR="000A0684" w:rsidRPr="008F64A0">
        <w:t xml:space="preserve"> un </w:t>
      </w:r>
      <w:r w:rsidRPr="008F64A0">
        <w:t>ES vīzu pieteikuma procedūr</w:t>
      </w:r>
      <w:r w:rsidR="000A0684" w:rsidRPr="008F64A0">
        <w:t xml:space="preserve">u jautājumos, kā arī </w:t>
      </w:r>
      <w:r w:rsidR="003E3D0C" w:rsidRPr="008F64A0">
        <w:t xml:space="preserve">vīzu apstrādes informācijas tehnoloģiju modernizācijai u.c. pasākumi. </w:t>
      </w:r>
    </w:p>
    <w:p w14:paraId="0D9633D7" w14:textId="033F51CB" w:rsidR="00E30D28" w:rsidRPr="008F64A0" w:rsidRDefault="003E3D0C" w:rsidP="003E3D0C">
      <w:pPr>
        <w:tabs>
          <w:tab w:val="num" w:pos="720"/>
        </w:tabs>
      </w:pPr>
      <w:r w:rsidRPr="008F64A0">
        <w:t>Savukārt SM2 ietvaros tika a</w:t>
      </w:r>
      <w:r w:rsidR="00E30D28" w:rsidRPr="008F64A0">
        <w:t>ttīstīt</w:t>
      </w:r>
      <w:r w:rsidRPr="008F64A0">
        <w:t>a</w:t>
      </w:r>
      <w:r w:rsidR="00E30D28" w:rsidRPr="008F64A0">
        <w:t xml:space="preserve"> N</w:t>
      </w:r>
      <w:r w:rsidR="005866A7">
        <w:t>.</w:t>
      </w:r>
      <w:r w:rsidR="00E30D28" w:rsidRPr="008F64A0">
        <w:t xml:space="preserve">SIS II un SIRENE </w:t>
      </w:r>
      <w:r w:rsidR="00E85CAA">
        <w:t>IS</w:t>
      </w:r>
      <w:r w:rsidRPr="008F64A0">
        <w:t xml:space="preserve">, īstenoti pasākumi </w:t>
      </w:r>
      <w:r w:rsidR="00E30D28" w:rsidRPr="008F64A0">
        <w:t xml:space="preserve"> nepārtraukt</w:t>
      </w:r>
      <w:r w:rsidRPr="008F64A0">
        <w:t>as</w:t>
      </w:r>
      <w:r w:rsidR="00E30D28" w:rsidRPr="008F64A0">
        <w:t xml:space="preserve"> robežu digitāl</w:t>
      </w:r>
      <w:r w:rsidRPr="008F64A0">
        <w:t>ās</w:t>
      </w:r>
      <w:r w:rsidR="00E30D28" w:rsidRPr="008F64A0">
        <w:t xml:space="preserve"> videonovērošan</w:t>
      </w:r>
      <w:r w:rsidRPr="008F64A0">
        <w:t xml:space="preserve">as nodrošināšanai, ieviesti pasākumi EUROSUR sistēmas ieviešanai, kā arī IIS pilnveidei. Vienlaikus projektu ietvaros tika modernizēti robežpārbaudes tehniskie līdzekļi un attīstīta </w:t>
      </w:r>
      <w:r w:rsidR="00972068">
        <w:t>RKS</w:t>
      </w:r>
      <w:r w:rsidR="00BC574C" w:rsidRPr="008F64A0">
        <w:t xml:space="preserve"> infrastruktūra, kā arī ieviesti citas aktivitātes. </w:t>
      </w:r>
    </w:p>
    <w:p w14:paraId="1120E8AB" w14:textId="51B4521C" w:rsidR="00875FBC" w:rsidRPr="008F64A0" w:rsidRDefault="00875FBC" w:rsidP="00875FBC">
      <w:r w:rsidRPr="008F64A0">
        <w:t xml:space="preserve">Pilns </w:t>
      </w:r>
      <w:r w:rsidR="00611EFC" w:rsidRPr="008F64A0">
        <w:t>IDF robežām un vīzām</w:t>
      </w:r>
      <w:r w:rsidRPr="008F64A0">
        <w:t xml:space="preserve"> ietvaros īstenoto projektu saraksts pieejams Pielikumā Nr.</w:t>
      </w:r>
      <w:r w:rsidR="00611EFC" w:rsidRPr="008F64A0">
        <w:t>2</w:t>
      </w:r>
      <w:r w:rsidRPr="008F64A0">
        <w:t xml:space="preserve">. </w:t>
      </w:r>
    </w:p>
    <w:p w14:paraId="368A9BC0" w14:textId="6923A77B" w:rsidR="00875FBC" w:rsidRDefault="00875FBC" w:rsidP="00875FBC">
      <w:r w:rsidRPr="008F64A0">
        <w:t xml:space="preserve">Kopumā </w:t>
      </w:r>
      <w:r w:rsidR="00611EFC" w:rsidRPr="008F64A0">
        <w:t>IDF</w:t>
      </w:r>
      <w:r w:rsidR="007A1CC6" w:rsidRPr="008F64A0">
        <w:t xml:space="preserve"> </w:t>
      </w:r>
      <w:r w:rsidRPr="008F64A0">
        <w:t xml:space="preserve">nacionālās programmas ietvaros </w:t>
      </w:r>
      <w:r w:rsidR="007A1CC6" w:rsidRPr="008F64A0">
        <w:t xml:space="preserve">vīzām un robežām </w:t>
      </w:r>
      <w:r w:rsidR="00EC1A6F" w:rsidRPr="008F64A0">
        <w:t xml:space="preserve">paredzēto </w:t>
      </w:r>
      <w:r w:rsidRPr="008F64A0">
        <w:t xml:space="preserve">aktivitāšu īstenošanai bija pieejami </w:t>
      </w:r>
      <w:r w:rsidR="00EC1A6F" w:rsidRPr="008F64A0">
        <w:t xml:space="preserve">32,7 </w:t>
      </w:r>
      <w:r w:rsidRPr="008F64A0">
        <w:t xml:space="preserve">miljoni </w:t>
      </w:r>
      <w:r w:rsidRPr="008F64A0">
        <w:rPr>
          <w:i/>
          <w:iCs/>
        </w:rPr>
        <w:t xml:space="preserve">euro, </w:t>
      </w:r>
      <w:r w:rsidRPr="008F64A0">
        <w:t xml:space="preserve">no kuriem apgūti </w:t>
      </w:r>
      <w:r w:rsidR="0086736B" w:rsidRPr="008F64A0">
        <w:t>76</w:t>
      </w:r>
      <w:r w:rsidRPr="008F64A0">
        <w:t xml:space="preserve"> % jeb </w:t>
      </w:r>
      <w:r w:rsidR="00EC1A6F" w:rsidRPr="008F64A0">
        <w:t>24,7</w:t>
      </w:r>
      <w:r w:rsidRPr="008F64A0">
        <w:t xml:space="preserve"> miljoni </w:t>
      </w:r>
      <w:r w:rsidRPr="008F64A0">
        <w:rPr>
          <w:i/>
          <w:iCs/>
        </w:rPr>
        <w:t xml:space="preserve">euro </w:t>
      </w:r>
      <w:r w:rsidRPr="008F64A0">
        <w:t xml:space="preserve">(detalizētāk par finansējuma apguvi </w:t>
      </w:r>
      <w:r w:rsidR="0086736B" w:rsidRPr="008F64A0">
        <w:t>IDF vīzām un robežām</w:t>
      </w:r>
      <w:r w:rsidRPr="008F64A0">
        <w:t xml:space="preserve"> ietvaros skat. 3.2.2. nodaļā). </w:t>
      </w:r>
    </w:p>
    <w:p w14:paraId="216B7FF7" w14:textId="53624C7E" w:rsidR="00771613" w:rsidRDefault="00771613" w:rsidP="00771613">
      <w:r>
        <w:t xml:space="preserve">IDF vīzām un robežām ieguldījumi un īstenotie pasākumi ir bijuši vērsti uz konkrētu izaicinājumu risināšanu, sasniedzot konkrētus rezultatīvos rādītājus. Programmas intervences loģika ir atspoguļota </w:t>
      </w:r>
      <w:r w:rsidR="006E10E4">
        <w:t>attēlā Nr. 15</w:t>
      </w:r>
      <w:r>
        <w:t xml:space="preserve">, savukārt detalizēts intervences loģikas apraksts ir pieejams Pielikumā Nr. 5. </w:t>
      </w:r>
    </w:p>
    <w:p w14:paraId="2C0E921C" w14:textId="5C192518" w:rsidR="00771613" w:rsidRDefault="00771613">
      <w:pPr>
        <w:spacing w:before="0" w:after="160" w:line="259" w:lineRule="auto"/>
        <w:jc w:val="left"/>
      </w:pPr>
      <w:r>
        <w:br w:type="page"/>
      </w:r>
    </w:p>
    <w:p w14:paraId="07231FCF" w14:textId="77777777" w:rsidR="00771613" w:rsidRDefault="00771613" w:rsidP="00875FBC">
      <w:pPr>
        <w:sectPr w:rsidR="00771613" w:rsidSect="00666D08">
          <w:pgSz w:w="11906" w:h="16838"/>
          <w:pgMar w:top="1474" w:right="822" w:bottom="1474" w:left="822" w:header="709" w:footer="709" w:gutter="0"/>
          <w:cols w:space="708"/>
          <w:docGrid w:linePitch="360"/>
        </w:sectPr>
      </w:pPr>
    </w:p>
    <w:p w14:paraId="4BB0F7CA" w14:textId="77777777" w:rsidR="00771613" w:rsidRDefault="00771613" w:rsidP="00875FBC"/>
    <w:p w14:paraId="01E338D7" w14:textId="374F673D" w:rsidR="00DD5928" w:rsidRDefault="00DD5928" w:rsidP="00DD5928">
      <w:pPr>
        <w:pStyle w:val="GraphTitle"/>
      </w:pPr>
      <w:bookmarkStart w:id="52" w:name="_Ref191999819"/>
      <w:bookmarkStart w:id="53" w:name="_Ref192000050"/>
      <w:r>
        <w:t xml:space="preserve">Attēls </w:t>
      </w:r>
      <w:r>
        <w:fldChar w:fldCharType="begin"/>
      </w:r>
      <w:r>
        <w:instrText xml:space="preserve"> SEQ Attēls \* ARABIC </w:instrText>
      </w:r>
      <w:r>
        <w:fldChar w:fldCharType="separate"/>
      </w:r>
      <w:r w:rsidR="000523B6">
        <w:t>15</w:t>
      </w:r>
      <w:r>
        <w:fldChar w:fldCharType="end"/>
      </w:r>
      <w:bookmarkEnd w:id="52"/>
      <w:r w:rsidR="006F3D9A">
        <w:t>.</w:t>
      </w:r>
      <w:r>
        <w:t xml:space="preserve"> IDF vīzām un robežām intervences loģika</w:t>
      </w:r>
      <w:bookmarkEnd w:id="53"/>
    </w:p>
    <w:p w14:paraId="6987F408" w14:textId="435368A5" w:rsidR="00771613" w:rsidRDefault="00DD5928" w:rsidP="00E41720">
      <w:pPr>
        <w:sectPr w:rsidR="00771613" w:rsidSect="00771613">
          <w:pgSz w:w="16838" w:h="11906" w:orient="landscape"/>
          <w:pgMar w:top="822" w:right="1474" w:bottom="822" w:left="1474" w:header="709" w:footer="709" w:gutter="0"/>
          <w:cols w:space="708"/>
          <w:docGrid w:linePitch="360"/>
        </w:sectPr>
      </w:pPr>
      <w:bookmarkStart w:id="54" w:name="_Toc192000207"/>
      <w:r>
        <w:rPr>
          <w:noProof/>
        </w:rPr>
        <w:drawing>
          <wp:inline distT="0" distB="0" distL="0" distR="0" wp14:anchorId="5ABD6283" wp14:editId="244B0F4A">
            <wp:extent cx="9254157" cy="5400675"/>
            <wp:effectExtent l="0" t="0" r="4445" b="0"/>
            <wp:docPr id="4248429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78548" cy="5414909"/>
                    </a:xfrm>
                    <a:prstGeom prst="rect">
                      <a:avLst/>
                    </a:prstGeom>
                    <a:noFill/>
                  </pic:spPr>
                </pic:pic>
              </a:graphicData>
            </a:graphic>
          </wp:inline>
        </w:drawing>
      </w:r>
      <w:bookmarkEnd w:id="54"/>
    </w:p>
    <w:p w14:paraId="14B4F1B1" w14:textId="1507DD48" w:rsidR="00143135" w:rsidRPr="008F64A0" w:rsidRDefault="002551FA" w:rsidP="00BF4167">
      <w:pPr>
        <w:pStyle w:val="Virsraksts2"/>
        <w:numPr>
          <w:ilvl w:val="1"/>
          <w:numId w:val="42"/>
        </w:numPr>
      </w:pPr>
      <w:bookmarkStart w:id="55" w:name="_Toc193371306"/>
      <w:r w:rsidRPr="008F64A0">
        <w:rPr>
          <w:b/>
          <w:bCs/>
        </w:rPr>
        <w:lastRenderedPageBreak/>
        <w:t>IDF finansiāl</w:t>
      </w:r>
      <w:r w:rsidR="00D62F7C" w:rsidRPr="008F64A0">
        <w:rPr>
          <w:b/>
          <w:bCs/>
        </w:rPr>
        <w:t>a</w:t>
      </w:r>
      <w:r w:rsidRPr="008F64A0">
        <w:rPr>
          <w:b/>
          <w:bCs/>
        </w:rPr>
        <w:t xml:space="preserve"> atbalsta instrumenta ārējām robežām un vīzām</w:t>
      </w:r>
      <w:r w:rsidR="00143135" w:rsidRPr="008F64A0">
        <w:t xml:space="preserve"> izvērtējuma konstatējumi</w:t>
      </w:r>
      <w:bookmarkEnd w:id="55"/>
      <w:r w:rsidR="00143135" w:rsidRPr="008F64A0">
        <w:t xml:space="preserve"> </w:t>
      </w:r>
    </w:p>
    <w:p w14:paraId="7CA8D097" w14:textId="77777777" w:rsidR="00143135" w:rsidRPr="008F64A0" w:rsidRDefault="00143135" w:rsidP="00BF4167">
      <w:pPr>
        <w:pStyle w:val="Sarakstarindkopa"/>
        <w:numPr>
          <w:ilvl w:val="2"/>
          <w:numId w:val="42"/>
        </w:numPr>
        <w:rPr>
          <w:b/>
        </w:rPr>
      </w:pPr>
      <w:r w:rsidRPr="008F64A0">
        <w:rPr>
          <w:b/>
        </w:rPr>
        <w:t>Kritērijs “Efektivitāte”</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709AB9DE" w14:textId="77777777" w:rsidTr="00D40533">
        <w:tc>
          <w:tcPr>
            <w:tcW w:w="10252" w:type="dxa"/>
            <w:shd w:val="clear" w:color="auto" w:fill="82009B" w:themeFill="accent6"/>
          </w:tcPr>
          <w:p w14:paraId="73572105" w14:textId="5ADCA0B9" w:rsidR="00143135" w:rsidRPr="008F64A0" w:rsidRDefault="00143135" w:rsidP="00A239D8">
            <w:pPr>
              <w:rPr>
                <w:b/>
              </w:rPr>
            </w:pPr>
            <w:bookmarkStart w:id="56" w:name="_Hlk189565764"/>
            <w:r w:rsidRPr="008F64A0">
              <w:rPr>
                <w:b/>
              </w:rPr>
              <w:t xml:space="preserve">Izvērtēšanas kritērija jautājums: </w:t>
            </w:r>
            <w:r w:rsidR="002551FA" w:rsidRPr="008F64A0">
              <w:rPr>
                <w:bCs/>
              </w:rPr>
              <w:t>Kā Iekšējās drošības fonds (“fonds”) veicināja Regulā (ES) Nr. 515/2014 noteikto vispārīgo mērķu sasniegšanu?</w:t>
            </w:r>
          </w:p>
        </w:tc>
      </w:tr>
    </w:tbl>
    <w:bookmarkEnd w:id="56"/>
    <w:p w14:paraId="257DBA54" w14:textId="3AF86F4D" w:rsidR="00D046C7" w:rsidRPr="008F64A0" w:rsidRDefault="00D046C7" w:rsidP="00D046C7">
      <w:r>
        <w:t xml:space="preserve">IDF </w:t>
      </w:r>
      <w:r w:rsidRPr="008F64A0">
        <w:t>nacionālās programmas ietvaros SM ir definēti rezultatīvie rādītāji, kas vērsti uz ES Regulā Nr. 51</w:t>
      </w:r>
      <w:r>
        <w:t>5</w:t>
      </w:r>
      <w:r w:rsidRPr="008F64A0">
        <w:t>/2014 noteikto mērķu sasniegšanu. Programmas īstenošanas rezultāti uzrāda dažādu sniegumu</w:t>
      </w:r>
      <w:r w:rsidR="004B44FE">
        <w:t xml:space="preserve">. </w:t>
      </w:r>
      <w:r w:rsidR="004B44FE" w:rsidRPr="004B44FE">
        <w:t>No deviņiem definētajiem rezultatīvajiem rādītājiem pieci ir sasniegti, turklāt četri no tiem ir pārsnieguši sākotnēji plānotās vērtības. Īpaši augstu izpildes līmeni uzrāda SM2 rādītājs Nr.</w:t>
      </w:r>
      <w:r w:rsidR="00E13CF6">
        <w:t xml:space="preserve"> </w:t>
      </w:r>
      <w:r w:rsidR="004B44FE" w:rsidRPr="004B44FE">
        <w:t>C4, sasniedzot 171% no plānotā, kā arī SM1 rādītājs Nr. C2.2, uzrādot 149% izpildi</w:t>
      </w:r>
      <w:r w:rsidRPr="008F64A0">
        <w:t xml:space="preserve"> (</w:t>
      </w:r>
      <w:r w:rsidR="00651DA9">
        <w:fldChar w:fldCharType="begin"/>
      </w:r>
      <w:r w:rsidR="00651DA9">
        <w:instrText xml:space="preserve"> REF _Ref189743975 \h </w:instrText>
      </w:r>
      <w:r w:rsidR="00651DA9">
        <w:fldChar w:fldCharType="separate"/>
      </w:r>
      <w:r w:rsidR="000523B6" w:rsidRPr="008F64A0">
        <w:t xml:space="preserve">Tabula </w:t>
      </w:r>
      <w:r w:rsidR="000523B6">
        <w:rPr>
          <w:noProof/>
        </w:rPr>
        <w:t>4</w:t>
      </w:r>
      <w:r w:rsidR="00651DA9">
        <w:fldChar w:fldCharType="end"/>
      </w:r>
      <w:r w:rsidRPr="008F64A0">
        <w:t>)</w:t>
      </w:r>
      <w:r w:rsidR="00553D24">
        <w:t>.</w:t>
      </w:r>
    </w:p>
    <w:p w14:paraId="58CECCD8" w14:textId="6D02B4FD" w:rsidR="00BB4734" w:rsidRDefault="00BB4734" w:rsidP="00D046C7">
      <w:r w:rsidRPr="00BB4734">
        <w:t xml:space="preserve">Tomēr četri rezultatīvie rādītāji nav sasnieguši plānotās vērtības. SM1 ietvaros nav izdevies </w:t>
      </w:r>
      <w:r w:rsidR="00CF4E27">
        <w:t xml:space="preserve">ar fonda palīdzību izveidot vai modernizēt </w:t>
      </w:r>
      <w:r w:rsidRPr="00BB4734">
        <w:t xml:space="preserve">sākotnēji plānoto konsulātu skaitu (C4.1. rezultāts), </w:t>
      </w:r>
      <w:r w:rsidR="00CF4E27">
        <w:t>īstenojot</w:t>
      </w:r>
      <w:r w:rsidRPr="00BB4734">
        <w:t xml:space="preserve"> 78% no plānotā. Vienlaikus ir pilnībā sasniegts izveidoto vai modernizēto konsulātu īpatsvara rezultāts (C4.2. rezultāts), </w:t>
      </w:r>
      <w:r w:rsidR="00CB7B16" w:rsidRPr="00BB4734">
        <w:t xml:space="preserve">IDF vīzu un robežu ietvaros </w:t>
      </w:r>
      <w:r w:rsidRPr="00BB4734">
        <w:t>sniedzot atbalstu vismaz 64% no kopējā konsulātu skaita.</w:t>
      </w:r>
    </w:p>
    <w:p w14:paraId="5FDE5B25" w14:textId="6119A36A" w:rsidR="00286EFA" w:rsidRDefault="00286EFA" w:rsidP="00BD45B9">
      <w:r w:rsidRPr="00286EFA">
        <w:t xml:space="preserve">SM2 ietvaros divi rezultatīvie rādītāji uzrāda izpildi zem 20%. Pirmais no tiem ir C3.1. rādītājs </w:t>
      </w:r>
      <w:r w:rsidR="00553D24">
        <w:rPr>
          <w:rFonts w:cstheme="minorHAnsi"/>
        </w:rPr>
        <w:t>–</w:t>
      </w:r>
      <w:r w:rsidRPr="00286EFA">
        <w:t xml:space="preserve"> robežšķērsotāju skaits, kuri izmanto automatizētās robežkontroles sistēmas (ABC) izejas, sasniedzot tikai 18% no plānotā. Šī rezultāta zemā izpilde skaidrojama ar vairākiem faktoriem: Covid-19 pandēmijas un karadarbības Ukrainā izraisītie ceļošanas ierobežojumi, robežšķērsotāju plūsmas samazinājums, kā arī sistēmas ieviešanas laiks (2020. gada novembris) un lietotāju ierobežojumi (tikai pilngadīgi ES pilsoņi).</w:t>
      </w:r>
    </w:p>
    <w:p w14:paraId="25041C70" w14:textId="60AAF93E" w:rsidR="00286EFA" w:rsidRDefault="00286EFA" w:rsidP="00BD45B9">
      <w:r w:rsidRPr="00286EFA">
        <w:t>Rezultāts C2, kas paredzēja astoņu robežkontroles infrastruktūras līdzekļu izveidi vai modernizāciju, nav sasniegts vispār. Šī rādītāja izpilde bija plānota projekta Nr. IC/IDF/2018/7 "Jūras videonovērošanas sistēmas pilnveidošana – 1.</w:t>
      </w:r>
      <w:r w:rsidR="00E13CF6">
        <w:t xml:space="preserve"> </w:t>
      </w:r>
      <w:r w:rsidRPr="00286EFA">
        <w:t xml:space="preserve">kārta" ietvaros. Projekta īstenošanu kavēja sarežģījumi iepirkuma procedūrā, kas </w:t>
      </w:r>
      <w:r w:rsidR="00B07EC4">
        <w:t>rezultējās ar</w:t>
      </w:r>
      <w:r w:rsidRPr="00286EFA">
        <w:t xml:space="preserve"> līguma laušan</w:t>
      </w:r>
      <w:r w:rsidR="00B07EC4">
        <w:t>u</w:t>
      </w:r>
      <w:r w:rsidRPr="00286EFA">
        <w:t xml:space="preserve"> ar izraudzīto piegādātāju. Plānotā aprīkojuma iegāde </w:t>
      </w:r>
      <w:r>
        <w:t>ir tikusi</w:t>
      </w:r>
      <w:r w:rsidRPr="00286EFA">
        <w:t xml:space="preserve"> pārcelta uz 2021</w:t>
      </w:r>
      <w:r w:rsidR="00E13CF6">
        <w:t>.</w:t>
      </w:r>
      <w:r w:rsidRPr="00286EFA">
        <w:t>-2027. gada plānošanas periodu.</w:t>
      </w:r>
      <w:r w:rsidR="005D557F" w:rsidRPr="005D557F">
        <w:t xml:space="preserve"> </w:t>
      </w:r>
      <w:r w:rsidR="005D557F">
        <w:fldChar w:fldCharType="begin"/>
      </w:r>
      <w:r w:rsidR="005D557F">
        <w:instrText xml:space="preserve"> REF _Ref189729573 \h </w:instrText>
      </w:r>
      <w:r w:rsidR="005D557F">
        <w:fldChar w:fldCharType="separate"/>
      </w:r>
      <w:r w:rsidR="00553D24">
        <w:t>Tabulā</w:t>
      </w:r>
      <w:r w:rsidR="005D557F">
        <w:fldChar w:fldCharType="end"/>
      </w:r>
      <w:r w:rsidR="00553D24">
        <w:t xml:space="preserve"> nr. 4</w:t>
      </w:r>
      <w:r w:rsidR="005D557F">
        <w:t xml:space="preserve"> ietvertā informācija atbilst </w:t>
      </w:r>
      <w:r w:rsidR="00B63BF5">
        <w:t>IDF</w:t>
      </w:r>
      <w:r w:rsidR="005D557F">
        <w:t xml:space="preserve"> nacionālās programmas pēdējai aktuālajai versijai.</w:t>
      </w:r>
    </w:p>
    <w:p w14:paraId="31F492EC" w14:textId="242793CE" w:rsidR="002616F9" w:rsidRPr="008F64A0" w:rsidRDefault="002616F9" w:rsidP="002616F9">
      <w:pPr>
        <w:pStyle w:val="TableTitle"/>
      </w:pPr>
      <w:bookmarkStart w:id="57" w:name="_Ref189743975"/>
      <w:bookmarkStart w:id="58" w:name="_Ref191388525"/>
      <w:r w:rsidRPr="008F64A0">
        <w:t>Tabula</w:t>
      </w:r>
      <w:r w:rsidR="00321062">
        <w:t>.</w:t>
      </w:r>
      <w:r w:rsidRPr="008F64A0">
        <w:t xml:space="preserve"> </w:t>
      </w:r>
      <w:r w:rsidRPr="008F64A0">
        <w:fldChar w:fldCharType="begin"/>
      </w:r>
      <w:r w:rsidRPr="008F64A0">
        <w:instrText xml:space="preserve"> SEQ Tabula \* ARABIC </w:instrText>
      </w:r>
      <w:r w:rsidRPr="008F64A0">
        <w:fldChar w:fldCharType="separate"/>
      </w:r>
      <w:r w:rsidR="000523B6">
        <w:t>4</w:t>
      </w:r>
      <w:r w:rsidRPr="008F64A0">
        <w:fldChar w:fldCharType="end"/>
      </w:r>
      <w:bookmarkEnd w:id="57"/>
      <w:r w:rsidRPr="008F64A0">
        <w:t xml:space="preserve"> </w:t>
      </w:r>
      <w:r>
        <w:t>IDF</w:t>
      </w:r>
      <w:r w:rsidRPr="008F64A0">
        <w:t xml:space="preserve"> nacionālajā programmā def</w:t>
      </w:r>
      <w:r w:rsidR="002055E7">
        <w:t>i</w:t>
      </w:r>
      <w:r w:rsidRPr="008F64A0">
        <w:t xml:space="preserve">nētie rezultatīvie rādītāji </w:t>
      </w:r>
      <w:r>
        <w:t xml:space="preserve">vīzām un robežām </w:t>
      </w:r>
      <w:r w:rsidRPr="008F64A0">
        <w:t>un to sasniegtās vērtības</w:t>
      </w:r>
      <w:bookmarkEnd w:id="58"/>
    </w:p>
    <w:tbl>
      <w:tblPr>
        <w:tblStyle w:val="Reatabula"/>
        <w:tblW w:w="0" w:type="auto"/>
        <w:tblLayout w:type="fixed"/>
        <w:tblLook w:val="04A0" w:firstRow="1" w:lastRow="0" w:firstColumn="1" w:lastColumn="0" w:noHBand="0" w:noVBand="1"/>
      </w:tblPr>
      <w:tblGrid>
        <w:gridCol w:w="988"/>
        <w:gridCol w:w="1134"/>
        <w:gridCol w:w="4394"/>
        <w:gridCol w:w="1417"/>
        <w:gridCol w:w="1418"/>
        <w:gridCol w:w="901"/>
      </w:tblGrid>
      <w:tr w:rsidR="005303CB" w:rsidRPr="008F64A0" w14:paraId="754379E3" w14:textId="77777777" w:rsidTr="005303CB">
        <w:tc>
          <w:tcPr>
            <w:tcW w:w="988" w:type="dxa"/>
            <w:shd w:val="clear" w:color="auto" w:fill="40004D" w:themeFill="accent6" w:themeFillShade="80"/>
          </w:tcPr>
          <w:p w14:paraId="0EB53A02" w14:textId="77777777" w:rsidR="002616F9" w:rsidRPr="008F64A0" w:rsidRDefault="002616F9" w:rsidP="00A239D8">
            <w:pPr>
              <w:spacing w:before="0" w:line="240" w:lineRule="auto"/>
              <w:jc w:val="left"/>
              <w:rPr>
                <w:b/>
                <w:bCs/>
                <w:color w:val="FEFEFE" w:themeColor="background1"/>
              </w:rPr>
            </w:pPr>
            <w:r w:rsidRPr="008F64A0">
              <w:rPr>
                <w:b/>
                <w:bCs/>
                <w:color w:val="FEFEFE" w:themeColor="background1"/>
              </w:rPr>
              <w:t>SM</w:t>
            </w:r>
          </w:p>
        </w:tc>
        <w:tc>
          <w:tcPr>
            <w:tcW w:w="1134" w:type="dxa"/>
            <w:shd w:val="clear" w:color="auto" w:fill="40004D" w:themeFill="accent6" w:themeFillShade="80"/>
          </w:tcPr>
          <w:p w14:paraId="597F2323" w14:textId="77777777" w:rsidR="002616F9" w:rsidRPr="008F64A0" w:rsidRDefault="002616F9" w:rsidP="00A239D8">
            <w:pPr>
              <w:spacing w:before="0" w:line="240" w:lineRule="auto"/>
              <w:jc w:val="left"/>
              <w:rPr>
                <w:color w:val="FEFEFE" w:themeColor="background1"/>
              </w:rPr>
            </w:pPr>
            <w:r w:rsidRPr="008F64A0">
              <w:rPr>
                <w:rFonts w:ascii="Arial" w:hAnsi="Arial" w:cs="Arial"/>
                <w:b/>
                <w:bCs/>
                <w:color w:val="FEFEFE" w:themeColor="background1"/>
              </w:rPr>
              <w:t>Rādītāja Nr.</w:t>
            </w:r>
          </w:p>
        </w:tc>
        <w:tc>
          <w:tcPr>
            <w:tcW w:w="4394" w:type="dxa"/>
            <w:shd w:val="clear" w:color="auto" w:fill="40004D" w:themeFill="accent6" w:themeFillShade="80"/>
          </w:tcPr>
          <w:p w14:paraId="7D73C955" w14:textId="77777777" w:rsidR="002616F9" w:rsidRPr="008F64A0" w:rsidRDefault="002616F9" w:rsidP="00A239D8">
            <w:pPr>
              <w:spacing w:before="0" w:line="240" w:lineRule="auto"/>
              <w:jc w:val="left"/>
              <w:rPr>
                <w:color w:val="FEFEFE" w:themeColor="background1"/>
              </w:rPr>
            </w:pPr>
            <w:r w:rsidRPr="008F64A0">
              <w:rPr>
                <w:rFonts w:ascii="Arial" w:hAnsi="Arial" w:cs="Arial"/>
                <w:b/>
                <w:bCs/>
                <w:color w:val="FEFEFE" w:themeColor="background1"/>
              </w:rPr>
              <w:t>Rādītāja nosaukums</w:t>
            </w:r>
          </w:p>
        </w:tc>
        <w:tc>
          <w:tcPr>
            <w:tcW w:w="1417" w:type="dxa"/>
            <w:shd w:val="clear" w:color="auto" w:fill="40004D" w:themeFill="accent6" w:themeFillShade="80"/>
          </w:tcPr>
          <w:p w14:paraId="5DFFB6FE" w14:textId="77777777" w:rsidR="002616F9" w:rsidRPr="008F64A0" w:rsidRDefault="002616F9" w:rsidP="00A239D8">
            <w:pPr>
              <w:spacing w:before="0" w:line="240" w:lineRule="auto"/>
              <w:jc w:val="left"/>
              <w:rPr>
                <w:color w:val="FEFEFE" w:themeColor="background1"/>
              </w:rPr>
            </w:pPr>
            <w:r w:rsidRPr="008F64A0">
              <w:rPr>
                <w:rFonts w:ascii="Arial" w:hAnsi="Arial" w:cs="Arial"/>
                <w:b/>
                <w:bCs/>
                <w:color w:val="FEFEFE" w:themeColor="background1"/>
              </w:rPr>
              <w:t>Mērķa vērtība</w:t>
            </w:r>
          </w:p>
        </w:tc>
        <w:tc>
          <w:tcPr>
            <w:tcW w:w="1418" w:type="dxa"/>
            <w:shd w:val="clear" w:color="auto" w:fill="40004D" w:themeFill="accent6" w:themeFillShade="80"/>
          </w:tcPr>
          <w:p w14:paraId="361C0484" w14:textId="77777777" w:rsidR="002616F9" w:rsidRPr="008F64A0" w:rsidRDefault="002616F9" w:rsidP="00A239D8">
            <w:pPr>
              <w:spacing w:before="0" w:line="240" w:lineRule="auto"/>
              <w:jc w:val="left"/>
              <w:rPr>
                <w:color w:val="FEFEFE" w:themeColor="background1"/>
              </w:rPr>
            </w:pPr>
            <w:r w:rsidRPr="008F64A0">
              <w:rPr>
                <w:rFonts w:ascii="Arial" w:hAnsi="Arial" w:cs="Arial"/>
                <w:b/>
                <w:bCs/>
                <w:color w:val="FEFEFE" w:themeColor="background1"/>
              </w:rPr>
              <w:t>Sasniegtā vērtība</w:t>
            </w:r>
          </w:p>
        </w:tc>
        <w:tc>
          <w:tcPr>
            <w:tcW w:w="901" w:type="dxa"/>
            <w:shd w:val="clear" w:color="auto" w:fill="40004D" w:themeFill="accent6" w:themeFillShade="80"/>
          </w:tcPr>
          <w:p w14:paraId="6BE6186A" w14:textId="77777777" w:rsidR="002616F9" w:rsidRPr="008F64A0" w:rsidRDefault="002616F9" w:rsidP="00A239D8">
            <w:pPr>
              <w:spacing w:before="0" w:line="240" w:lineRule="auto"/>
              <w:jc w:val="left"/>
              <w:rPr>
                <w:color w:val="FEFEFE" w:themeColor="background1"/>
              </w:rPr>
            </w:pPr>
            <w:r w:rsidRPr="008F64A0">
              <w:rPr>
                <w:rFonts w:ascii="Arial" w:hAnsi="Arial" w:cs="Arial"/>
                <w:b/>
                <w:bCs/>
                <w:color w:val="FEFEFE" w:themeColor="background1"/>
              </w:rPr>
              <w:t>Izpilde (%)</w:t>
            </w:r>
          </w:p>
        </w:tc>
      </w:tr>
      <w:tr w:rsidR="006D269E" w:rsidRPr="008F64A0" w14:paraId="2CE8EED2" w14:textId="77777777" w:rsidTr="005303CB">
        <w:tc>
          <w:tcPr>
            <w:tcW w:w="988" w:type="dxa"/>
            <w:vMerge w:val="restart"/>
            <w:shd w:val="clear" w:color="auto" w:fill="E6E6E6" w:themeFill="accent3"/>
            <w:textDirection w:val="btLr"/>
          </w:tcPr>
          <w:p w14:paraId="38A80282" w14:textId="3337DA13" w:rsidR="006D269E" w:rsidRPr="008F64A0" w:rsidRDefault="006D269E" w:rsidP="006D269E">
            <w:pPr>
              <w:spacing w:before="0" w:line="240" w:lineRule="auto"/>
              <w:ind w:left="113" w:right="113"/>
              <w:jc w:val="center"/>
              <w:rPr>
                <w:b/>
                <w:bCs/>
              </w:rPr>
            </w:pPr>
            <w:r w:rsidRPr="008F64A0">
              <w:rPr>
                <w:b/>
                <w:bCs/>
              </w:rPr>
              <w:t xml:space="preserve">SM1 </w:t>
            </w:r>
            <w:r w:rsidRPr="00D31802">
              <w:rPr>
                <w:b/>
                <w:bCs/>
              </w:rPr>
              <w:t>Atbalsts vienotai vīzu politikai</w:t>
            </w:r>
          </w:p>
        </w:tc>
        <w:tc>
          <w:tcPr>
            <w:tcW w:w="1134" w:type="dxa"/>
            <w:vAlign w:val="center"/>
          </w:tcPr>
          <w:p w14:paraId="2075179C" w14:textId="21C895EA" w:rsidR="006D269E" w:rsidRPr="008F64A0" w:rsidRDefault="006D269E" w:rsidP="006D269E">
            <w:pPr>
              <w:spacing w:before="0" w:line="240" w:lineRule="auto"/>
              <w:jc w:val="left"/>
            </w:pPr>
            <w:r>
              <w:rPr>
                <w:rFonts w:ascii="Arial" w:hAnsi="Arial" w:cs="Arial"/>
                <w:color w:val="000000"/>
              </w:rPr>
              <w:t>C2.1</w:t>
            </w:r>
          </w:p>
        </w:tc>
        <w:tc>
          <w:tcPr>
            <w:tcW w:w="4394" w:type="dxa"/>
            <w:vAlign w:val="center"/>
          </w:tcPr>
          <w:p w14:paraId="4717821B" w14:textId="04660037" w:rsidR="006D269E" w:rsidRPr="008F64A0" w:rsidRDefault="006D269E" w:rsidP="006D269E">
            <w:pPr>
              <w:spacing w:before="0" w:line="240" w:lineRule="auto"/>
              <w:jc w:val="left"/>
            </w:pPr>
            <w:bookmarkStart w:id="59" w:name="RANGE!C3"/>
            <w:r>
              <w:rPr>
                <w:rFonts w:ascii="Arial" w:hAnsi="Arial" w:cs="Arial"/>
                <w:color w:val="000000"/>
              </w:rPr>
              <w:t>Ar fonda palīdzību apmācīto darbinieku skaits par kopējās vīzu politikas aspektiem</w:t>
            </w:r>
            <w:bookmarkEnd w:id="59"/>
          </w:p>
        </w:tc>
        <w:tc>
          <w:tcPr>
            <w:tcW w:w="1417" w:type="dxa"/>
            <w:vAlign w:val="center"/>
          </w:tcPr>
          <w:p w14:paraId="6BE715C1" w14:textId="5D11F50F" w:rsidR="006D269E" w:rsidRPr="008F64A0" w:rsidRDefault="006D269E" w:rsidP="006D269E">
            <w:pPr>
              <w:spacing w:before="0" w:line="240" w:lineRule="auto"/>
              <w:jc w:val="left"/>
            </w:pPr>
            <w:r>
              <w:rPr>
                <w:rFonts w:ascii="Arial" w:hAnsi="Arial" w:cs="Arial"/>
                <w:color w:val="000000"/>
              </w:rPr>
              <w:t>784</w:t>
            </w:r>
          </w:p>
        </w:tc>
        <w:tc>
          <w:tcPr>
            <w:tcW w:w="1418" w:type="dxa"/>
            <w:vAlign w:val="center"/>
          </w:tcPr>
          <w:p w14:paraId="1B3A860D" w14:textId="14F321EF" w:rsidR="006D269E" w:rsidRPr="008F64A0" w:rsidRDefault="006D269E" w:rsidP="006D269E">
            <w:pPr>
              <w:spacing w:before="0" w:line="240" w:lineRule="auto"/>
              <w:jc w:val="left"/>
            </w:pPr>
            <w:r>
              <w:rPr>
                <w:rFonts w:ascii="Arial" w:hAnsi="Arial" w:cs="Arial"/>
                <w:color w:val="232323"/>
              </w:rPr>
              <w:t>803</w:t>
            </w:r>
          </w:p>
        </w:tc>
        <w:tc>
          <w:tcPr>
            <w:tcW w:w="901" w:type="dxa"/>
            <w:shd w:val="clear" w:color="auto" w:fill="0D8650" w:themeFill="accent5" w:themeFillShade="80"/>
            <w:vAlign w:val="center"/>
          </w:tcPr>
          <w:p w14:paraId="2F355ACB" w14:textId="4E698D5D" w:rsidR="006D269E" w:rsidRPr="008F64A0" w:rsidRDefault="006D269E" w:rsidP="006D269E">
            <w:pPr>
              <w:spacing w:before="0" w:line="240" w:lineRule="auto"/>
              <w:jc w:val="left"/>
            </w:pPr>
            <w:r>
              <w:rPr>
                <w:rFonts w:ascii="Arial" w:hAnsi="Arial" w:cs="Arial"/>
                <w:color w:val="232323"/>
              </w:rPr>
              <w:t>102%</w:t>
            </w:r>
          </w:p>
        </w:tc>
      </w:tr>
      <w:tr w:rsidR="00F87FD8" w:rsidRPr="008F64A0" w14:paraId="7049BEB4" w14:textId="77777777" w:rsidTr="005303CB">
        <w:tc>
          <w:tcPr>
            <w:tcW w:w="988" w:type="dxa"/>
            <w:vMerge/>
            <w:shd w:val="clear" w:color="auto" w:fill="E6E6E6" w:themeFill="accent3"/>
            <w:textDirection w:val="btLr"/>
          </w:tcPr>
          <w:p w14:paraId="7F1EB64B" w14:textId="77777777" w:rsidR="006D269E" w:rsidRPr="008F64A0" w:rsidRDefault="006D269E" w:rsidP="006D269E">
            <w:pPr>
              <w:spacing w:before="0" w:line="240" w:lineRule="auto"/>
              <w:ind w:left="113" w:right="113"/>
              <w:jc w:val="center"/>
              <w:rPr>
                <w:b/>
                <w:bCs/>
              </w:rPr>
            </w:pPr>
          </w:p>
        </w:tc>
        <w:tc>
          <w:tcPr>
            <w:tcW w:w="1134" w:type="dxa"/>
            <w:vAlign w:val="center"/>
          </w:tcPr>
          <w:p w14:paraId="58444A70" w14:textId="426103D3" w:rsidR="006D269E" w:rsidRPr="008F64A0" w:rsidRDefault="006D269E" w:rsidP="006D269E">
            <w:pPr>
              <w:spacing w:before="0" w:line="240" w:lineRule="auto"/>
              <w:jc w:val="left"/>
            </w:pPr>
            <w:r>
              <w:rPr>
                <w:rFonts w:ascii="Arial" w:hAnsi="Arial" w:cs="Arial"/>
                <w:color w:val="000000"/>
              </w:rPr>
              <w:t>C2.2</w:t>
            </w:r>
          </w:p>
        </w:tc>
        <w:tc>
          <w:tcPr>
            <w:tcW w:w="4394" w:type="dxa"/>
            <w:vAlign w:val="center"/>
          </w:tcPr>
          <w:p w14:paraId="4EE899CE" w14:textId="1EDC83BB" w:rsidR="006D269E" w:rsidRPr="008F64A0" w:rsidRDefault="006D269E" w:rsidP="006D269E">
            <w:pPr>
              <w:spacing w:before="0" w:line="240" w:lineRule="auto"/>
              <w:jc w:val="left"/>
            </w:pPr>
            <w:r>
              <w:rPr>
                <w:rFonts w:ascii="Arial" w:hAnsi="Arial" w:cs="Arial"/>
                <w:color w:val="000000"/>
              </w:rPr>
              <w:t>Mācību kursu skaits (apmeklējuma stundas)</w:t>
            </w:r>
          </w:p>
        </w:tc>
        <w:tc>
          <w:tcPr>
            <w:tcW w:w="1417" w:type="dxa"/>
            <w:vAlign w:val="center"/>
          </w:tcPr>
          <w:p w14:paraId="4C615BFC" w14:textId="0CB65AC1" w:rsidR="006D269E" w:rsidRPr="008F64A0" w:rsidRDefault="006D269E" w:rsidP="006D269E">
            <w:pPr>
              <w:spacing w:before="0" w:line="240" w:lineRule="auto"/>
              <w:jc w:val="left"/>
            </w:pPr>
            <w:r>
              <w:rPr>
                <w:rFonts w:ascii="Arial" w:hAnsi="Arial" w:cs="Arial"/>
                <w:color w:val="000000"/>
              </w:rPr>
              <w:t>560</w:t>
            </w:r>
          </w:p>
        </w:tc>
        <w:tc>
          <w:tcPr>
            <w:tcW w:w="1418" w:type="dxa"/>
            <w:vAlign w:val="center"/>
          </w:tcPr>
          <w:p w14:paraId="4E12BED1" w14:textId="4AC44BF8" w:rsidR="006D269E" w:rsidRPr="008F64A0" w:rsidRDefault="006D269E" w:rsidP="006D269E">
            <w:pPr>
              <w:spacing w:before="0" w:line="240" w:lineRule="auto"/>
              <w:jc w:val="left"/>
            </w:pPr>
            <w:r>
              <w:rPr>
                <w:rFonts w:ascii="Arial" w:hAnsi="Arial" w:cs="Arial"/>
                <w:color w:val="232323"/>
              </w:rPr>
              <w:t>836</w:t>
            </w:r>
          </w:p>
        </w:tc>
        <w:tc>
          <w:tcPr>
            <w:tcW w:w="901" w:type="dxa"/>
            <w:shd w:val="clear" w:color="auto" w:fill="0D8650" w:themeFill="accent5" w:themeFillShade="80"/>
            <w:vAlign w:val="center"/>
          </w:tcPr>
          <w:p w14:paraId="402F43D3" w14:textId="67A3493A" w:rsidR="006D269E" w:rsidRPr="008F64A0" w:rsidRDefault="006D269E" w:rsidP="006D269E">
            <w:pPr>
              <w:spacing w:before="0" w:line="240" w:lineRule="auto"/>
              <w:jc w:val="left"/>
            </w:pPr>
            <w:r>
              <w:rPr>
                <w:rFonts w:ascii="Arial" w:hAnsi="Arial" w:cs="Arial"/>
                <w:color w:val="232323"/>
              </w:rPr>
              <w:t>149%</w:t>
            </w:r>
          </w:p>
        </w:tc>
      </w:tr>
      <w:tr w:rsidR="00F87FD8" w:rsidRPr="008F64A0" w14:paraId="271B4BC8" w14:textId="77777777" w:rsidTr="005303CB">
        <w:tc>
          <w:tcPr>
            <w:tcW w:w="988" w:type="dxa"/>
            <w:vMerge/>
            <w:shd w:val="clear" w:color="auto" w:fill="E6E6E6" w:themeFill="accent3"/>
            <w:textDirection w:val="btLr"/>
          </w:tcPr>
          <w:p w14:paraId="5826036A" w14:textId="77777777" w:rsidR="006D269E" w:rsidRPr="008F64A0" w:rsidRDefault="006D269E" w:rsidP="006D269E">
            <w:pPr>
              <w:spacing w:before="0" w:line="240" w:lineRule="auto"/>
              <w:ind w:left="113" w:right="113"/>
              <w:jc w:val="center"/>
              <w:rPr>
                <w:b/>
                <w:bCs/>
              </w:rPr>
            </w:pPr>
          </w:p>
        </w:tc>
        <w:tc>
          <w:tcPr>
            <w:tcW w:w="1134" w:type="dxa"/>
            <w:vAlign w:val="center"/>
          </w:tcPr>
          <w:p w14:paraId="455DD572" w14:textId="7E3D11A1" w:rsidR="006D269E" w:rsidRPr="008F64A0" w:rsidRDefault="006D269E" w:rsidP="006D269E">
            <w:pPr>
              <w:spacing w:before="0" w:line="240" w:lineRule="auto"/>
              <w:jc w:val="left"/>
            </w:pPr>
            <w:r>
              <w:rPr>
                <w:rFonts w:ascii="Arial" w:hAnsi="Arial" w:cs="Arial"/>
              </w:rPr>
              <w:t>C4.1</w:t>
            </w:r>
          </w:p>
        </w:tc>
        <w:tc>
          <w:tcPr>
            <w:tcW w:w="4394" w:type="dxa"/>
            <w:vAlign w:val="center"/>
          </w:tcPr>
          <w:p w14:paraId="3BD24B62" w14:textId="5822FA5F" w:rsidR="006D269E" w:rsidRPr="008F64A0" w:rsidRDefault="006D269E" w:rsidP="006D269E">
            <w:pPr>
              <w:spacing w:before="0" w:line="240" w:lineRule="auto"/>
              <w:jc w:val="left"/>
            </w:pPr>
            <w:r>
              <w:rPr>
                <w:rFonts w:ascii="Arial" w:hAnsi="Arial" w:cs="Arial"/>
              </w:rPr>
              <w:t>Konsulātu skaits, kas izveidoti vai modernizēti ar fonda palīdzību, no kopējā konsulātu skaita</w:t>
            </w:r>
          </w:p>
        </w:tc>
        <w:tc>
          <w:tcPr>
            <w:tcW w:w="1417" w:type="dxa"/>
            <w:vAlign w:val="center"/>
          </w:tcPr>
          <w:p w14:paraId="0DA2C7B2" w14:textId="5CAF9360" w:rsidR="006D269E" w:rsidRPr="008F64A0" w:rsidRDefault="006D269E" w:rsidP="006D269E">
            <w:pPr>
              <w:spacing w:before="0" w:line="240" w:lineRule="auto"/>
              <w:jc w:val="left"/>
            </w:pPr>
            <w:r>
              <w:rPr>
                <w:rFonts w:ascii="Arial" w:hAnsi="Arial" w:cs="Arial"/>
              </w:rPr>
              <w:t>32</w:t>
            </w:r>
          </w:p>
        </w:tc>
        <w:tc>
          <w:tcPr>
            <w:tcW w:w="1418" w:type="dxa"/>
            <w:vAlign w:val="center"/>
          </w:tcPr>
          <w:p w14:paraId="38D3AA04" w14:textId="56B5A7AF" w:rsidR="006D269E" w:rsidRPr="008F64A0" w:rsidRDefault="006D269E" w:rsidP="006D269E">
            <w:pPr>
              <w:spacing w:before="0" w:line="240" w:lineRule="auto"/>
              <w:jc w:val="left"/>
            </w:pPr>
            <w:r>
              <w:rPr>
                <w:rFonts w:ascii="Arial" w:hAnsi="Arial" w:cs="Arial"/>
              </w:rPr>
              <w:t>25</w:t>
            </w:r>
          </w:p>
        </w:tc>
        <w:tc>
          <w:tcPr>
            <w:tcW w:w="901" w:type="dxa"/>
            <w:shd w:val="clear" w:color="auto" w:fill="D8FBEB" w:themeFill="accent5" w:themeFillTint="33"/>
            <w:vAlign w:val="center"/>
          </w:tcPr>
          <w:p w14:paraId="2B2E37B1" w14:textId="11EECE4D" w:rsidR="006D269E" w:rsidRPr="008F64A0" w:rsidRDefault="006D269E" w:rsidP="006D269E">
            <w:pPr>
              <w:spacing w:before="0" w:line="240" w:lineRule="auto"/>
              <w:jc w:val="left"/>
            </w:pPr>
            <w:r>
              <w:rPr>
                <w:rFonts w:ascii="Arial" w:hAnsi="Arial" w:cs="Arial"/>
                <w:color w:val="232323"/>
              </w:rPr>
              <w:t>78%</w:t>
            </w:r>
          </w:p>
        </w:tc>
      </w:tr>
      <w:tr w:rsidR="00F87FD8" w:rsidRPr="008F64A0" w14:paraId="3AC14A20" w14:textId="77777777" w:rsidTr="005303CB">
        <w:tc>
          <w:tcPr>
            <w:tcW w:w="988" w:type="dxa"/>
            <w:vMerge/>
            <w:shd w:val="clear" w:color="auto" w:fill="E6E6E6" w:themeFill="accent3"/>
            <w:textDirection w:val="btLr"/>
          </w:tcPr>
          <w:p w14:paraId="5D370043" w14:textId="77777777" w:rsidR="006D269E" w:rsidRPr="008F64A0" w:rsidRDefault="006D269E" w:rsidP="006D269E">
            <w:pPr>
              <w:spacing w:before="0" w:line="240" w:lineRule="auto"/>
              <w:ind w:left="113" w:right="113"/>
              <w:jc w:val="center"/>
              <w:rPr>
                <w:b/>
                <w:bCs/>
              </w:rPr>
            </w:pPr>
          </w:p>
        </w:tc>
        <w:tc>
          <w:tcPr>
            <w:tcW w:w="1134" w:type="dxa"/>
            <w:vAlign w:val="center"/>
          </w:tcPr>
          <w:p w14:paraId="2211E48E" w14:textId="116D1EC4" w:rsidR="006D269E" w:rsidRPr="008F64A0" w:rsidRDefault="006D269E" w:rsidP="006D269E">
            <w:pPr>
              <w:spacing w:before="0" w:line="240" w:lineRule="auto"/>
              <w:jc w:val="left"/>
            </w:pPr>
            <w:r>
              <w:rPr>
                <w:rFonts w:ascii="Arial" w:hAnsi="Arial" w:cs="Arial"/>
                <w:color w:val="232323"/>
              </w:rPr>
              <w:t>C4.2</w:t>
            </w:r>
          </w:p>
        </w:tc>
        <w:tc>
          <w:tcPr>
            <w:tcW w:w="4394" w:type="dxa"/>
            <w:vAlign w:val="center"/>
          </w:tcPr>
          <w:p w14:paraId="2379E9BD" w14:textId="50EBF7C9" w:rsidR="006D269E" w:rsidRPr="008F64A0" w:rsidRDefault="006D269E" w:rsidP="006D269E">
            <w:pPr>
              <w:spacing w:before="0" w:line="240" w:lineRule="auto"/>
              <w:jc w:val="left"/>
            </w:pPr>
            <w:r>
              <w:rPr>
                <w:rFonts w:ascii="Arial" w:hAnsi="Arial" w:cs="Arial"/>
                <w:color w:val="232323"/>
              </w:rPr>
              <w:t>Konsulātu īpatsvars, kas izveidoti vai modernizēti ar fonda palīdzību, no kopējā konsulātu skaita</w:t>
            </w:r>
          </w:p>
        </w:tc>
        <w:tc>
          <w:tcPr>
            <w:tcW w:w="1417" w:type="dxa"/>
            <w:vAlign w:val="center"/>
          </w:tcPr>
          <w:p w14:paraId="1708BC72" w14:textId="592A2EA8" w:rsidR="006D269E" w:rsidRPr="008F64A0" w:rsidRDefault="006D269E" w:rsidP="006D269E">
            <w:pPr>
              <w:spacing w:before="0" w:line="240" w:lineRule="auto"/>
              <w:jc w:val="left"/>
            </w:pPr>
            <w:r>
              <w:rPr>
                <w:rFonts w:ascii="Arial" w:hAnsi="Arial" w:cs="Arial"/>
                <w:color w:val="232323"/>
              </w:rPr>
              <w:t>64</w:t>
            </w:r>
          </w:p>
        </w:tc>
        <w:tc>
          <w:tcPr>
            <w:tcW w:w="1418" w:type="dxa"/>
            <w:vAlign w:val="center"/>
          </w:tcPr>
          <w:p w14:paraId="45323183" w14:textId="424CC377" w:rsidR="006D269E" w:rsidRPr="008F64A0" w:rsidRDefault="006D269E" w:rsidP="006D269E">
            <w:pPr>
              <w:spacing w:before="0" w:line="240" w:lineRule="auto"/>
              <w:jc w:val="left"/>
            </w:pPr>
            <w:r>
              <w:rPr>
                <w:rFonts w:ascii="Arial" w:hAnsi="Arial" w:cs="Arial"/>
                <w:color w:val="232323"/>
              </w:rPr>
              <w:t>64</w:t>
            </w:r>
          </w:p>
        </w:tc>
        <w:tc>
          <w:tcPr>
            <w:tcW w:w="901" w:type="dxa"/>
            <w:shd w:val="clear" w:color="auto" w:fill="14C877" w:themeFill="accent5" w:themeFillShade="BF"/>
            <w:vAlign w:val="center"/>
          </w:tcPr>
          <w:p w14:paraId="31A24F19" w14:textId="15F37D4E" w:rsidR="006D269E" w:rsidRPr="008F64A0" w:rsidRDefault="006D269E" w:rsidP="006D269E">
            <w:pPr>
              <w:spacing w:before="0" w:line="240" w:lineRule="auto"/>
              <w:jc w:val="left"/>
            </w:pPr>
            <w:r>
              <w:rPr>
                <w:rFonts w:ascii="Arial" w:hAnsi="Arial" w:cs="Arial"/>
                <w:color w:val="232323"/>
              </w:rPr>
              <w:t>100%</w:t>
            </w:r>
          </w:p>
        </w:tc>
      </w:tr>
      <w:tr w:rsidR="005303CB" w:rsidRPr="008F64A0" w14:paraId="5451DA65" w14:textId="77777777" w:rsidTr="009C3A4B">
        <w:trPr>
          <w:trHeight w:val="934"/>
        </w:trPr>
        <w:tc>
          <w:tcPr>
            <w:tcW w:w="988" w:type="dxa"/>
            <w:vMerge w:val="restart"/>
            <w:shd w:val="clear" w:color="auto" w:fill="E6E6E6" w:themeFill="accent3"/>
            <w:textDirection w:val="btLr"/>
          </w:tcPr>
          <w:p w14:paraId="2A03F8A5" w14:textId="7B60A4E1" w:rsidR="006D269E" w:rsidRPr="008F64A0" w:rsidRDefault="006D269E" w:rsidP="006D269E">
            <w:pPr>
              <w:spacing w:before="0" w:line="240" w:lineRule="auto"/>
              <w:ind w:left="113" w:right="113"/>
              <w:jc w:val="center"/>
              <w:rPr>
                <w:b/>
                <w:bCs/>
              </w:rPr>
            </w:pPr>
            <w:r w:rsidRPr="008F64A0">
              <w:rPr>
                <w:b/>
                <w:bCs/>
              </w:rPr>
              <w:lastRenderedPageBreak/>
              <w:t xml:space="preserve">SM2 </w:t>
            </w:r>
            <w:r w:rsidRPr="00D31802">
              <w:rPr>
                <w:b/>
                <w:bCs/>
              </w:rPr>
              <w:t>Robežas</w:t>
            </w:r>
            <w:r w:rsidRPr="008F64A0">
              <w:rPr>
                <w:b/>
                <w:bCs/>
              </w:rPr>
              <w:t xml:space="preserve"> </w:t>
            </w:r>
          </w:p>
        </w:tc>
        <w:tc>
          <w:tcPr>
            <w:tcW w:w="1134" w:type="dxa"/>
            <w:vAlign w:val="center"/>
          </w:tcPr>
          <w:p w14:paraId="7566A542" w14:textId="391AE158" w:rsidR="006D269E" w:rsidRPr="008F64A0" w:rsidRDefault="006D269E" w:rsidP="006D269E">
            <w:pPr>
              <w:spacing w:before="0" w:line="240" w:lineRule="auto"/>
              <w:jc w:val="left"/>
            </w:pPr>
            <w:r>
              <w:rPr>
                <w:rFonts w:ascii="Arial" w:hAnsi="Arial" w:cs="Arial"/>
                <w:color w:val="232323"/>
              </w:rPr>
              <w:t>C2</w:t>
            </w:r>
          </w:p>
        </w:tc>
        <w:tc>
          <w:tcPr>
            <w:tcW w:w="4394" w:type="dxa"/>
            <w:vAlign w:val="center"/>
          </w:tcPr>
          <w:p w14:paraId="7DDED493" w14:textId="078DBBBB" w:rsidR="006D269E" w:rsidRPr="008F64A0" w:rsidRDefault="006D269E" w:rsidP="006D269E">
            <w:pPr>
              <w:spacing w:before="0" w:line="240" w:lineRule="auto"/>
              <w:jc w:val="left"/>
            </w:pPr>
            <w:r>
              <w:rPr>
                <w:rFonts w:ascii="Arial" w:hAnsi="Arial" w:cs="Arial"/>
                <w:color w:val="232323"/>
              </w:rPr>
              <w:t>Robežkontroles (pārbaudes un uzraudzības) infrastruktūras un līdzekļu skaits, kas izveidoti vai modernizēti ar fonda palīdzību</w:t>
            </w:r>
          </w:p>
        </w:tc>
        <w:tc>
          <w:tcPr>
            <w:tcW w:w="1417" w:type="dxa"/>
            <w:vAlign w:val="center"/>
          </w:tcPr>
          <w:p w14:paraId="688E187D" w14:textId="5BA2423A" w:rsidR="006D269E" w:rsidRPr="008F64A0" w:rsidRDefault="006D269E" w:rsidP="006D269E">
            <w:pPr>
              <w:spacing w:before="0" w:line="240" w:lineRule="auto"/>
              <w:jc w:val="left"/>
            </w:pPr>
            <w:r>
              <w:rPr>
                <w:rFonts w:ascii="Arial" w:hAnsi="Arial" w:cs="Arial"/>
                <w:color w:val="232323"/>
              </w:rPr>
              <w:t>8</w:t>
            </w:r>
          </w:p>
        </w:tc>
        <w:tc>
          <w:tcPr>
            <w:tcW w:w="1418" w:type="dxa"/>
            <w:vAlign w:val="center"/>
          </w:tcPr>
          <w:p w14:paraId="2E4E74D0" w14:textId="7AD39338" w:rsidR="006D269E" w:rsidRPr="008F64A0" w:rsidRDefault="006D269E" w:rsidP="006D269E">
            <w:pPr>
              <w:spacing w:before="0" w:line="240" w:lineRule="auto"/>
              <w:jc w:val="left"/>
            </w:pPr>
            <w:r>
              <w:rPr>
                <w:rFonts w:ascii="Arial" w:hAnsi="Arial" w:cs="Arial"/>
                <w:color w:val="232323"/>
              </w:rPr>
              <w:t>0</w:t>
            </w:r>
          </w:p>
        </w:tc>
        <w:tc>
          <w:tcPr>
            <w:tcW w:w="901" w:type="dxa"/>
            <w:shd w:val="clear" w:color="auto" w:fill="FF0000"/>
            <w:vAlign w:val="center"/>
          </w:tcPr>
          <w:p w14:paraId="12E41DA4" w14:textId="21C3B79E" w:rsidR="006D269E" w:rsidRPr="008F64A0" w:rsidRDefault="006D269E" w:rsidP="006D269E">
            <w:pPr>
              <w:spacing w:before="0" w:line="240" w:lineRule="auto"/>
              <w:jc w:val="left"/>
            </w:pPr>
            <w:r>
              <w:rPr>
                <w:rFonts w:ascii="Arial" w:hAnsi="Arial" w:cs="Arial"/>
                <w:color w:val="232323"/>
              </w:rPr>
              <w:t>0%</w:t>
            </w:r>
          </w:p>
        </w:tc>
      </w:tr>
      <w:tr w:rsidR="005303CB" w:rsidRPr="008F64A0" w14:paraId="3F4DC7F2" w14:textId="77777777" w:rsidTr="005303CB">
        <w:tc>
          <w:tcPr>
            <w:tcW w:w="988" w:type="dxa"/>
            <w:vMerge/>
            <w:shd w:val="clear" w:color="auto" w:fill="E6E6E6" w:themeFill="accent3"/>
            <w:textDirection w:val="btLr"/>
          </w:tcPr>
          <w:p w14:paraId="633428E9" w14:textId="77777777" w:rsidR="006D269E" w:rsidRPr="008F64A0" w:rsidRDefault="006D269E" w:rsidP="006D269E">
            <w:pPr>
              <w:spacing w:before="0" w:line="240" w:lineRule="auto"/>
              <w:ind w:left="113" w:right="113"/>
              <w:jc w:val="center"/>
              <w:rPr>
                <w:b/>
                <w:bCs/>
              </w:rPr>
            </w:pPr>
          </w:p>
        </w:tc>
        <w:tc>
          <w:tcPr>
            <w:tcW w:w="1134" w:type="dxa"/>
            <w:vAlign w:val="center"/>
          </w:tcPr>
          <w:p w14:paraId="631252C7" w14:textId="6C67EE01" w:rsidR="006D269E" w:rsidRPr="008F64A0" w:rsidRDefault="006D269E" w:rsidP="006D269E">
            <w:pPr>
              <w:spacing w:before="0" w:line="240" w:lineRule="auto"/>
              <w:jc w:val="left"/>
            </w:pPr>
            <w:r>
              <w:rPr>
                <w:rFonts w:ascii="Arial" w:hAnsi="Arial" w:cs="Arial"/>
                <w:color w:val="232323"/>
              </w:rPr>
              <w:t>C3.1</w:t>
            </w:r>
          </w:p>
        </w:tc>
        <w:tc>
          <w:tcPr>
            <w:tcW w:w="4394" w:type="dxa"/>
            <w:vAlign w:val="center"/>
          </w:tcPr>
          <w:p w14:paraId="50FE77DB" w14:textId="6A2292BF" w:rsidR="006D269E" w:rsidRPr="008F64A0" w:rsidRDefault="006D269E" w:rsidP="006D269E">
            <w:pPr>
              <w:spacing w:before="0" w:line="240" w:lineRule="auto"/>
              <w:jc w:val="left"/>
            </w:pPr>
            <w:r>
              <w:rPr>
                <w:rFonts w:ascii="Arial" w:hAnsi="Arial" w:cs="Arial"/>
                <w:color w:val="232323"/>
              </w:rPr>
              <w:t xml:space="preserve">Robežšķērsotāju skaits, kuri šķērso automatizētas robežkontroles sistēmas (ABC) izejas </w:t>
            </w:r>
          </w:p>
        </w:tc>
        <w:tc>
          <w:tcPr>
            <w:tcW w:w="1417" w:type="dxa"/>
            <w:vAlign w:val="center"/>
          </w:tcPr>
          <w:p w14:paraId="4D48E50C" w14:textId="4B64A94A" w:rsidR="006D269E" w:rsidRPr="008F64A0" w:rsidRDefault="006D269E" w:rsidP="006D269E">
            <w:pPr>
              <w:spacing w:before="0" w:line="240" w:lineRule="auto"/>
              <w:jc w:val="left"/>
            </w:pPr>
            <w:r>
              <w:rPr>
                <w:rFonts w:ascii="Arial" w:hAnsi="Arial" w:cs="Arial"/>
                <w:color w:val="000000"/>
              </w:rPr>
              <w:t>4 300 000</w:t>
            </w:r>
          </w:p>
        </w:tc>
        <w:tc>
          <w:tcPr>
            <w:tcW w:w="1418" w:type="dxa"/>
            <w:vAlign w:val="center"/>
          </w:tcPr>
          <w:p w14:paraId="0087EB0F" w14:textId="6FBF580B" w:rsidR="006D269E" w:rsidRPr="008F64A0" w:rsidRDefault="006D269E" w:rsidP="006D269E">
            <w:pPr>
              <w:spacing w:before="0" w:line="240" w:lineRule="auto"/>
              <w:jc w:val="left"/>
            </w:pPr>
            <w:r>
              <w:rPr>
                <w:rFonts w:ascii="Arial" w:hAnsi="Arial" w:cs="Arial"/>
                <w:color w:val="000000"/>
              </w:rPr>
              <w:t>767 411</w:t>
            </w:r>
          </w:p>
        </w:tc>
        <w:tc>
          <w:tcPr>
            <w:tcW w:w="901" w:type="dxa"/>
            <w:shd w:val="clear" w:color="auto" w:fill="FFC000"/>
            <w:vAlign w:val="center"/>
          </w:tcPr>
          <w:p w14:paraId="79514EED" w14:textId="1AA187DF" w:rsidR="006D269E" w:rsidRPr="008F64A0" w:rsidRDefault="006D269E" w:rsidP="006D269E">
            <w:pPr>
              <w:spacing w:before="0" w:line="240" w:lineRule="auto"/>
              <w:jc w:val="left"/>
            </w:pPr>
            <w:r>
              <w:rPr>
                <w:rFonts w:ascii="Arial" w:hAnsi="Arial" w:cs="Arial"/>
                <w:color w:val="232323"/>
              </w:rPr>
              <w:t>18%</w:t>
            </w:r>
          </w:p>
        </w:tc>
      </w:tr>
      <w:tr w:rsidR="006D269E" w:rsidRPr="008F64A0" w14:paraId="588F84DB" w14:textId="77777777" w:rsidTr="005303CB">
        <w:tc>
          <w:tcPr>
            <w:tcW w:w="988" w:type="dxa"/>
            <w:vMerge/>
            <w:shd w:val="clear" w:color="auto" w:fill="E6E6E6" w:themeFill="accent3"/>
            <w:textDirection w:val="btLr"/>
          </w:tcPr>
          <w:p w14:paraId="2F420A8E" w14:textId="77777777" w:rsidR="006D269E" w:rsidRPr="008F64A0" w:rsidRDefault="006D269E" w:rsidP="006D269E">
            <w:pPr>
              <w:spacing w:before="0" w:line="240" w:lineRule="auto"/>
              <w:ind w:left="113" w:right="113"/>
              <w:jc w:val="center"/>
              <w:rPr>
                <w:b/>
                <w:bCs/>
              </w:rPr>
            </w:pPr>
          </w:p>
        </w:tc>
        <w:tc>
          <w:tcPr>
            <w:tcW w:w="1134" w:type="dxa"/>
            <w:vAlign w:val="center"/>
          </w:tcPr>
          <w:p w14:paraId="139BAB4D" w14:textId="41E642D0" w:rsidR="006D269E" w:rsidRPr="008F64A0" w:rsidRDefault="006D269E" w:rsidP="006D269E">
            <w:pPr>
              <w:spacing w:before="0" w:line="240" w:lineRule="auto"/>
              <w:jc w:val="left"/>
            </w:pPr>
            <w:r>
              <w:rPr>
                <w:rFonts w:ascii="Arial" w:hAnsi="Arial" w:cs="Arial"/>
                <w:color w:val="232323"/>
              </w:rPr>
              <w:t>C3.2</w:t>
            </w:r>
          </w:p>
        </w:tc>
        <w:tc>
          <w:tcPr>
            <w:tcW w:w="4394" w:type="dxa"/>
            <w:vAlign w:val="center"/>
          </w:tcPr>
          <w:p w14:paraId="560767E9" w14:textId="1B494FE8" w:rsidR="006D269E" w:rsidRPr="008F64A0" w:rsidRDefault="001D7DD5" w:rsidP="006D269E">
            <w:pPr>
              <w:spacing w:before="0" w:line="240" w:lineRule="auto"/>
              <w:jc w:val="left"/>
            </w:pPr>
            <w:r w:rsidRPr="000642DF">
              <w:rPr>
                <w:rFonts w:ascii="Arial" w:hAnsi="Arial" w:cs="Arial"/>
                <w:color w:val="232323"/>
              </w:rPr>
              <w:t>Kopējais robežu šķērsojošo personu skaits</w:t>
            </w:r>
          </w:p>
        </w:tc>
        <w:tc>
          <w:tcPr>
            <w:tcW w:w="1417" w:type="dxa"/>
            <w:vAlign w:val="center"/>
          </w:tcPr>
          <w:p w14:paraId="752A45A9" w14:textId="7E67380F" w:rsidR="006D269E" w:rsidRPr="008F64A0" w:rsidRDefault="006D269E" w:rsidP="006D269E">
            <w:pPr>
              <w:spacing w:before="0" w:line="240" w:lineRule="auto"/>
              <w:jc w:val="left"/>
            </w:pPr>
            <w:r>
              <w:rPr>
                <w:rFonts w:ascii="Arial" w:hAnsi="Arial" w:cs="Arial"/>
                <w:color w:val="000000"/>
              </w:rPr>
              <w:t>30 800 000</w:t>
            </w:r>
          </w:p>
        </w:tc>
        <w:tc>
          <w:tcPr>
            <w:tcW w:w="1418" w:type="dxa"/>
            <w:vAlign w:val="center"/>
          </w:tcPr>
          <w:p w14:paraId="71BF5370" w14:textId="58DE9793" w:rsidR="006D269E" w:rsidRPr="008F64A0" w:rsidRDefault="006D269E" w:rsidP="006D269E">
            <w:pPr>
              <w:spacing w:before="0" w:line="240" w:lineRule="auto"/>
              <w:jc w:val="left"/>
            </w:pPr>
            <w:r>
              <w:rPr>
                <w:rFonts w:ascii="Arial" w:hAnsi="Arial" w:cs="Arial"/>
                <w:color w:val="000000"/>
              </w:rPr>
              <w:t>35 051 445</w:t>
            </w:r>
          </w:p>
        </w:tc>
        <w:tc>
          <w:tcPr>
            <w:tcW w:w="901" w:type="dxa"/>
            <w:shd w:val="clear" w:color="auto" w:fill="0D8650" w:themeFill="accent5" w:themeFillShade="80"/>
            <w:vAlign w:val="center"/>
          </w:tcPr>
          <w:p w14:paraId="53F0D105" w14:textId="6E69D39E" w:rsidR="006D269E" w:rsidRPr="008F64A0" w:rsidRDefault="006D269E" w:rsidP="006D269E">
            <w:pPr>
              <w:spacing w:before="0" w:line="240" w:lineRule="auto"/>
              <w:jc w:val="left"/>
            </w:pPr>
            <w:r>
              <w:rPr>
                <w:rFonts w:ascii="Arial" w:hAnsi="Arial" w:cs="Arial"/>
                <w:color w:val="232323"/>
              </w:rPr>
              <w:t>114%</w:t>
            </w:r>
          </w:p>
        </w:tc>
      </w:tr>
      <w:tr w:rsidR="006D269E" w:rsidRPr="008F64A0" w14:paraId="35182C1A" w14:textId="77777777" w:rsidTr="005303CB">
        <w:tc>
          <w:tcPr>
            <w:tcW w:w="988" w:type="dxa"/>
            <w:vMerge/>
            <w:shd w:val="clear" w:color="auto" w:fill="E6E6E6" w:themeFill="accent3"/>
            <w:textDirection w:val="btLr"/>
          </w:tcPr>
          <w:p w14:paraId="1AD19AC7" w14:textId="77777777" w:rsidR="006D269E" w:rsidRPr="008F64A0" w:rsidRDefault="006D269E" w:rsidP="006D269E">
            <w:pPr>
              <w:spacing w:before="0" w:line="240" w:lineRule="auto"/>
              <w:ind w:left="113" w:right="113"/>
              <w:jc w:val="center"/>
              <w:rPr>
                <w:b/>
                <w:bCs/>
              </w:rPr>
            </w:pPr>
          </w:p>
        </w:tc>
        <w:tc>
          <w:tcPr>
            <w:tcW w:w="1134" w:type="dxa"/>
            <w:vAlign w:val="center"/>
          </w:tcPr>
          <w:p w14:paraId="762B7CB6" w14:textId="6CE83FD8" w:rsidR="006D269E" w:rsidRPr="008F64A0" w:rsidRDefault="006D269E" w:rsidP="006D269E">
            <w:pPr>
              <w:spacing w:before="0" w:line="240" w:lineRule="auto"/>
              <w:jc w:val="left"/>
            </w:pPr>
            <w:r>
              <w:rPr>
                <w:rFonts w:ascii="Arial" w:hAnsi="Arial" w:cs="Arial"/>
                <w:color w:val="232323"/>
              </w:rPr>
              <w:t>C4</w:t>
            </w:r>
          </w:p>
        </w:tc>
        <w:tc>
          <w:tcPr>
            <w:tcW w:w="4394" w:type="dxa"/>
            <w:vAlign w:val="center"/>
          </w:tcPr>
          <w:p w14:paraId="7D5C49B3" w14:textId="4440CDEE" w:rsidR="006D269E" w:rsidRPr="008F64A0" w:rsidRDefault="006D269E" w:rsidP="006D269E">
            <w:pPr>
              <w:spacing w:before="0" w:line="240" w:lineRule="auto"/>
              <w:jc w:val="left"/>
            </w:pPr>
            <w:r>
              <w:rPr>
                <w:rFonts w:ascii="Arial" w:hAnsi="Arial" w:cs="Arial"/>
                <w:color w:val="232323"/>
              </w:rPr>
              <w:t>Valsts robežu uzraudzības infrastruktūras skaits, kas izveidots vai tālāk attīstīts E</w:t>
            </w:r>
            <w:r w:rsidR="00E13CF6">
              <w:rPr>
                <w:rFonts w:ascii="Arial" w:hAnsi="Arial" w:cs="Arial"/>
                <w:color w:val="232323"/>
              </w:rPr>
              <w:t>U</w:t>
            </w:r>
            <w:r>
              <w:rPr>
                <w:rFonts w:ascii="Arial" w:hAnsi="Arial" w:cs="Arial"/>
                <w:color w:val="232323"/>
              </w:rPr>
              <w:t>ROSUR ietvaros</w:t>
            </w:r>
          </w:p>
        </w:tc>
        <w:tc>
          <w:tcPr>
            <w:tcW w:w="1417" w:type="dxa"/>
            <w:vAlign w:val="center"/>
          </w:tcPr>
          <w:p w14:paraId="58845455" w14:textId="2D6FD7E4" w:rsidR="006D269E" w:rsidRPr="008F64A0" w:rsidRDefault="006D269E" w:rsidP="006D269E">
            <w:pPr>
              <w:spacing w:before="0" w:line="240" w:lineRule="auto"/>
              <w:jc w:val="left"/>
            </w:pPr>
            <w:r>
              <w:rPr>
                <w:rFonts w:ascii="Arial" w:hAnsi="Arial" w:cs="Arial"/>
                <w:color w:val="232323"/>
              </w:rPr>
              <w:t>24</w:t>
            </w:r>
          </w:p>
        </w:tc>
        <w:tc>
          <w:tcPr>
            <w:tcW w:w="1418" w:type="dxa"/>
            <w:vAlign w:val="center"/>
          </w:tcPr>
          <w:p w14:paraId="67A427E7" w14:textId="36BA1E18" w:rsidR="006D269E" w:rsidRPr="008F64A0" w:rsidRDefault="006D269E" w:rsidP="006D269E">
            <w:pPr>
              <w:spacing w:before="0" w:line="240" w:lineRule="auto"/>
              <w:jc w:val="left"/>
            </w:pPr>
            <w:r>
              <w:rPr>
                <w:rFonts w:ascii="Arial" w:hAnsi="Arial" w:cs="Arial"/>
                <w:color w:val="232323"/>
              </w:rPr>
              <w:t>41</w:t>
            </w:r>
          </w:p>
        </w:tc>
        <w:tc>
          <w:tcPr>
            <w:tcW w:w="901" w:type="dxa"/>
            <w:shd w:val="clear" w:color="auto" w:fill="0D8650" w:themeFill="accent5" w:themeFillShade="80"/>
            <w:vAlign w:val="center"/>
          </w:tcPr>
          <w:p w14:paraId="1F9BBFC2" w14:textId="1D215783" w:rsidR="006D269E" w:rsidRPr="008F64A0" w:rsidRDefault="006D269E" w:rsidP="006D269E">
            <w:pPr>
              <w:spacing w:before="0" w:line="240" w:lineRule="auto"/>
              <w:jc w:val="left"/>
            </w:pPr>
            <w:r>
              <w:rPr>
                <w:rFonts w:ascii="Arial" w:hAnsi="Arial" w:cs="Arial"/>
                <w:color w:val="232323"/>
              </w:rPr>
              <w:t>171%</w:t>
            </w:r>
          </w:p>
        </w:tc>
      </w:tr>
      <w:tr w:rsidR="005303CB" w:rsidRPr="008F64A0" w14:paraId="41AED238" w14:textId="77777777" w:rsidTr="005303CB">
        <w:trPr>
          <w:trHeight w:val="625"/>
        </w:trPr>
        <w:tc>
          <w:tcPr>
            <w:tcW w:w="988" w:type="dxa"/>
            <w:vMerge/>
            <w:shd w:val="clear" w:color="auto" w:fill="E6E6E6" w:themeFill="accent3"/>
            <w:textDirection w:val="btLr"/>
          </w:tcPr>
          <w:p w14:paraId="25FC58DF" w14:textId="77777777" w:rsidR="006D269E" w:rsidRPr="008F64A0" w:rsidRDefault="006D269E" w:rsidP="006D269E">
            <w:pPr>
              <w:spacing w:before="0" w:line="240" w:lineRule="auto"/>
              <w:ind w:left="113" w:right="113"/>
              <w:jc w:val="center"/>
              <w:rPr>
                <w:b/>
                <w:bCs/>
              </w:rPr>
            </w:pPr>
          </w:p>
        </w:tc>
        <w:tc>
          <w:tcPr>
            <w:tcW w:w="1134" w:type="dxa"/>
            <w:vAlign w:val="center"/>
          </w:tcPr>
          <w:p w14:paraId="5CEA2133" w14:textId="2326F96F" w:rsidR="006D269E" w:rsidRPr="008F64A0" w:rsidRDefault="006D269E" w:rsidP="006D269E">
            <w:pPr>
              <w:spacing w:before="0" w:line="240" w:lineRule="auto"/>
              <w:jc w:val="left"/>
            </w:pPr>
            <w:r>
              <w:rPr>
                <w:rFonts w:ascii="Arial" w:hAnsi="Arial" w:cs="Arial"/>
                <w:color w:val="000000"/>
              </w:rPr>
              <w:t>C5</w:t>
            </w:r>
          </w:p>
        </w:tc>
        <w:tc>
          <w:tcPr>
            <w:tcW w:w="4394" w:type="dxa"/>
            <w:vAlign w:val="center"/>
          </w:tcPr>
          <w:p w14:paraId="1D089897" w14:textId="293BDDAF" w:rsidR="006D269E" w:rsidRPr="008F64A0" w:rsidRDefault="006D269E" w:rsidP="006D269E">
            <w:pPr>
              <w:spacing w:before="0" w:line="240" w:lineRule="auto"/>
              <w:jc w:val="left"/>
            </w:pPr>
            <w:r>
              <w:rPr>
                <w:rFonts w:ascii="Arial" w:hAnsi="Arial" w:cs="Arial"/>
                <w:color w:val="000000"/>
              </w:rPr>
              <w:t>Negadījumu skaits, par kuriem Latvijas Republika ziņojusi Eiropas situācijas ainai</w:t>
            </w:r>
          </w:p>
        </w:tc>
        <w:tc>
          <w:tcPr>
            <w:tcW w:w="1417" w:type="dxa"/>
            <w:vAlign w:val="center"/>
          </w:tcPr>
          <w:p w14:paraId="6DD2A461" w14:textId="1EADB138" w:rsidR="006D269E" w:rsidRPr="008F64A0" w:rsidRDefault="006D269E" w:rsidP="006D269E">
            <w:pPr>
              <w:spacing w:before="0" w:line="240" w:lineRule="auto"/>
              <w:jc w:val="left"/>
            </w:pPr>
            <w:r>
              <w:rPr>
                <w:rFonts w:ascii="Arial" w:hAnsi="Arial" w:cs="Arial"/>
                <w:color w:val="000000"/>
              </w:rPr>
              <w:t>21</w:t>
            </w:r>
            <w:r w:rsidR="00130717">
              <w:rPr>
                <w:rFonts w:ascii="Arial" w:hAnsi="Arial" w:cs="Arial"/>
                <w:color w:val="000000"/>
              </w:rPr>
              <w:t xml:space="preserve"> </w:t>
            </w:r>
            <w:r>
              <w:rPr>
                <w:rFonts w:ascii="Arial" w:hAnsi="Arial" w:cs="Arial"/>
                <w:color w:val="000000"/>
              </w:rPr>
              <w:t>000</w:t>
            </w:r>
          </w:p>
        </w:tc>
        <w:tc>
          <w:tcPr>
            <w:tcW w:w="1418" w:type="dxa"/>
            <w:vAlign w:val="center"/>
          </w:tcPr>
          <w:p w14:paraId="44F9210A" w14:textId="37C35D47" w:rsidR="006D269E" w:rsidRPr="008F64A0" w:rsidRDefault="006D269E" w:rsidP="006D269E">
            <w:pPr>
              <w:spacing w:before="0" w:line="240" w:lineRule="auto"/>
              <w:jc w:val="left"/>
            </w:pPr>
            <w:r>
              <w:rPr>
                <w:rFonts w:ascii="Arial" w:hAnsi="Arial" w:cs="Arial"/>
                <w:color w:val="000000"/>
              </w:rPr>
              <w:t>20 294</w:t>
            </w:r>
          </w:p>
        </w:tc>
        <w:tc>
          <w:tcPr>
            <w:tcW w:w="901" w:type="dxa"/>
            <w:shd w:val="clear" w:color="auto" w:fill="B1F7D7" w:themeFill="accent5" w:themeFillTint="66"/>
            <w:vAlign w:val="center"/>
          </w:tcPr>
          <w:p w14:paraId="24754398" w14:textId="5CDE4CC6" w:rsidR="006D269E" w:rsidRPr="008F64A0" w:rsidRDefault="006D269E" w:rsidP="006D269E">
            <w:pPr>
              <w:spacing w:before="0" w:line="240" w:lineRule="auto"/>
              <w:jc w:val="left"/>
            </w:pPr>
            <w:r>
              <w:rPr>
                <w:rFonts w:ascii="Arial" w:hAnsi="Arial" w:cs="Arial"/>
                <w:color w:val="232323"/>
              </w:rPr>
              <w:t>97%</w:t>
            </w:r>
          </w:p>
        </w:tc>
      </w:tr>
    </w:tbl>
    <w:p w14:paraId="5C693574" w14:textId="64AA4171" w:rsidR="002616F9" w:rsidRPr="00E7584F" w:rsidRDefault="002616F9" w:rsidP="002616F9">
      <w:pPr>
        <w:pStyle w:val="Parakstszemobjekta"/>
        <w:jc w:val="right"/>
        <w:rPr>
          <w:rStyle w:val="Izsmalcintsizclums"/>
          <w:i/>
          <w:iCs/>
        </w:rPr>
      </w:pPr>
      <w:r w:rsidRPr="00E7584F">
        <w:rPr>
          <w:rStyle w:val="Izsmalcintsizclums"/>
          <w:i/>
          <w:iCs/>
        </w:rPr>
        <w:t>Avots: 2024.</w:t>
      </w:r>
      <w:r w:rsidR="00E13CF6" w:rsidRPr="00E7584F">
        <w:rPr>
          <w:rStyle w:val="Izsmalcintsizclums"/>
          <w:i/>
          <w:iCs/>
        </w:rPr>
        <w:t xml:space="preserve"> </w:t>
      </w:r>
      <w:r w:rsidRPr="00E7584F">
        <w:rPr>
          <w:rStyle w:val="Izsmalcintsizclums"/>
          <w:i/>
          <w:iCs/>
        </w:rPr>
        <w:t>gada IDF ieviešanas ziņojums</w:t>
      </w:r>
    </w:p>
    <w:p w14:paraId="1F52C11E" w14:textId="7BA2C755" w:rsidR="00D401D3" w:rsidRPr="008F64A0" w:rsidRDefault="00F64DE0" w:rsidP="00D401D3">
      <w:r>
        <w:t>IDF vīzām un robežām</w:t>
      </w:r>
      <w:r w:rsidRPr="008F64A0">
        <w:t xml:space="preserve"> </w:t>
      </w:r>
      <w:r>
        <w:t xml:space="preserve">nacionālās programmas </w:t>
      </w:r>
      <w:r w:rsidRPr="008F64A0">
        <w:t>īstenošanas rezultātu</w:t>
      </w:r>
      <w:r>
        <w:t xml:space="preserve"> analīzē</w:t>
      </w:r>
      <w:r w:rsidRPr="008F64A0">
        <w:t xml:space="preserve"> </w:t>
      </w:r>
      <w:r>
        <w:t>jā</w:t>
      </w:r>
      <w:r w:rsidRPr="008F64A0">
        <w:t>ņem vērā</w:t>
      </w:r>
      <w:r>
        <w:t xml:space="preserve"> metodiska nianse</w:t>
      </w:r>
      <w:r w:rsidR="00D401D3" w:rsidRPr="008F64A0">
        <w:t xml:space="preserve">, ka </w:t>
      </w:r>
      <w:r w:rsidR="00387F21">
        <w:t xml:space="preserve">pusei jeb 12 no kopumā 24 projektiem </w:t>
      </w:r>
      <w:r w:rsidR="00D401D3" w:rsidRPr="008F64A0">
        <w:t xml:space="preserve">nebija definēti </w:t>
      </w:r>
      <w:r w:rsidR="00A708FD">
        <w:t>IDF</w:t>
      </w:r>
      <w:r w:rsidR="00D401D3" w:rsidRPr="008F64A0">
        <w:t xml:space="preserve"> nacionālajai programmai atbilstoši rezultatīvie rādītāji</w:t>
      </w:r>
      <w:r w:rsidR="00A708FD">
        <w:t xml:space="preserve"> vīzu un robežu jomā</w:t>
      </w:r>
      <w:r w:rsidR="00D401D3" w:rsidRPr="008F64A0">
        <w:t xml:space="preserve">. Neraugoties uz to, šiem projektiem tika noteikti specifiski īstenoto pasākumu rezultāti, kas sekmēja </w:t>
      </w:r>
      <w:r w:rsidR="00A708FD">
        <w:t>IDF vīzām un robežām</w:t>
      </w:r>
      <w:r w:rsidR="00D401D3" w:rsidRPr="008F64A0">
        <w:t xml:space="preserve"> noteikto mērķu sasniegšanu. Minētie projekti ietvēra</w:t>
      </w:r>
      <w:r w:rsidR="00170FB3" w:rsidRPr="00170FB3">
        <w:t xml:space="preserve"> robežu drošības un pārvaldības sistēmu modernizāciju, ietverot Šengenas Informācijas sistēmas (SIS II), SIRENE un citu saistīto tehnoloģisko risinājumu attīstību. Tika veikti būtiski uzlabojumi robežuzraudzības tehniskajā nodrošinājumā, tostarp jūras un gaisa robežu uzraudzības sistēmās, kā arī </w:t>
      </w:r>
      <w:r w:rsidR="0007412F">
        <w:t>BDAS</w:t>
      </w:r>
      <w:r w:rsidR="00170FB3" w:rsidRPr="00170FB3">
        <w:t>. Papildu tam tika īstenoti pasākumi vīzu izsniegšanas procesa pilnveidošanai un darbinieku kvalifikācijas celšanai</w:t>
      </w:r>
      <w:r w:rsidR="007416AF">
        <w:t>.</w:t>
      </w:r>
    </w:p>
    <w:p w14:paraId="44C763E8" w14:textId="05290FA9" w:rsidR="00D401D3" w:rsidRDefault="00D401D3" w:rsidP="00B5773A">
      <w:r w:rsidRPr="008F64A0">
        <w:t xml:space="preserve">Lai arī šo projektu īstenoto pasākumu kvantitatīvie rezultāti neatspoguļojas rezultatīvo rādītāju progresa uzskaitījumā, to sniegtais ieguldījums ir bijis nozīmīgs </w:t>
      </w:r>
      <w:r w:rsidR="00B5773A">
        <w:t>IDF</w:t>
      </w:r>
      <w:r w:rsidRPr="008F64A0">
        <w:t xml:space="preserve"> mērķu sasniegšanā. Projekti i</w:t>
      </w:r>
      <w:r w:rsidR="00B5773A">
        <w:t xml:space="preserve">r snieguši </w:t>
      </w:r>
      <w:r w:rsidR="00B07EC4">
        <w:t xml:space="preserve">nozīmīgu ieguldījumu VRS materiāltehniskās bāzes uzlabošanai, kā arī sadarbspējas ietvara stiprināšanai starp Latviju un ES. IDF vīzām un robežām ir devusi </w:t>
      </w:r>
      <w:r w:rsidR="00B5773A">
        <w:t xml:space="preserve">ieguldījumu </w:t>
      </w:r>
      <w:r w:rsidR="00B5773A" w:rsidRPr="00B5773A">
        <w:t xml:space="preserve">drošības līmeņa </w:t>
      </w:r>
      <w:r w:rsidR="00B5773A">
        <w:t xml:space="preserve">uzlabošanai un </w:t>
      </w:r>
      <w:r w:rsidR="00B5773A" w:rsidRPr="00B5773A">
        <w:t>likumīg</w:t>
      </w:r>
      <w:r w:rsidR="00B5773A">
        <w:t>as</w:t>
      </w:r>
      <w:r w:rsidR="00B5773A" w:rsidRPr="00B5773A">
        <w:t xml:space="preserve"> ceļošan</w:t>
      </w:r>
      <w:r w:rsidR="00B5773A">
        <w:t>as atvieglošanai</w:t>
      </w:r>
      <w:r w:rsidR="00B5773A" w:rsidRPr="00B5773A">
        <w:t>,</w:t>
      </w:r>
      <w:r w:rsidR="00B5773A">
        <w:t xml:space="preserve"> kā arī īstenojuši aktivitātes, kas vērstas uz </w:t>
      </w:r>
      <w:r w:rsidR="00B5773A" w:rsidRPr="00B5773A">
        <w:t>vienot</w:t>
      </w:r>
      <w:r w:rsidR="00B5773A">
        <w:t xml:space="preserve">as </w:t>
      </w:r>
      <w:r w:rsidR="00B5773A" w:rsidRPr="00B5773A">
        <w:t>un augsta līmeņa ārējo robežu kontrol</w:t>
      </w:r>
      <w:r w:rsidR="00B5773A">
        <w:t>es</w:t>
      </w:r>
      <w:r w:rsidR="00B5773A" w:rsidRPr="00B5773A">
        <w:t xml:space="preserve"> un efektīvu Šengenas vīzu apstrād</w:t>
      </w:r>
      <w:r w:rsidR="00B5773A">
        <w:t xml:space="preserve">es nodrošināšanu. </w:t>
      </w:r>
    </w:p>
    <w:p w14:paraId="4D0D1932" w14:textId="13F27006" w:rsidR="00CF42A1" w:rsidRDefault="00CF42A1" w:rsidP="00CF42A1">
      <w:r w:rsidRPr="00CF42A1">
        <w:t>Veiktā</w:t>
      </w:r>
      <w:r w:rsidR="00E95C04">
        <w:t>s</w:t>
      </w:r>
      <w:r w:rsidRPr="00CF42A1">
        <w:t xml:space="preserve"> finansējuma saņēmēju aptaujas rezultāti atklāj, ka </w:t>
      </w:r>
      <w:r w:rsidR="009C4B30">
        <w:t>58</w:t>
      </w:r>
      <w:r w:rsidRPr="00CF42A1">
        <w:t xml:space="preserve"> % respondentu vērtē projektu mērķu sasniegšanu kā pilnībā īstenotu, savukārt </w:t>
      </w:r>
      <w:r w:rsidR="001E57C8">
        <w:t>42</w:t>
      </w:r>
      <w:r w:rsidRPr="00CF42A1">
        <w:t> % norāda uz daļēju mērķu sasniegšanu, turpinot to īstenošanu Iekšlietu fondu programmu 2021.-</w:t>
      </w:r>
      <w:r w:rsidR="00E95C04">
        <w:t xml:space="preserve"> </w:t>
      </w:r>
      <w:r w:rsidRPr="00CF42A1">
        <w:t>2027. gada plānošanas periodā (</w:t>
      </w:r>
      <w:r w:rsidR="00354FE3">
        <w:fldChar w:fldCharType="begin"/>
      </w:r>
      <w:r w:rsidR="00354FE3">
        <w:instrText xml:space="preserve"> REF _Ref190869162 \h </w:instrText>
      </w:r>
      <w:r w:rsidR="00354FE3">
        <w:fldChar w:fldCharType="separate"/>
      </w:r>
      <w:r w:rsidR="000523B6">
        <w:t xml:space="preserve">Attēls </w:t>
      </w:r>
      <w:r w:rsidR="000523B6">
        <w:rPr>
          <w:noProof/>
        </w:rPr>
        <w:t>16</w:t>
      </w:r>
      <w:r w:rsidR="00354FE3">
        <w:fldChar w:fldCharType="end"/>
      </w:r>
      <w:r w:rsidRPr="00CF42A1">
        <w:t xml:space="preserve">). </w:t>
      </w:r>
    </w:p>
    <w:p w14:paraId="3E630099" w14:textId="4770FAF7" w:rsidR="00354FE3" w:rsidRDefault="00354FE3" w:rsidP="00354FE3">
      <w:pPr>
        <w:pStyle w:val="GraphTitle"/>
      </w:pPr>
      <w:bookmarkStart w:id="60" w:name="_Ref190869162"/>
      <w:bookmarkStart w:id="61" w:name="_Ref191388617"/>
      <w:r>
        <w:t xml:space="preserve">Attēls </w:t>
      </w:r>
      <w:r w:rsidR="00C47EA2">
        <w:fldChar w:fldCharType="begin"/>
      </w:r>
      <w:r w:rsidR="00C47EA2">
        <w:instrText xml:space="preserve"> SEQ Attēls \* ARABIC </w:instrText>
      </w:r>
      <w:r w:rsidR="00C47EA2">
        <w:fldChar w:fldCharType="separate"/>
      </w:r>
      <w:r w:rsidR="000523B6">
        <w:t>16</w:t>
      </w:r>
      <w:r w:rsidR="00C47EA2">
        <w:fldChar w:fldCharType="end"/>
      </w:r>
      <w:bookmarkEnd w:id="60"/>
      <w:r>
        <w:t xml:space="preserve">. </w:t>
      </w:r>
      <w:r w:rsidRPr="00B82C84">
        <w:t>Finansējuma saņēmēju vērtējums par projektu mērķu sasniegšanu</w:t>
      </w:r>
      <w:bookmarkEnd w:id="61"/>
    </w:p>
    <w:p w14:paraId="7B4D2A5A" w14:textId="22B303EC" w:rsidR="00DE491D" w:rsidRDefault="0039426D" w:rsidP="00CF42A1">
      <w:r>
        <w:rPr>
          <w:noProof/>
        </w:rPr>
        <w:drawing>
          <wp:inline distT="0" distB="0" distL="0" distR="0" wp14:anchorId="48AA479B" wp14:editId="31B790C5">
            <wp:extent cx="6546850" cy="1136650"/>
            <wp:effectExtent l="0" t="0" r="6350" b="6350"/>
            <wp:docPr id="1278785692" name="Chart 1">
              <a:extLst xmlns:a="http://schemas.openxmlformats.org/drawingml/2006/main">
                <a:ext uri="{FF2B5EF4-FFF2-40B4-BE49-F238E27FC236}">
                  <a16:creationId xmlns:a16="http://schemas.microsoft.com/office/drawing/2014/main" id="{C1F9C5AD-0538-477A-9182-371E362F70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5D15CDE" w14:textId="79C6C923" w:rsidR="001339BB" w:rsidRPr="00785D09" w:rsidRDefault="001339BB" w:rsidP="001339BB">
      <w:pPr>
        <w:jc w:val="right"/>
        <w:rPr>
          <w:rStyle w:val="Izsmalcintsizclums"/>
        </w:rPr>
      </w:pPr>
      <w:r w:rsidRPr="00785D09">
        <w:rPr>
          <w:rStyle w:val="Izsmalcintsizclums"/>
        </w:rPr>
        <w:t>Avots: Finansējuma saņēmēju aptauja, n=12</w:t>
      </w:r>
    </w:p>
    <w:p w14:paraId="7FE39BFA" w14:textId="6C11F7F4" w:rsidR="00FD5223" w:rsidRPr="00FD5223" w:rsidRDefault="00FD5223" w:rsidP="00FD5223">
      <w:r w:rsidRPr="00FD5223">
        <w:t xml:space="preserve">IDF ietvaros robežu un vīzu jomā tika identificēti vairāki būtiski veicinošie faktori. Nozīmīga loma bija starptautiskajai sadarbībai, īpaši ar Baltijas jūras reģiona valstīm, kur </w:t>
      </w:r>
      <w:r w:rsidR="00CF42A1">
        <w:t xml:space="preserve">izveidojusies </w:t>
      </w:r>
      <w:r w:rsidRPr="00FD5223">
        <w:t xml:space="preserve">veiksmīga pieredzes </w:t>
      </w:r>
      <w:r w:rsidRPr="00FD5223">
        <w:lastRenderedPageBreak/>
        <w:t>apmaiņa</w:t>
      </w:r>
      <w:r>
        <w:t xml:space="preserve">, piemēram, </w:t>
      </w:r>
      <w:r w:rsidR="00CF42A1" w:rsidRPr="00FD5223">
        <w:t>ar Igauniju</w:t>
      </w:r>
      <w:r w:rsidR="00CF42A1">
        <w:t xml:space="preserve"> </w:t>
      </w:r>
      <w:r>
        <w:t xml:space="preserve">robežu </w:t>
      </w:r>
      <w:r w:rsidR="00183B99">
        <w:t>uzraudzības jomā</w:t>
      </w:r>
      <w:r w:rsidRPr="00FD5223">
        <w:t>. Šī sadarbība sniedza iespēju pārņemt labās prakses piemērus un pieredzi.</w:t>
      </w:r>
      <w:r w:rsidR="008A1182">
        <w:t xml:space="preserve"> </w:t>
      </w:r>
      <w:r w:rsidR="007B6488">
        <w:t xml:space="preserve">Līdzīgi arī Šengenas vīzu apstrādes apmācību jomā tiek </w:t>
      </w:r>
      <w:r w:rsidR="009E3739">
        <w:t>mērķtiecīgi</w:t>
      </w:r>
      <w:r w:rsidR="007B6488">
        <w:t xml:space="preserve"> attīstīta sadarbība ar citām </w:t>
      </w:r>
      <w:r w:rsidR="009E3739">
        <w:t>v</w:t>
      </w:r>
      <w:r w:rsidR="007B6488">
        <w:t xml:space="preserve">alstīm, </w:t>
      </w:r>
      <w:r w:rsidR="009E3739">
        <w:t xml:space="preserve">fokusējoties uz vietām, kurās ir lielas migrācijas plūsmas, pieaicinot vietējos un ārvalstu imigrācijas ekspertus un citus speciālistus. </w:t>
      </w:r>
    </w:p>
    <w:p w14:paraId="59E3BE9A" w14:textId="06CC9CDB" w:rsidR="00FD5223" w:rsidRPr="00FD5223" w:rsidRDefault="00CF42A1" w:rsidP="00FD5223">
      <w:r>
        <w:t>Finansējuma saņēmēji kā papildu veicinošu faktoru aktivitāšu ieviešanā identificē s</w:t>
      </w:r>
      <w:r w:rsidR="00FD5223" w:rsidRPr="00FD5223">
        <w:t>tarpinstitucionāl</w:t>
      </w:r>
      <w:r>
        <w:t>o</w:t>
      </w:r>
      <w:r w:rsidR="00FD5223" w:rsidRPr="00FD5223">
        <w:t xml:space="preserve"> sadarbīb</w:t>
      </w:r>
      <w:r>
        <w:t>u</w:t>
      </w:r>
      <w:r w:rsidR="00E43DAF">
        <w:t xml:space="preserve">. Piemēram, </w:t>
      </w:r>
      <w:r w:rsidR="00FD5223" w:rsidRPr="00FD5223">
        <w:t>mācību organizēšan</w:t>
      </w:r>
      <w:r w:rsidR="00E43DAF">
        <w:t>ā</w:t>
      </w:r>
      <w:r>
        <w:t xml:space="preserve"> par vīzu jautājumiem tika iesaistīti </w:t>
      </w:r>
      <w:r w:rsidR="00FD5223" w:rsidRPr="00FD5223">
        <w:t>dažādu institūciju pārstāvj</w:t>
      </w:r>
      <w:r>
        <w:t>i</w:t>
      </w:r>
      <w:r w:rsidR="00FD5223" w:rsidRPr="00FD5223">
        <w:t>, tostarp valsts robežsarg</w:t>
      </w:r>
      <w:r w:rsidR="00B27BD9">
        <w:t>i</w:t>
      </w:r>
      <w:r w:rsidR="00FD5223" w:rsidRPr="00FD5223">
        <w:t>,</w:t>
      </w:r>
      <w:r>
        <w:t xml:space="preserve"> un tas nodrošināja </w:t>
      </w:r>
      <w:r w:rsidR="00FD5223" w:rsidRPr="00FD5223">
        <w:t xml:space="preserve">ne tikai zināšanu un prasmju </w:t>
      </w:r>
      <w:r>
        <w:t>uzlabošanu</w:t>
      </w:r>
      <w:r w:rsidR="00FD5223" w:rsidRPr="00FD5223">
        <w:t xml:space="preserve"> personu identificēšanas jomā, bet arī veicinā</w:t>
      </w:r>
      <w:r>
        <w:t>ja</w:t>
      </w:r>
      <w:r w:rsidR="00FD5223" w:rsidRPr="00FD5223">
        <w:t xml:space="preserve"> efektīva starpinstitucionālā sadarbības tīkla izveid</w:t>
      </w:r>
      <w:r>
        <w:t>i</w:t>
      </w:r>
      <w:r w:rsidR="00FD5223" w:rsidRPr="00FD5223">
        <w:t>. Izveidotais kontaktu tīkls būtiski uzlaboja horizontālo komunikāciju starp valsts pārvaldes iestādēm</w:t>
      </w:r>
      <w:r w:rsidR="00E43DAF">
        <w:t>, piemēram,</w:t>
      </w:r>
      <w:r w:rsidR="00FD5223" w:rsidRPr="00FD5223">
        <w:t xml:space="preserve"> Šengenas zonas jautājumu risināšanā.</w:t>
      </w:r>
    </w:p>
    <w:p w14:paraId="111412A8" w14:textId="7CA6D6EB" w:rsidR="00FD5223" w:rsidRPr="00FD5223" w:rsidRDefault="00FD5223" w:rsidP="00FD5223">
      <w:r w:rsidRPr="00FD5223">
        <w:t>Kā trešais veicinošais faktors</w:t>
      </w:r>
      <w:r w:rsidR="00E43DAF">
        <w:t xml:space="preserve">, ko norāda finansējuma saņēmēji, ir </w:t>
      </w:r>
      <w:r w:rsidRPr="00FD5223">
        <w:t>konstruktīvā sadarbība ar atbildīgo iestādi, kas nodrošināja operatīvu problēmsituāciju risināšanu</w:t>
      </w:r>
      <w:r w:rsidR="00E43DAF">
        <w:t xml:space="preserve">, lai sekmētu projektu ieviešanu un mērķu sasniegšanu. </w:t>
      </w:r>
    </w:p>
    <w:p w14:paraId="7E14E243" w14:textId="4741223F" w:rsidR="00834B6F" w:rsidRDefault="00834B6F" w:rsidP="00834B6F">
      <w:r>
        <w:t>Finansējuma saņēmēj</w:t>
      </w:r>
      <w:r w:rsidR="00AF6A96">
        <w:t>i</w:t>
      </w:r>
      <w:r>
        <w:t xml:space="preserve"> </w:t>
      </w:r>
      <w:r w:rsidR="00AF6A96">
        <w:t>aptaujā kā nozīmīgāko</w:t>
      </w:r>
      <w:r w:rsidR="00EC1E62">
        <w:t xml:space="preserve"> faktoru, kas veicinājis projektu ieviešanu,</w:t>
      </w:r>
      <w:r>
        <w:t xml:space="preserve"> iepriekšēj</w:t>
      </w:r>
      <w:r w:rsidR="00EC1E62">
        <w:t>o</w:t>
      </w:r>
      <w:r>
        <w:t xml:space="preserve"> projektu vadības pieredz</w:t>
      </w:r>
      <w:r w:rsidR="00EC1E62">
        <w:t xml:space="preserve">i. Tāpat finansējuma saņēmēji norāda arī </w:t>
      </w:r>
      <w:r w:rsidR="00B44A3D">
        <w:t xml:space="preserve">regulāru </w:t>
      </w:r>
      <w:r w:rsidR="00EC779D">
        <w:t xml:space="preserve">komunikāciju un </w:t>
      </w:r>
      <w:r w:rsidR="00B44A3D">
        <w:t>sadarbību</w:t>
      </w:r>
      <w:r w:rsidR="00EC779D">
        <w:t xml:space="preserve"> ar atbildīgo iestādi </w:t>
      </w:r>
      <w:r>
        <w:t>(</w:t>
      </w:r>
      <w:r w:rsidR="00AF2AF9">
        <w:fldChar w:fldCharType="begin"/>
      </w:r>
      <w:r w:rsidR="00AF2AF9">
        <w:instrText xml:space="preserve"> REF _Ref190869399 \h </w:instrText>
      </w:r>
      <w:r w:rsidR="00AF2AF9">
        <w:fldChar w:fldCharType="separate"/>
      </w:r>
      <w:r w:rsidR="000523B6">
        <w:t xml:space="preserve">Attēls </w:t>
      </w:r>
      <w:r w:rsidR="000523B6">
        <w:rPr>
          <w:noProof/>
        </w:rPr>
        <w:t>17</w:t>
      </w:r>
      <w:r w:rsidR="00AF2AF9">
        <w:fldChar w:fldCharType="end"/>
      </w:r>
      <w:r>
        <w:t>).</w:t>
      </w:r>
    </w:p>
    <w:p w14:paraId="75F0CB92" w14:textId="6EF606D0" w:rsidR="00CC1CAF" w:rsidRDefault="00CC1CAF" w:rsidP="00CC1CAF">
      <w:pPr>
        <w:pStyle w:val="GraphTitle"/>
      </w:pPr>
      <w:bookmarkStart w:id="62" w:name="_Ref190869399"/>
      <w:bookmarkStart w:id="63" w:name="_Ref191388619"/>
      <w:r>
        <w:t xml:space="preserve">Attēls </w:t>
      </w:r>
      <w:r w:rsidR="00C47EA2">
        <w:fldChar w:fldCharType="begin"/>
      </w:r>
      <w:r w:rsidR="00C47EA2">
        <w:instrText xml:space="preserve"> SEQ Attēls \* ARABIC </w:instrText>
      </w:r>
      <w:r w:rsidR="00C47EA2">
        <w:fldChar w:fldCharType="separate"/>
      </w:r>
      <w:r w:rsidR="000523B6">
        <w:t>17</w:t>
      </w:r>
      <w:r w:rsidR="00C47EA2">
        <w:fldChar w:fldCharType="end"/>
      </w:r>
      <w:bookmarkEnd w:id="62"/>
      <w:r>
        <w:t xml:space="preserve">. </w:t>
      </w:r>
      <w:r w:rsidRPr="00D6388D">
        <w:t>Finansējuma saņēmēju vērtējums par faktoriem, kas veicināja projektu īstenošanu</w:t>
      </w:r>
      <w:bookmarkEnd w:id="63"/>
    </w:p>
    <w:p w14:paraId="02BE977D" w14:textId="7C0CB770" w:rsidR="001218DA" w:rsidRPr="008F64A0" w:rsidRDefault="002D058C" w:rsidP="00834B6F">
      <w:r>
        <w:rPr>
          <w:noProof/>
        </w:rPr>
        <w:drawing>
          <wp:inline distT="0" distB="0" distL="0" distR="0" wp14:anchorId="0EE643F8" wp14:editId="6A39B2C6">
            <wp:extent cx="6540500" cy="2292350"/>
            <wp:effectExtent l="0" t="0" r="0" b="0"/>
            <wp:docPr id="1524700899" name="Chart 1">
              <a:extLst xmlns:a="http://schemas.openxmlformats.org/drawingml/2006/main">
                <a:ext uri="{FF2B5EF4-FFF2-40B4-BE49-F238E27FC236}">
                  <a16:creationId xmlns:a16="http://schemas.microsoft.com/office/drawing/2014/main" id="{5E61BCF6-08D0-4964-8BC5-B15D1FE3EA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71FD0BB" w14:textId="6A9704CB" w:rsidR="00FF0870" w:rsidRPr="00785D09" w:rsidRDefault="00FF0870" w:rsidP="00FF0870">
      <w:pPr>
        <w:jc w:val="right"/>
        <w:rPr>
          <w:rStyle w:val="Izsmalcintsizclums"/>
        </w:rPr>
      </w:pPr>
      <w:r w:rsidRPr="00785D09">
        <w:rPr>
          <w:rStyle w:val="Izsmalcintsizclums"/>
        </w:rPr>
        <w:t>Avots: Finansējuma saņēmēju aptauja, n=12</w:t>
      </w:r>
    </w:p>
    <w:p w14:paraId="1DEDF0D7" w14:textId="400E28F8" w:rsidR="004428A1" w:rsidRDefault="004428A1" w:rsidP="00B901AF">
      <w:r>
        <w:t xml:space="preserve">Savukārt Programmas uzraudzības aspektā kā labo praksi revīzijas iestādes pārstāvji identificē projektu plānošanu un īstenošana primāri viena resora ietvaros. Piemēram, izveidotā projektu uzraudzības padome tiek vērtēts kā efektīvs mehānisms, lai risinātu kopīgas problēmas un nodrošinātu efektīvāku projektu īstenošanu. </w:t>
      </w:r>
      <w:r w:rsidR="00F016ED">
        <w:t>Turklāt</w:t>
      </w:r>
      <w:r>
        <w:t xml:space="preserve">, tā kā finansējuma saņēmēji lielākoties ir IeM padotības iestādes, ir nodrošināti papildu sadarbības un kontroles mehānismi starp </w:t>
      </w:r>
      <w:r w:rsidR="00517E2B">
        <w:t>atbildīgo</w:t>
      </w:r>
      <w:r>
        <w:t xml:space="preserve"> iestādi un finansējuma saņēmējiem. </w:t>
      </w:r>
      <w:r w:rsidR="00F016ED">
        <w:t xml:space="preserve">Tomēr vienlaikus Programmas plānošana un īstenošana viena resora ietvaros ierobežo </w:t>
      </w:r>
      <w:r w:rsidR="00F016ED" w:rsidRPr="00BD705A">
        <w:t>plašāka stratēģiskā redzējuma un starpnozaru perspektīvas</w:t>
      </w:r>
      <w:r w:rsidR="00F016ED">
        <w:t xml:space="preserve"> integrēšanu Programmas aktivitātēs</w:t>
      </w:r>
      <w:r w:rsidR="00F016ED" w:rsidRPr="00BD705A">
        <w:t>.</w:t>
      </w:r>
    </w:p>
    <w:p w14:paraId="68ACB49E" w14:textId="11EE4B38" w:rsidR="00B901AF" w:rsidRDefault="00B901AF" w:rsidP="00B901AF">
      <w:r w:rsidRPr="00B901AF">
        <w:t>IDF nacionālās programmas īstenošanas analīze, balstoties uz finansējuma saņēmēju aptaujas rezultātiem, trīs galvenos ārējos izaicinājumus, kas ietekmēja projekta mērķu sasniegšanu un līdz ar to arī kopējo Programmas mērķu īstenošanu.</w:t>
      </w:r>
      <w:r w:rsidR="000A6C98">
        <w:t xml:space="preserve"> </w:t>
      </w:r>
      <w:r w:rsidR="009D34D5">
        <w:t>Izaicinājum</w:t>
      </w:r>
      <w:r w:rsidR="00CF0143">
        <w:t>i</w:t>
      </w:r>
      <w:r w:rsidR="009D34D5">
        <w:t xml:space="preserve"> ir bij</w:t>
      </w:r>
      <w:r w:rsidR="00CF0143">
        <w:t>uši saistīti ar</w:t>
      </w:r>
      <w:r w:rsidR="009D34D5">
        <w:t xml:space="preserve"> </w:t>
      </w:r>
      <w:r w:rsidR="000A6C98" w:rsidRPr="00B901AF">
        <w:t>Krievijas militārā iebrukuma Ukrainā izraisītās sekas, kas veidojas gan kā vispārējs cenu līmeņa kāpums, gan kā piegādes ķēžu pārrāvumus</w:t>
      </w:r>
      <w:r w:rsidR="009D34D5">
        <w:t xml:space="preserve">, </w:t>
      </w:r>
      <w:r w:rsidR="006B3FC9">
        <w:t xml:space="preserve">ar </w:t>
      </w:r>
      <w:r w:rsidR="006E4DD0">
        <w:t xml:space="preserve">aspektiem, kas saistīti </w:t>
      </w:r>
      <w:r w:rsidR="006B3FC9">
        <w:t>iepirkumu procedūru</w:t>
      </w:r>
      <w:r w:rsidR="006E4DD0">
        <w:t xml:space="preserve"> sagatavošanu un īstenošanu, kā arī </w:t>
      </w:r>
      <w:r w:rsidRPr="00B901AF">
        <w:t xml:space="preserve">ģeopolitiskās izmaiņas, </w:t>
      </w:r>
      <w:r w:rsidRPr="00B901AF">
        <w:lastRenderedPageBreak/>
        <w:t xml:space="preserve">kas izpaudās, piemēram, </w:t>
      </w:r>
      <w:r w:rsidR="00AC6254">
        <w:t xml:space="preserve"> nelegālās </w:t>
      </w:r>
      <w:r w:rsidRPr="00B901AF">
        <w:t>migrācijas plūsmu intensitātes pieaugumā un ārējās drošības risku eskalācijā</w:t>
      </w:r>
      <w:r w:rsidR="008D327F">
        <w:t xml:space="preserve"> </w:t>
      </w:r>
      <w:r w:rsidRPr="00B901AF">
        <w:t>(</w:t>
      </w:r>
      <w:r w:rsidR="00394240">
        <w:fldChar w:fldCharType="begin"/>
      </w:r>
      <w:r w:rsidR="00394240">
        <w:instrText xml:space="preserve"> REF _Ref190869862 \h </w:instrText>
      </w:r>
      <w:r w:rsidR="00394240">
        <w:fldChar w:fldCharType="separate"/>
      </w:r>
      <w:r w:rsidR="000523B6">
        <w:t xml:space="preserve">Attēls </w:t>
      </w:r>
      <w:r w:rsidR="000523B6">
        <w:rPr>
          <w:noProof/>
        </w:rPr>
        <w:t>18</w:t>
      </w:r>
      <w:r w:rsidR="00394240">
        <w:fldChar w:fldCharType="end"/>
      </w:r>
      <w:r w:rsidR="00C87492">
        <w:t>)</w:t>
      </w:r>
      <w:r w:rsidRPr="00B901AF">
        <w:t>.</w:t>
      </w:r>
      <w:r>
        <w:t xml:space="preserve"> </w:t>
      </w:r>
    </w:p>
    <w:p w14:paraId="114A0E82" w14:textId="67816F1A" w:rsidR="00BB636E" w:rsidRDefault="00BB636E" w:rsidP="00BC2A2A">
      <w:pPr>
        <w:pStyle w:val="GraphTitle"/>
      </w:pPr>
      <w:bookmarkStart w:id="64" w:name="_Ref190869862"/>
      <w:bookmarkStart w:id="65" w:name="_Ref191388620"/>
      <w:r>
        <w:t xml:space="preserve">Attēls </w:t>
      </w:r>
      <w:r w:rsidR="00C47EA2">
        <w:fldChar w:fldCharType="begin"/>
      </w:r>
      <w:r w:rsidR="00C47EA2">
        <w:instrText xml:space="preserve"> SEQ Attēls \* ARABIC </w:instrText>
      </w:r>
      <w:r w:rsidR="00C47EA2">
        <w:fldChar w:fldCharType="separate"/>
      </w:r>
      <w:r w:rsidR="000523B6">
        <w:t>18</w:t>
      </w:r>
      <w:r w:rsidR="00C47EA2">
        <w:fldChar w:fldCharType="end"/>
      </w:r>
      <w:bookmarkEnd w:id="64"/>
      <w:r>
        <w:t xml:space="preserve">. </w:t>
      </w:r>
      <w:r w:rsidRPr="00EF7B5B">
        <w:t>Finansējuma saņēmēju vērtējums par faktoriem, kas ietekmēja projektu mērķu sasniegšanu</w:t>
      </w:r>
      <w:bookmarkEnd w:id="65"/>
    </w:p>
    <w:p w14:paraId="5F88F85C" w14:textId="5AF162CD" w:rsidR="00EF049E" w:rsidRPr="008F64A0" w:rsidRDefault="00203BEB" w:rsidP="00B901AF">
      <w:r>
        <w:rPr>
          <w:noProof/>
        </w:rPr>
        <w:drawing>
          <wp:inline distT="0" distB="0" distL="0" distR="0" wp14:anchorId="796844F6" wp14:editId="428C54A2">
            <wp:extent cx="6477000" cy="2508250"/>
            <wp:effectExtent l="0" t="0" r="0" b="6350"/>
            <wp:docPr id="627019943" name="Chart 1">
              <a:extLst xmlns:a="http://schemas.openxmlformats.org/drawingml/2006/main">
                <a:ext uri="{FF2B5EF4-FFF2-40B4-BE49-F238E27FC236}">
                  <a16:creationId xmlns:a16="http://schemas.microsoft.com/office/drawing/2014/main" id="{9A40A706-544B-4CE2-874B-CE7A6EF43B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1E4647D" w14:textId="17E65780" w:rsidR="00BC2A2A" w:rsidRPr="00785D09" w:rsidRDefault="00BC2A2A" w:rsidP="00BC2A2A">
      <w:pPr>
        <w:jc w:val="right"/>
        <w:rPr>
          <w:rStyle w:val="Izsmalcintsizclums"/>
        </w:rPr>
      </w:pPr>
      <w:r w:rsidRPr="00785D09">
        <w:rPr>
          <w:rStyle w:val="Izsmalcintsizclums"/>
        </w:rPr>
        <w:t>Avots: Finansējuma saņēmēju aptauja, n=12</w:t>
      </w:r>
    </w:p>
    <w:p w14:paraId="0E7AF4FE" w14:textId="4FFAC021" w:rsidR="00CC3FEB" w:rsidRPr="00CC3FEB" w:rsidRDefault="00CC3FEB" w:rsidP="00CC3FEB">
      <w:pPr>
        <w:rPr>
          <w:rFonts w:cstheme="minorHAnsi"/>
        </w:rPr>
      </w:pPr>
      <w:r w:rsidRPr="00CC3FEB">
        <w:rPr>
          <w:rFonts w:cstheme="minorHAnsi"/>
        </w:rPr>
        <w:t>Finansējuma saņēmēji norāda, ka Covid-19 pandēmija radīja būtiskus ierobežojumus, pārveidojot klātienes mācības attālinātā formātā. Ņemot vērā nozares specifiku, šī pieeja nebija optimāla, jo apgrūtināja nozīmīgu apmācību daļu īstenošanu gan ierobežotas informācijas pieejamības dēļ, gan nespējas nodrošināt praktiskos mācību elementus, piemēram, dokumentu atpazīšanu.</w:t>
      </w:r>
    </w:p>
    <w:p w14:paraId="383C8B46" w14:textId="77777777" w:rsidR="00CC3FEB" w:rsidRPr="00CC3FEB" w:rsidRDefault="00CC3FEB" w:rsidP="00CC3FEB">
      <w:pPr>
        <w:rPr>
          <w:rFonts w:cstheme="minorHAnsi"/>
        </w:rPr>
      </w:pPr>
      <w:r w:rsidRPr="00CC3FEB">
        <w:rPr>
          <w:rFonts w:cstheme="minorHAnsi"/>
        </w:rPr>
        <w:t>Ģeopolitiskās pārmaiņas un karadarbība Ukrainā no vienas puses radīja migrācijas spiedienu uz Latvijas ārējo robežu un palielināja nepieciešamību to stiprināt, bet no otras puses ietekmēja projekta rezultātus, samazinot izsniegto vīzu skaitu un ierobežojot iesaistīto pārstāvniecību apjomu.</w:t>
      </w:r>
    </w:p>
    <w:p w14:paraId="774256A4" w14:textId="1191C4FE" w:rsidR="00CC3FEB" w:rsidRPr="00CC3FEB" w:rsidRDefault="00CC3FEB" w:rsidP="00CC3FEB">
      <w:pPr>
        <w:rPr>
          <w:rFonts w:cstheme="minorHAnsi"/>
        </w:rPr>
      </w:pPr>
      <w:r w:rsidRPr="00CC3FEB">
        <w:rPr>
          <w:rFonts w:cstheme="minorHAnsi"/>
        </w:rPr>
        <w:t>Papildu izaicinājumi bija saistīti ar sarežģītajām iepirkuma procedūrām</w:t>
      </w:r>
      <w:r w:rsidR="00B901AF">
        <w:rPr>
          <w:rFonts w:cstheme="minorHAnsi"/>
        </w:rPr>
        <w:t xml:space="preserve">. Piemēram, </w:t>
      </w:r>
      <w:r w:rsidRPr="00CC3FEB">
        <w:rPr>
          <w:rFonts w:cstheme="minorHAnsi"/>
        </w:rPr>
        <w:t>Baltijas tirgū ne vienmēr bija pieejami nepieciešamie risinājumi, kas lika meklēt</w:t>
      </w:r>
      <w:r w:rsidR="00B901AF">
        <w:rPr>
          <w:rFonts w:cstheme="minorHAnsi"/>
        </w:rPr>
        <w:t xml:space="preserve"> iespējas piesaistīt</w:t>
      </w:r>
      <w:r w:rsidRPr="00CC3FEB">
        <w:rPr>
          <w:rFonts w:cstheme="minorHAnsi"/>
        </w:rPr>
        <w:t xml:space="preserve"> ārvalstu piegādātājus. Vienlaikus nepārtrauktā tehnoloģiskā attīstība radīja nepieciešamību regulāri pārskatīt izvēlētās pieejas</w:t>
      </w:r>
      <w:r w:rsidR="00B901AF">
        <w:rPr>
          <w:rFonts w:cstheme="minorHAnsi"/>
        </w:rPr>
        <w:t xml:space="preserve"> projekta risinājumiem, t.sk. IT sistēmu attīstībā</w:t>
      </w:r>
      <w:r w:rsidRPr="00CC3FEB">
        <w:rPr>
          <w:rFonts w:cstheme="minorHAnsi"/>
        </w:rPr>
        <w:t>. Tāpat finansējuma saņēmējiem bija ierobežota projektu vadības kapacitāte, kas ietekmēja spēju īstenot plānotos pasākumus noteiktajos termiņos.</w:t>
      </w:r>
    </w:p>
    <w:p w14:paraId="13E8E787" w14:textId="71F1FEDE" w:rsidR="00B46E1A" w:rsidRDefault="00CC3FEB" w:rsidP="00CC3FEB">
      <w:pPr>
        <w:rPr>
          <w:rFonts w:cstheme="minorHAnsi"/>
        </w:rPr>
      </w:pPr>
      <w:r w:rsidRPr="00CC3FEB">
        <w:rPr>
          <w:rFonts w:cstheme="minorHAnsi"/>
        </w:rPr>
        <w:t xml:space="preserve">Projektu rezultātu sasniegšanu ietekmēja arī citi ārējie faktori, piemēram, </w:t>
      </w:r>
      <w:r w:rsidR="008324DA">
        <w:rPr>
          <w:rFonts w:cstheme="minorHAnsi"/>
        </w:rPr>
        <w:t>sadarb</w:t>
      </w:r>
      <w:r w:rsidR="0087163B">
        <w:rPr>
          <w:rFonts w:cstheme="minorHAnsi"/>
        </w:rPr>
        <w:t>sp</w:t>
      </w:r>
      <w:r w:rsidR="008324DA">
        <w:rPr>
          <w:rFonts w:cstheme="minorHAnsi"/>
        </w:rPr>
        <w:t>ējas projekt</w:t>
      </w:r>
      <w:r w:rsidR="0087163B">
        <w:rPr>
          <w:rFonts w:cstheme="minorHAnsi"/>
        </w:rPr>
        <w:t>u</w:t>
      </w:r>
      <w:r w:rsidR="008324DA">
        <w:rPr>
          <w:rFonts w:cstheme="minorHAnsi"/>
        </w:rPr>
        <w:t xml:space="preserve">, kas saistīti ar </w:t>
      </w:r>
      <w:r w:rsidRPr="00CC3FEB">
        <w:rPr>
          <w:rFonts w:cstheme="minorHAnsi"/>
        </w:rPr>
        <w:t>IIS un ETIAS ieviešanu</w:t>
      </w:r>
      <w:r w:rsidR="0087163B">
        <w:rPr>
          <w:rFonts w:cstheme="minorHAnsi"/>
        </w:rPr>
        <w:t>,</w:t>
      </w:r>
      <w:r w:rsidRPr="00CC3FEB">
        <w:rPr>
          <w:rFonts w:cstheme="minorHAnsi"/>
        </w:rPr>
        <w:t xml:space="preserve"> kavēja eu-LISA organizētās centrālās sistēmas ieviešanas process, kurā vairākkārt tika mainīti sistēmu izstrādes termiņi un prasības, vienlaikus trūkstot skaidrām vadlīnijām par sistēmu elementiem.</w:t>
      </w:r>
      <w:r w:rsidR="007A7E43">
        <w:rPr>
          <w:rFonts w:cstheme="minorHAnsi"/>
        </w:rPr>
        <w:t xml:space="preserve"> Tā rezultātā atsevišķu sākotnēji plānoto aktivitāšu ieviešana ir pārcelta uz 2021. – 2027. gada plānošanas periodu.</w:t>
      </w:r>
    </w:p>
    <w:p w14:paraId="4BC00E99" w14:textId="1F73127B" w:rsidR="00B75B3D" w:rsidRDefault="00074A64" w:rsidP="00CC3FEB">
      <w:pPr>
        <w:rPr>
          <w:rFonts w:cstheme="minorHAnsi"/>
        </w:rPr>
      </w:pPr>
      <w:r w:rsidRPr="00074A64">
        <w:rPr>
          <w:rFonts w:cstheme="minorHAnsi"/>
        </w:rPr>
        <w:t>Revīzijas un atbildīgās iestādes pārstāvji atzīmē, ka Programma nodrošināja elastīgu pieeju, ļaujot pielāgot sākotnēji plānotās aktivitātes un turpināt nesasniegto rezultātu īstenošanu nākamajā plānošanas periodā. Lai arī šāda pielāgošanās bija pamatota ar objektīviem apstākļiem, tā daļēji ietekmēja sākotnēji iecerēto progresu. Rezultātā daļa 2014.</w:t>
      </w:r>
      <w:r w:rsidR="00517E2B">
        <w:rPr>
          <w:rFonts w:cstheme="minorHAnsi"/>
        </w:rPr>
        <w:t xml:space="preserve"> </w:t>
      </w:r>
      <w:r w:rsidRPr="00074A64">
        <w:rPr>
          <w:rFonts w:cstheme="minorHAnsi"/>
        </w:rPr>
        <w:t>-</w:t>
      </w:r>
      <w:r w:rsidR="00517E2B">
        <w:rPr>
          <w:rFonts w:cstheme="minorHAnsi"/>
        </w:rPr>
        <w:t xml:space="preserve"> </w:t>
      </w:r>
      <w:r w:rsidRPr="00074A64">
        <w:rPr>
          <w:rFonts w:cstheme="minorHAnsi"/>
        </w:rPr>
        <w:t>2020. gada plānošanas perioda aktivitāšu pārklājas ar nākamo periodu, kurā paralēli jāīsteno arī jaunie attīstības virzieni un iniciatīvas.</w:t>
      </w:r>
    </w:p>
    <w:p w14:paraId="02D61FCD" w14:textId="72A85D4B" w:rsidR="00554634" w:rsidRDefault="00795694" w:rsidP="00795694">
      <w:pPr>
        <w:rPr>
          <w:rFonts w:cstheme="minorHAnsi"/>
        </w:rPr>
      </w:pPr>
      <w:r>
        <w:rPr>
          <w:rFonts w:cstheme="minorHAnsi"/>
        </w:rPr>
        <w:t>IDF vīzām un robežām īstenoto pasākumu rezultātā ir tikusi novērota arī sākotnēji neplānota ietekme. Piemēram, ir uzlabotas robežu apsardzības, uzraudzības un reaģēšanas spējas uz Latvijas robežas ar Krieviju un Baltkrieviju.</w:t>
      </w:r>
      <w:r w:rsidR="005B5B62">
        <w:rPr>
          <w:rFonts w:cstheme="minorHAnsi"/>
        </w:rPr>
        <w:t xml:space="preserve"> Ņemot vērā, ieviestos tehnoloģiskos risinājumus, ir samazināta fiziskās </w:t>
      </w:r>
      <w:r w:rsidR="005B5B62">
        <w:rPr>
          <w:rFonts w:cstheme="minorHAnsi"/>
        </w:rPr>
        <w:lastRenderedPageBreak/>
        <w:t>patrulēšanas nepieciešamība gar robežām, tādējādi ļaujot efektīvāk plānot cilvēkresursus un nodrošināt operatīvāku reaģēšanu gadījumos, kad tas ir nepieciešam</w:t>
      </w:r>
      <w:r w:rsidR="00554634">
        <w:rPr>
          <w:rFonts w:cstheme="minorHAnsi"/>
        </w:rPr>
        <w:t xml:space="preserve">s. </w:t>
      </w:r>
    </w:p>
    <w:p w14:paraId="013D85A3" w14:textId="0FAFF380" w:rsidR="00C760B0" w:rsidRPr="00795694" w:rsidRDefault="00554634" w:rsidP="00795694">
      <w:pPr>
        <w:rPr>
          <w:rFonts w:cstheme="minorHAnsi"/>
        </w:rPr>
      </w:pPr>
      <w:r>
        <w:rPr>
          <w:rFonts w:cstheme="minorHAnsi"/>
        </w:rPr>
        <w:t xml:space="preserve">Vienlaikus finansējuma saņēmēji norāda arī uz sadarbības attīstību ar citu valstu un organizāciju </w:t>
      </w:r>
      <w:r w:rsidR="007D4802">
        <w:rPr>
          <w:rFonts w:cstheme="minorHAnsi"/>
        </w:rPr>
        <w:t>pārstāvjiem</w:t>
      </w:r>
      <w:r>
        <w:rPr>
          <w:rFonts w:cstheme="minorHAnsi"/>
        </w:rPr>
        <w:t xml:space="preserve">, piemēram, no </w:t>
      </w:r>
      <w:r w:rsidRPr="000361B2">
        <w:rPr>
          <w:rFonts w:cstheme="minorHAnsi"/>
        </w:rPr>
        <w:t>Frontex</w:t>
      </w:r>
      <w:r>
        <w:rPr>
          <w:rFonts w:cstheme="minorHAnsi"/>
        </w:rPr>
        <w:t xml:space="preserve">. Tā rezultātā izveidoti profesionāli kontakti, uz kuru pamata ir potenciāls tālākas sadarbības attīstīšanai.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545A55D3" w14:textId="77777777" w:rsidTr="00E26047">
        <w:tc>
          <w:tcPr>
            <w:tcW w:w="10252" w:type="dxa"/>
            <w:shd w:val="clear" w:color="auto" w:fill="F3B8FF" w:themeFill="accent6" w:themeFillTint="33"/>
          </w:tcPr>
          <w:p w14:paraId="1A479EE8" w14:textId="56933D39" w:rsidR="00143135" w:rsidRPr="008F64A0" w:rsidRDefault="00143135" w:rsidP="00A239D8">
            <w:pPr>
              <w:rPr>
                <w:i/>
                <w:iCs/>
                <w:color w:val="5A5A5A" w:themeColor="accent1" w:themeTint="BF"/>
              </w:rPr>
            </w:pPr>
            <w:r w:rsidRPr="008F64A0">
              <w:rPr>
                <w:i/>
                <w:iCs/>
                <w:color w:val="5A5A5A" w:themeColor="accent1" w:themeTint="BF"/>
              </w:rPr>
              <w:t xml:space="preserve">Apakšjautājums: </w:t>
            </w:r>
            <w:r w:rsidR="002551FA" w:rsidRPr="008F64A0">
              <w:rPr>
                <w:i/>
                <w:iCs/>
                <w:color w:val="5A5A5A" w:themeColor="accent1" w:themeTint="BF"/>
              </w:rPr>
              <w:t>Kā fonds veicināja šādu konkrēto mērķu sasniegšanu</w:t>
            </w:r>
            <w:r w:rsidR="00844552" w:rsidRPr="008F64A0">
              <w:rPr>
                <w:i/>
                <w:iCs/>
                <w:color w:val="5A5A5A" w:themeColor="accent1" w:themeTint="BF"/>
              </w:rPr>
              <w:t>:</w:t>
            </w:r>
          </w:p>
          <w:p w14:paraId="0CC337EB" w14:textId="34089086" w:rsidR="00844552" w:rsidRPr="008F64A0" w:rsidRDefault="00844552" w:rsidP="00384A63">
            <w:pPr>
              <w:pStyle w:val="Sarakstarindkopa"/>
              <w:numPr>
                <w:ilvl w:val="0"/>
                <w:numId w:val="17"/>
              </w:numPr>
              <w:rPr>
                <w:i/>
                <w:iCs/>
                <w:color w:val="5A5A5A" w:themeColor="accent1" w:themeTint="BF"/>
              </w:rPr>
            </w:pPr>
            <w:r w:rsidRPr="008F64A0">
              <w:rPr>
                <w:i/>
                <w:iCs/>
                <w:color w:val="5A5A5A" w:themeColor="accent1" w:themeTint="BF"/>
              </w:rPr>
              <w:t>atbalsts kopējai vīzu politikai, lai atvieglotu likumīgu ceļošanu;</w:t>
            </w:r>
          </w:p>
          <w:p w14:paraId="3401051C" w14:textId="77777777" w:rsidR="003B1811" w:rsidRDefault="00844552" w:rsidP="003B1811">
            <w:pPr>
              <w:pStyle w:val="Sarakstarindkopa"/>
              <w:numPr>
                <w:ilvl w:val="0"/>
                <w:numId w:val="17"/>
              </w:numPr>
              <w:rPr>
                <w:i/>
                <w:iCs/>
                <w:color w:val="5A5A5A" w:themeColor="accent1" w:themeTint="BF"/>
              </w:rPr>
            </w:pPr>
            <w:r w:rsidRPr="008F64A0">
              <w:rPr>
                <w:i/>
                <w:iCs/>
                <w:color w:val="5A5A5A" w:themeColor="accent1" w:themeTint="BF"/>
              </w:rPr>
              <w:t>augstas kvalitātes pakalpojumu sniegšana vīzas pieteikuma iesniedzējiem;</w:t>
            </w:r>
          </w:p>
          <w:p w14:paraId="3FB83074" w14:textId="34C332F7" w:rsidR="003B1811" w:rsidRPr="003B1811" w:rsidRDefault="00844552" w:rsidP="003B1811">
            <w:pPr>
              <w:pStyle w:val="Sarakstarindkopa"/>
              <w:numPr>
                <w:ilvl w:val="0"/>
                <w:numId w:val="17"/>
              </w:numPr>
              <w:rPr>
                <w:i/>
                <w:iCs/>
                <w:color w:val="5A5A5A" w:themeColor="accent1" w:themeTint="BF"/>
              </w:rPr>
            </w:pPr>
            <w:r w:rsidRPr="003B1811">
              <w:rPr>
                <w:i/>
                <w:iCs/>
                <w:color w:val="5A5A5A" w:themeColor="accent1" w:themeTint="BF"/>
              </w:rPr>
              <w:t>vienlīdzīgas attieksmes nodrošināšana pret trešo valstu valstspiederīgajiem un nelikumīgas migrācijas apkarošana.</w:t>
            </w:r>
            <w:r w:rsidR="003B1811" w:rsidRPr="003B1811">
              <w:rPr>
                <w:bCs/>
                <w:color w:val="ACAEAC" w:themeColor="accent2"/>
              </w:rPr>
              <w:t xml:space="preserve"> </w:t>
            </w:r>
          </w:p>
          <w:p w14:paraId="572B3063" w14:textId="04AB6E6E" w:rsidR="003B1811" w:rsidRPr="003B1811" w:rsidRDefault="003B1811" w:rsidP="003B1811">
            <w:pPr>
              <w:rPr>
                <w:i/>
                <w:iCs/>
                <w:color w:val="5A5A5A" w:themeColor="accent1" w:themeTint="BF"/>
                <w:sz w:val="20"/>
                <w:szCs w:val="20"/>
              </w:rPr>
            </w:pPr>
            <w:r w:rsidRPr="003B1811">
              <w:rPr>
                <w:i/>
                <w:iCs/>
                <w:color w:val="5A5A5A" w:themeColor="accent1" w:themeTint="BF"/>
                <w:sz w:val="20"/>
                <w:szCs w:val="20"/>
              </w:rPr>
              <w:t>i) Kāds progress tika panākts ceļā uz kopējas vīzu politikas izstrādāšanas un ieviešanas veicināšanu, tiecoties atvieglot likumīgu ceļošanu, un kā fonds veicināja šā progresa panākšanu?</w:t>
            </w:r>
          </w:p>
          <w:p w14:paraId="2EEC1E3B" w14:textId="77777777" w:rsidR="003B1811" w:rsidRPr="003B1811" w:rsidRDefault="003B1811" w:rsidP="003B1811">
            <w:pPr>
              <w:rPr>
                <w:i/>
                <w:iCs/>
                <w:color w:val="5A5A5A" w:themeColor="accent1" w:themeTint="BF"/>
                <w:sz w:val="20"/>
                <w:szCs w:val="20"/>
              </w:rPr>
            </w:pPr>
            <w:r w:rsidRPr="003B1811">
              <w:rPr>
                <w:i/>
                <w:iCs/>
                <w:color w:val="5A5A5A" w:themeColor="accent1" w:themeTint="BF"/>
                <w:sz w:val="20"/>
                <w:szCs w:val="20"/>
              </w:rPr>
              <w:t>ii) Kāds progress tika panākts ceļā uz labākas konsulārās pārstāvības un savstarpēji saskaņotas kārtības nodrošināšanu vīzu izsniegšanas jautājumos starp dalībvalstīm un kā fonds veicināja šā progresa panākšanu?</w:t>
            </w:r>
          </w:p>
          <w:p w14:paraId="3350963A" w14:textId="77777777" w:rsidR="003B1811" w:rsidRPr="003B1811" w:rsidRDefault="003B1811" w:rsidP="003B1811">
            <w:pPr>
              <w:rPr>
                <w:i/>
                <w:iCs/>
                <w:color w:val="5A5A5A" w:themeColor="accent1" w:themeTint="BF"/>
                <w:sz w:val="20"/>
                <w:szCs w:val="20"/>
              </w:rPr>
            </w:pPr>
            <w:r w:rsidRPr="003B1811">
              <w:rPr>
                <w:i/>
                <w:iCs/>
                <w:color w:val="5A5A5A" w:themeColor="accent1" w:themeTint="BF"/>
                <w:sz w:val="20"/>
                <w:szCs w:val="20"/>
              </w:rPr>
              <w:t>iii) Kāds progress tika panākts ceļā uz Savienības acquis piemērošanas nodrošināšanu vīzu jomā un kā fonds veicināja šā progresa panākšanu?</w:t>
            </w:r>
          </w:p>
          <w:p w14:paraId="359FEBEA" w14:textId="77777777" w:rsidR="003B1811" w:rsidRPr="003B1811" w:rsidRDefault="003B1811" w:rsidP="003B1811">
            <w:pPr>
              <w:rPr>
                <w:i/>
                <w:iCs/>
                <w:color w:val="5A5A5A" w:themeColor="accent1" w:themeTint="BF"/>
                <w:sz w:val="20"/>
                <w:szCs w:val="20"/>
              </w:rPr>
            </w:pPr>
            <w:r w:rsidRPr="003B1811">
              <w:rPr>
                <w:i/>
                <w:iCs/>
                <w:color w:val="5A5A5A" w:themeColor="accent1" w:themeTint="BF"/>
                <w:sz w:val="20"/>
                <w:szCs w:val="20"/>
              </w:rPr>
              <w:t>iv) Kāds progress tika panākts, lai stiprinātu dalībvalstu ieguldījumu attiecībā uz sadarbību starp dalībvalstīm, kas darbojas trešās valstīs saistībā ar trešo valstu valstspiederīgo plūsmām dalībvalstu teritorijās, tostarp lai novērstu un apkarotu nelikumīgu ieceļošanu, kā arī attiecībā uz sadarbību ar trešām valstīm, un kā fonds veicināja šā progresa panākšanu?</w:t>
            </w:r>
          </w:p>
          <w:p w14:paraId="532A365D" w14:textId="77777777" w:rsidR="003B1811" w:rsidRPr="003B1811" w:rsidRDefault="003B1811" w:rsidP="003B1811">
            <w:pPr>
              <w:rPr>
                <w:i/>
                <w:iCs/>
                <w:color w:val="5A5A5A" w:themeColor="accent1" w:themeTint="BF"/>
                <w:sz w:val="20"/>
                <w:szCs w:val="20"/>
              </w:rPr>
            </w:pPr>
            <w:r w:rsidRPr="003B1811">
              <w:rPr>
                <w:i/>
                <w:iCs/>
                <w:color w:val="5A5A5A" w:themeColor="accent1" w:themeTint="BF"/>
                <w:sz w:val="20"/>
                <w:szCs w:val="20"/>
              </w:rPr>
              <w:t>v) Kāds progress tika panākts, lai atbalstītu kopējo vīzu politiku, izveidojot un ekspluatējot IT sistēmas, to sakaru infrastruktūru un aprīkojumu, un kā fonds veicināja šā progresa panākšanu?</w:t>
            </w:r>
          </w:p>
          <w:p w14:paraId="06505F07" w14:textId="6C045351" w:rsidR="00844552" w:rsidRPr="003B1811" w:rsidRDefault="003B1811" w:rsidP="003B1811">
            <w:pPr>
              <w:rPr>
                <w:i/>
                <w:iCs/>
                <w:color w:val="ACAEAC" w:themeColor="accent2"/>
              </w:rPr>
            </w:pPr>
            <w:r w:rsidRPr="003B1811">
              <w:rPr>
                <w:i/>
                <w:iCs/>
                <w:color w:val="5A5A5A" w:themeColor="accent1" w:themeTint="BF"/>
                <w:sz w:val="20"/>
                <w:szCs w:val="20"/>
              </w:rPr>
              <w:t>vi) Kā Regulas (ES) Nr. 515/2014 10. pantā minētais darbības atbalsts palīdzēja sasniegt kopējās vīzu politikas konkrētos mērķus?</w:t>
            </w:r>
            <w:r w:rsidRPr="003B1811">
              <w:rPr>
                <w:bCs/>
                <w:color w:val="ACAEAC" w:themeColor="accent2"/>
                <w:sz w:val="20"/>
                <w:szCs w:val="20"/>
              </w:rPr>
              <w:t xml:space="preserve"> </w:t>
            </w:r>
          </w:p>
        </w:tc>
      </w:tr>
    </w:tbl>
    <w:p w14:paraId="5A5D022C" w14:textId="1A0F3F70" w:rsidR="004152AA" w:rsidRDefault="007D4802" w:rsidP="00DC1B47">
      <w:r>
        <w:t>IDF vīzām un robežām ietvaros i</w:t>
      </w:r>
      <w:r w:rsidR="00A274DD" w:rsidRPr="00A274DD">
        <w:t xml:space="preserve">r veikta </w:t>
      </w:r>
      <w:r w:rsidR="001B7FB1">
        <w:t>IS</w:t>
      </w:r>
      <w:r w:rsidR="00A274DD" w:rsidRPr="00A274DD">
        <w:t xml:space="preserve"> attīstība un nodrošinātas apmācības, tostarp NVIS lietotāju atbalsts un apmācība, tādējādi atvieglojot datu apmaiņu starp </w:t>
      </w:r>
      <w:r w:rsidR="00CE6EEB">
        <w:t>ES</w:t>
      </w:r>
      <w:r w:rsidR="00A274DD" w:rsidRPr="00A274DD">
        <w:t xml:space="preserve"> dalībvalstīm saistībā ar vīzu </w:t>
      </w:r>
      <w:r w:rsidR="00476EBA">
        <w:t>apstrādes procesu</w:t>
      </w:r>
      <w:r w:rsidR="00A274DD" w:rsidRPr="00A274DD">
        <w:t xml:space="preserve">. </w:t>
      </w:r>
      <w:r w:rsidR="004152AA">
        <w:t>Apmācību aspekts ir bijis īpaši būtisks gan, lai sekmētu Šengenas izvērtējumos ietvertās prastības, gan apgūtu jaunā aprīkojuma izmantošanu, kā arī nodrošinātu jauno darbinieku apmācību.</w:t>
      </w:r>
    </w:p>
    <w:p w14:paraId="35A9CB6C" w14:textId="5E0AAB5D" w:rsidR="00182B6A" w:rsidRDefault="00F35C46" w:rsidP="00DC1B47">
      <w:r w:rsidRPr="00A274DD">
        <w:t>Tāpat ir uzlabota personu pārbaude ārējās robežas kontroles punktos.</w:t>
      </w:r>
      <w:r>
        <w:t xml:space="preserve"> Vienlaikus i</w:t>
      </w:r>
      <w:r w:rsidR="00A274DD" w:rsidRPr="00A274DD">
        <w:t>r nodrošināta efektīva Vīzu kodeksa ieviešana, veicot konsulāro darbinieku apmācību.</w:t>
      </w:r>
      <w:r w:rsidR="00656191">
        <w:rPr>
          <w:rStyle w:val="Vresatsauce"/>
        </w:rPr>
        <w:footnoteReference w:id="35"/>
      </w:r>
      <w:r w:rsidR="00A274DD" w:rsidRPr="00A274DD">
        <w:t xml:space="preserve"> </w:t>
      </w:r>
    </w:p>
    <w:p w14:paraId="21290F83" w14:textId="4BF42CEC" w:rsidR="00A76ED1" w:rsidRDefault="00C760B0" w:rsidP="004B6411">
      <w:r>
        <w:t xml:space="preserve">Īstenotie pasākumi ir veicinājuši mērķa sasniegšanu un sekmējuši kopējas vīzu politikas </w:t>
      </w:r>
      <w:r w:rsidR="00A9133E">
        <w:t xml:space="preserve">attīstību, sniedzot augstas kvalitātes pakalpojumus un vienlīdzīgu attieksmi pret </w:t>
      </w:r>
      <w:r w:rsidR="00D44FCB">
        <w:t>TVP</w:t>
      </w:r>
      <w:r w:rsidR="00A9133E">
        <w:t xml:space="preserve">. </w:t>
      </w:r>
      <w:r w:rsidR="00010971">
        <w:t>Piemēram, k</w:t>
      </w:r>
      <w:r w:rsidR="000D110C">
        <w:t>ā norāda projekta</w:t>
      </w:r>
      <w:r w:rsidR="00301254">
        <w:t xml:space="preserve"> </w:t>
      </w:r>
      <w:r w:rsidR="000D110C">
        <w:t>“</w:t>
      </w:r>
      <w:r w:rsidR="000D110C" w:rsidRPr="000D110C">
        <w:t>Konsulāro amatpersonu reģionālo apmācību nodrošināšana par ES vienoto vīzu izsniegšanas politiku, atbilstoši Eiropas Vīzu kodeksa prasībām</w:t>
      </w:r>
      <w:r w:rsidR="000D110C">
        <w:t>”</w:t>
      </w:r>
      <w:r w:rsidR="00C16123">
        <w:rPr>
          <w:rStyle w:val="Vresatsauce"/>
        </w:rPr>
        <w:footnoteReference w:id="36"/>
      </w:r>
      <w:r w:rsidR="000D110C">
        <w:t xml:space="preserve"> finansējuma saņēmējs</w:t>
      </w:r>
      <w:r w:rsidR="00E44669">
        <w:t xml:space="preserve"> š</w:t>
      </w:r>
      <w:r w:rsidR="004B6411">
        <w:t xml:space="preserve">īs mācības </w:t>
      </w:r>
      <w:r w:rsidR="00B55CAC">
        <w:t xml:space="preserve">ir </w:t>
      </w:r>
      <w:r w:rsidR="00A9133E">
        <w:t xml:space="preserve">bijušas ļoti nepieciešamas darbiniekiem, jo regulāri bijušas neskaidrības par dažādiem ar vīzu izsniegšanu saistītiem jautājumiem. Tās ir </w:t>
      </w:r>
      <w:r w:rsidR="00B55CAC">
        <w:t>devušas</w:t>
      </w:r>
      <w:r w:rsidR="004B6411">
        <w:t xml:space="preserve"> iespēju veidot vienotu izpratni</w:t>
      </w:r>
      <w:r w:rsidR="00B55CAC">
        <w:t xml:space="preserve"> un pieeju par šiem jautājumiem</w:t>
      </w:r>
      <w:r w:rsidR="000C4516">
        <w:t>,</w:t>
      </w:r>
      <w:r w:rsidR="000B7FDA">
        <w:t xml:space="preserve"> un no </w:t>
      </w:r>
      <w:r w:rsidR="00A9133E">
        <w:t xml:space="preserve">mācībās </w:t>
      </w:r>
      <w:r w:rsidR="00A9133E">
        <w:lastRenderedPageBreak/>
        <w:t>iesaistīto darbinieku</w:t>
      </w:r>
      <w:r w:rsidR="000B7FDA">
        <w:t xml:space="preserve"> puses ir saņemta pozitīva atgriezeniskā saite par mācību lietderību</w:t>
      </w:r>
      <w:r w:rsidR="000C4516">
        <w:t xml:space="preserve"> ikdienas darbā</w:t>
      </w:r>
      <w:r w:rsidR="00FA2542">
        <w:t xml:space="preserve"> un vēlme piedalīties līdzīgās aktivitātēs nākotnē. </w:t>
      </w:r>
    </w:p>
    <w:p w14:paraId="046203FD" w14:textId="4EA09CAC" w:rsidR="00E94174" w:rsidRDefault="00E94174" w:rsidP="004B6411">
      <w:r>
        <w:t xml:space="preserve">Vienlaikus ekspertu paneļa ietvaros tika </w:t>
      </w:r>
      <w:r w:rsidR="00CD1E1A" w:rsidRPr="00CD1E1A">
        <w:t>uzsvēr</w:t>
      </w:r>
      <w:r w:rsidR="00CD1E1A">
        <w:t>ts</w:t>
      </w:r>
      <w:r w:rsidR="00CD1E1A" w:rsidRPr="00CD1E1A">
        <w:t>, ka šādu apmācību aktualitāte saglabājas arī 2021.-2027. gada plānošanas periodā. Ņemot vērā nelegālās migrācijas risku pieaugumu un ar tiem saistītās izmaiņas, kā arī tehnoloģisko attīstību, kas ietekmē pārkāpumu identificēšanas iespējas, ir būtiski turpināt nodrošināt šādu pasākumu pieejamību. Tas ļauj pastāvīgi nodrošināt darbiniekus ar nepieciešamo aktuālo informāciju un veicināt vienotas pieejas ieviešanu Šengenas vīzu apstrādes jautājumos.</w:t>
      </w:r>
    </w:p>
    <w:p w14:paraId="6D516A3A" w14:textId="763CE984" w:rsidR="00C760B0" w:rsidRPr="00182B6A" w:rsidRDefault="00005EEE" w:rsidP="004B6411">
      <w:r>
        <w:t>IDF vīzām un robežām</w:t>
      </w:r>
      <w:r w:rsidR="003B6D09">
        <w:t xml:space="preserve"> </w:t>
      </w:r>
      <w:r w:rsidR="00E04F3C">
        <w:t xml:space="preserve">rezultātā </w:t>
      </w:r>
      <w:r w:rsidR="003B6D09">
        <w:t xml:space="preserve">ir attīstīta </w:t>
      </w:r>
      <w:r w:rsidR="0054309A">
        <w:t xml:space="preserve">arī </w:t>
      </w:r>
      <w:r w:rsidR="003B6D09">
        <w:t xml:space="preserve">starpinstucionālā sadarbība starp dažādām iestādēm, </w:t>
      </w:r>
      <w:r>
        <w:t xml:space="preserve">piemēram, ĀM, PMLP un VRS, </w:t>
      </w:r>
      <w:r w:rsidR="003B6D09">
        <w:t xml:space="preserve">tai </w:t>
      </w:r>
      <w:r w:rsidR="00A22B19">
        <w:t xml:space="preserve">skaitā, </w:t>
      </w:r>
      <w:r w:rsidR="006F14AF">
        <w:t xml:space="preserve">nodrošināt pieredzes apmaiņu un </w:t>
      </w:r>
      <w:r w:rsidR="00542B55">
        <w:t>paplašinot darbinieku profesionālo kontaktu loku.</w:t>
      </w:r>
    </w:p>
    <w:tbl>
      <w:tblPr>
        <w:tblStyle w:val="Reatabula"/>
        <w:tblW w:w="0" w:type="auto"/>
        <w:shd w:val="clear" w:color="auto" w:fill="D8FBEB" w:themeFill="accent5" w:themeFillTint="33"/>
        <w:tblLook w:val="04A0" w:firstRow="1" w:lastRow="0" w:firstColumn="1" w:lastColumn="0" w:noHBand="0" w:noVBand="1"/>
      </w:tblPr>
      <w:tblGrid>
        <w:gridCol w:w="10252"/>
      </w:tblGrid>
      <w:tr w:rsidR="001C45D0" w:rsidRPr="008F64A0" w14:paraId="64048685" w14:textId="77777777" w:rsidTr="00D40533">
        <w:tc>
          <w:tcPr>
            <w:tcW w:w="10252" w:type="dxa"/>
            <w:shd w:val="clear" w:color="auto" w:fill="82009B" w:themeFill="accent6"/>
          </w:tcPr>
          <w:p w14:paraId="19E1FBFC" w14:textId="77777777" w:rsidR="00471D84" w:rsidRPr="008F64A0" w:rsidRDefault="001C45D0" w:rsidP="00471D84">
            <w:pPr>
              <w:rPr>
                <w:bCs/>
              </w:rPr>
            </w:pPr>
            <w:r w:rsidRPr="008F64A0">
              <w:rPr>
                <w:b/>
              </w:rPr>
              <w:t xml:space="preserve">Izvērtēšanas kritērija jautājums: </w:t>
            </w:r>
            <w:r w:rsidR="00471D84" w:rsidRPr="008F64A0">
              <w:rPr>
                <w:bCs/>
              </w:rPr>
              <w:t>Kā fonds veicināja šādus konkrētos mērķus?</w:t>
            </w:r>
          </w:p>
          <w:p w14:paraId="6E3E3858" w14:textId="5BF65EA7" w:rsidR="001C45D0" w:rsidRPr="00520DC8" w:rsidRDefault="00471D84" w:rsidP="00471D84">
            <w:pPr>
              <w:rPr>
                <w:bCs/>
              </w:rPr>
            </w:pPr>
            <w:r w:rsidRPr="008F64A0">
              <w:rPr>
                <w:bCs/>
              </w:rPr>
              <w:t xml:space="preserve">Atbalsts integrētai robežu pārvaldībai, tostarp veicinot robežu pārvaldības pasākumu turpmāku saskaņošanu atbilstīgi kopējiem Savienības standartiem un apmainoties ar informāciju starp dalībvalstīm un Eiropas Aģentūru operatīvās sadarbības vadībai pie </w:t>
            </w:r>
            <w:r w:rsidR="00777E7E">
              <w:rPr>
                <w:bCs/>
              </w:rPr>
              <w:t>ES</w:t>
            </w:r>
            <w:r w:rsidRPr="008F64A0">
              <w:rPr>
                <w:bCs/>
              </w:rPr>
              <w:t xml:space="preserve"> dalībvalstu ārējām robežām.</w:t>
            </w:r>
            <w:r w:rsidR="00520DC8">
              <w:rPr>
                <w:bCs/>
              </w:rPr>
              <w:t xml:space="preserve"> </w:t>
            </w:r>
            <w:r w:rsidRPr="008F64A0">
              <w:rPr>
                <w:bCs/>
              </w:rPr>
              <w:t xml:space="preserve">No vienas puses, ārējo robežu vienāda un augsta līmeņa kontroles un aizsardzības nodrošināšana, ieskaitot nelikumīgās imigrācijas novēršanu, un, no otras puses, ārējo robežu raitas šķērsošanas nodrošināšana saskaņā ar Šengenas </w:t>
            </w:r>
            <w:r w:rsidRPr="006972F1">
              <w:rPr>
                <w:bCs/>
                <w:i/>
                <w:iCs/>
              </w:rPr>
              <w:t>acquis</w:t>
            </w:r>
            <w:r w:rsidRPr="008F64A0">
              <w:rPr>
                <w:bCs/>
              </w:rPr>
              <w:t>, vienlaikus garantējot piekļuvi starptautiskajai aizsardzībai personām, kam tā ir vajadzīga, saskaņā ar dalībvalstu līgumos noteiktajām saistībām attiecībā uz cilvēktiesībām, tostarp neizraidīšanas principu.</w:t>
            </w:r>
          </w:p>
        </w:tc>
      </w:tr>
    </w:tbl>
    <w:p w14:paraId="736591FE" w14:textId="01E26CE7" w:rsidR="00B15E14" w:rsidRPr="00B15E14" w:rsidRDefault="00B15E14" w:rsidP="000F1F7D">
      <w:r w:rsidRPr="00B15E14">
        <w:t xml:space="preserve">Ir nodrošināta </w:t>
      </w:r>
      <w:r w:rsidR="000E3754">
        <w:t>VRS</w:t>
      </w:r>
      <w:r w:rsidRPr="00B15E14">
        <w:t xml:space="preserve"> </w:t>
      </w:r>
      <w:r w:rsidR="00972068">
        <w:t>RKS</w:t>
      </w:r>
      <w:r w:rsidRPr="00B15E14">
        <w:t xml:space="preserve"> attīstība, kas ietver vairākus būtiskus komponentus. EUROSUR ieviešana papildināta ar sauszemes robežas sensoriem, izveidojot nacionālo situācijas attēlu un integrētu informācijas apmaiņas tīklu. Vienlaikus ir modernizēta jūras novērošanas sistēma ar drošu datu pārraidi.</w:t>
      </w:r>
      <w:r w:rsidR="000F1F7D" w:rsidRPr="000F1F7D">
        <w:t xml:space="preserve"> </w:t>
      </w:r>
      <w:r w:rsidR="000F1F7D">
        <w:t>Pasā</w:t>
      </w:r>
      <w:r w:rsidR="000E4B55">
        <w:t>kumu ietvaros ir v</w:t>
      </w:r>
      <w:r w:rsidR="000F1F7D">
        <w:t xml:space="preserve">eicināta starptautiskā sadarbība, </w:t>
      </w:r>
      <w:r w:rsidR="000E4B55">
        <w:t xml:space="preserve">piemēram, </w:t>
      </w:r>
      <w:r w:rsidR="000F1F7D">
        <w:t xml:space="preserve">nodrošinot </w:t>
      </w:r>
      <w:r w:rsidR="000E4B55">
        <w:t xml:space="preserve">VRS </w:t>
      </w:r>
      <w:r w:rsidR="000F1F7D">
        <w:t>virsnieku punktu darbību un aktīvu iesaisti FRONTEX aktivitātēs</w:t>
      </w:r>
    </w:p>
    <w:p w14:paraId="1A9EB78F" w14:textId="1B13BCA0" w:rsidR="00B15E14" w:rsidRPr="00B15E14" w:rsidRDefault="00B15E14" w:rsidP="00B15E14">
      <w:r w:rsidRPr="00B15E14">
        <w:t xml:space="preserve">Īstenotas būtiskas IT sistēmu izmaiņas, t.sk. jaunas paaudzes robežkontroles </w:t>
      </w:r>
      <w:r w:rsidR="001B7FB1">
        <w:t>IS</w:t>
      </w:r>
      <w:r w:rsidRPr="00B15E14">
        <w:t xml:space="preserve"> REIS izstrāde, N.SIS II un SIRENE </w:t>
      </w:r>
      <w:r w:rsidR="001B7FB1">
        <w:t>IS</w:t>
      </w:r>
      <w:r w:rsidRPr="00B15E14">
        <w:t xml:space="preserve"> modernizācija, kā arī biometrisko datu apstrādes sistēmas aprīkojuma pilnveide.</w:t>
      </w:r>
    </w:p>
    <w:p w14:paraId="0B3113B9" w14:textId="0E329112" w:rsidR="00143135" w:rsidRDefault="00B15E14" w:rsidP="00143135">
      <w:r>
        <w:t>Atjaunoti r</w:t>
      </w:r>
      <w:r w:rsidRPr="00B15E14">
        <w:t xml:space="preserve">obežkontroles tehniskie līdzekļi, iegādājoties mūsdienīgu aprīkojumu un uzlabojot </w:t>
      </w:r>
      <w:r w:rsidR="0063083B">
        <w:t>VRS</w:t>
      </w:r>
      <w:r w:rsidRPr="00B15E14">
        <w:t xml:space="preserve"> mobilitāti. Starptautiskajā lidostā "Rīga" ieviesti ABC vārti, kas nodrošina ātrākas un efektīvākas robežpārbaudes, vienlaikus uzlabojot robežu uzraudzības un ārzemnieku kontroles kvalitāti.</w:t>
      </w:r>
      <w:r w:rsidR="00236D42">
        <w:t xml:space="preserve"> </w:t>
      </w:r>
      <w:r w:rsidR="00715643" w:rsidRPr="00715643">
        <w:t xml:space="preserve">Ekspertu paneļa dalībnieki norāda, ka 2014.-2020. gada plānošanas periods sniedza iespēju pārbaudīt tehnoloģisko risinājumu darbību un izvērtēt to ietekmi uz robežšķērsotāju plūsmas pārvaldību un kontroli. </w:t>
      </w:r>
      <w:r w:rsidR="00715643">
        <w:t>Veiktie novērojumi</w:t>
      </w:r>
      <w:r w:rsidR="00715643" w:rsidRPr="00715643">
        <w:t xml:space="preserve"> pamato</w:t>
      </w:r>
      <w:r w:rsidR="008A25F1">
        <w:t>juši</w:t>
      </w:r>
      <w:r w:rsidR="00715643" w:rsidRPr="00715643">
        <w:t xml:space="preserve"> lēmumu turpināt papildu automātisko robežkontroles vārtu uzstādīšanu 2021.-2027. gada plānošanas periodā.</w:t>
      </w:r>
    </w:p>
    <w:p w14:paraId="1B733ED2" w14:textId="284D1495" w:rsidR="00FA2542" w:rsidRDefault="00462D12" w:rsidP="00143135">
      <w:r>
        <w:t>Šīs aktivitātes ir sekmējušas integrētas robežu pārvaldības attīstību un atbilstību ES standartiem, sekmējot arī informācijas apmaiņu ar ES dalīb</w:t>
      </w:r>
      <w:r w:rsidR="00BB198B">
        <w:t xml:space="preserve">valstīm. </w:t>
      </w:r>
      <w:r w:rsidR="00480065">
        <w:t>Piemēram, atbilstoši projekta “</w:t>
      </w:r>
      <w:r w:rsidR="00096115" w:rsidRPr="00096115">
        <w:t>Robežuzraudzības un kontroles sistēmas infrastruktūras turpmāka pilnveidošana atbilstoši EUROSUR prasībām</w:t>
      </w:r>
      <w:r w:rsidR="00096115">
        <w:t>”</w:t>
      </w:r>
      <w:r w:rsidR="00096115">
        <w:rPr>
          <w:rStyle w:val="Vresatsauce"/>
        </w:rPr>
        <w:footnoteReference w:id="37"/>
      </w:r>
      <w:r w:rsidR="00096115" w:rsidRPr="00096115">
        <w:t xml:space="preserve"> </w:t>
      </w:r>
      <w:r w:rsidR="007A1B0F">
        <w:t>finansējuma saņēmēja novērojumiem šī projekta rezultātā ir uzlabojusies kopējā robežu drošība un mazinājies “aklo” zonu skaits</w:t>
      </w:r>
      <w:r w:rsidR="00A6517B">
        <w:t>. Vienlaikus tiek nodrošināta tūlītēja informācijas apmaiņa un datu pārraide, kas nodrošina iespēju operatīvāk reaģēt</w:t>
      </w:r>
      <w:r w:rsidR="00E53FC2">
        <w:t xml:space="preserve"> uz pārkāpumiem. </w:t>
      </w:r>
    </w:p>
    <w:p w14:paraId="369D3A8F" w14:textId="77777777" w:rsidR="00143135" w:rsidRPr="008F64A0" w:rsidRDefault="00143135" w:rsidP="00BF4167">
      <w:pPr>
        <w:pStyle w:val="Sarakstarindkopa"/>
        <w:numPr>
          <w:ilvl w:val="2"/>
          <w:numId w:val="42"/>
        </w:numPr>
        <w:rPr>
          <w:b/>
        </w:rPr>
      </w:pPr>
      <w:r w:rsidRPr="008F64A0">
        <w:rPr>
          <w:b/>
        </w:rPr>
        <w:lastRenderedPageBreak/>
        <w:t>Kritērijs “Lietderīgums”</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4511F2B9" w14:textId="77777777" w:rsidTr="00D40533">
        <w:tc>
          <w:tcPr>
            <w:tcW w:w="10252" w:type="dxa"/>
            <w:shd w:val="clear" w:color="auto" w:fill="82009B" w:themeFill="accent6"/>
          </w:tcPr>
          <w:p w14:paraId="48DC4362" w14:textId="77777777" w:rsidR="00143135" w:rsidRPr="008F64A0" w:rsidRDefault="00143135" w:rsidP="00A239D8">
            <w:pPr>
              <w:rPr>
                <w:b/>
              </w:rPr>
            </w:pPr>
            <w:r w:rsidRPr="008F64A0">
              <w:rPr>
                <w:b/>
              </w:rPr>
              <w:t xml:space="preserve">Izvērtēšanas kritērija jautājums: </w:t>
            </w:r>
            <w:r w:rsidRPr="008F64A0">
              <w:rPr>
                <w:bCs/>
              </w:rPr>
              <w:t>Vai fonda vispārīgie mērķi tika sasniegti par saprātīgām izmaksām?</w:t>
            </w:r>
          </w:p>
        </w:tc>
      </w:tr>
    </w:tbl>
    <w:p w14:paraId="713B9B51" w14:textId="3F87095F" w:rsidR="001D34D3" w:rsidRPr="001D34D3" w:rsidRDefault="00CD33FA" w:rsidP="00CD33FA">
      <w:pPr>
        <w:rPr>
          <w:bCs/>
        </w:rPr>
      </w:pPr>
      <w:r>
        <w:rPr>
          <w:bCs/>
        </w:rPr>
        <w:t xml:space="preserve">IDF robežām un vīzām programmas ietvaros SM un tehniskās palīdzības aktivitātēm kopumā bija pieejami </w:t>
      </w:r>
      <w:r w:rsidR="00536665" w:rsidRPr="00536665">
        <w:rPr>
          <w:bCs/>
        </w:rPr>
        <w:t>32 706</w:t>
      </w:r>
      <w:r w:rsidR="00AB5853">
        <w:rPr>
          <w:bCs/>
        </w:rPr>
        <w:t> </w:t>
      </w:r>
      <w:r w:rsidR="00536665" w:rsidRPr="00536665">
        <w:rPr>
          <w:bCs/>
        </w:rPr>
        <w:t>77</w:t>
      </w:r>
      <w:r w:rsidR="00AB5853">
        <w:rPr>
          <w:bCs/>
        </w:rPr>
        <w:t xml:space="preserve">2 </w:t>
      </w:r>
      <w:r>
        <w:rPr>
          <w:bCs/>
          <w:i/>
          <w:iCs/>
        </w:rPr>
        <w:t xml:space="preserve">euro, </w:t>
      </w:r>
      <w:r>
        <w:rPr>
          <w:bCs/>
        </w:rPr>
        <w:t xml:space="preserve">no kuriem kopumā tika apgūti </w:t>
      </w:r>
      <w:r w:rsidR="00AB5853" w:rsidRPr="00AB5853">
        <w:rPr>
          <w:bCs/>
        </w:rPr>
        <w:t>24 747</w:t>
      </w:r>
      <w:r w:rsidR="00AB5853">
        <w:rPr>
          <w:bCs/>
        </w:rPr>
        <w:t> </w:t>
      </w:r>
      <w:r w:rsidR="00AB5853" w:rsidRPr="00AB5853">
        <w:rPr>
          <w:bCs/>
        </w:rPr>
        <w:t>51</w:t>
      </w:r>
      <w:r w:rsidR="00AB5853">
        <w:rPr>
          <w:bCs/>
        </w:rPr>
        <w:t xml:space="preserve">7 </w:t>
      </w:r>
      <w:r>
        <w:rPr>
          <w:bCs/>
          <w:i/>
          <w:iCs/>
        </w:rPr>
        <w:t>euro</w:t>
      </w:r>
      <w:r w:rsidR="000E3754">
        <w:rPr>
          <w:bCs/>
          <w:i/>
          <w:iCs/>
        </w:rPr>
        <w:t xml:space="preserve"> </w:t>
      </w:r>
      <w:r w:rsidR="000E3754">
        <w:rPr>
          <w:bCs/>
        </w:rPr>
        <w:t>jeb 76 %</w:t>
      </w:r>
      <w:r>
        <w:rPr>
          <w:bCs/>
          <w:i/>
          <w:iCs/>
        </w:rPr>
        <w:t xml:space="preserve">. </w:t>
      </w:r>
      <w:r w:rsidR="00F12136">
        <w:rPr>
          <w:bCs/>
        </w:rPr>
        <w:t xml:space="preserve">Nepilnīgā finansējuma apguve </w:t>
      </w:r>
      <w:r w:rsidR="000E3754">
        <w:rPr>
          <w:bCs/>
        </w:rPr>
        <w:t>ir skaidrojama</w:t>
      </w:r>
      <w:r w:rsidR="00F12136">
        <w:rPr>
          <w:bCs/>
        </w:rPr>
        <w:t xml:space="preserve"> ar to, ka lielu daļu kopējā pieejamā finansējuma veidoja papildu EK piešķirtais finansējums sadarbspējas sistēmu attīstīšanai, k</w:t>
      </w:r>
      <w:r w:rsidR="00916343">
        <w:rPr>
          <w:bCs/>
        </w:rPr>
        <w:t>ura izlietojumam bija</w:t>
      </w:r>
      <w:r w:rsidR="00F12136">
        <w:rPr>
          <w:bCs/>
        </w:rPr>
        <w:t xml:space="preserve"> </w:t>
      </w:r>
      <w:r w:rsidR="00916343">
        <w:rPr>
          <w:bCs/>
        </w:rPr>
        <w:t>skaidri definēti</w:t>
      </w:r>
      <w:r w:rsidR="00F12136">
        <w:rPr>
          <w:bCs/>
        </w:rPr>
        <w:t xml:space="preserve"> nosac</w:t>
      </w:r>
      <w:r w:rsidR="00343EA7">
        <w:rPr>
          <w:bCs/>
        </w:rPr>
        <w:t>ījum</w:t>
      </w:r>
      <w:r w:rsidR="00916343">
        <w:rPr>
          <w:bCs/>
        </w:rPr>
        <w:t xml:space="preserve">i. </w:t>
      </w:r>
      <w:r w:rsidR="00343EA7">
        <w:rPr>
          <w:bCs/>
        </w:rPr>
        <w:t>ES centrālo sistēmu izstrād</w:t>
      </w:r>
      <w:r w:rsidR="00916343">
        <w:rPr>
          <w:bCs/>
        </w:rPr>
        <w:t>es procesa kavējumu dēļ</w:t>
      </w:r>
      <w:r w:rsidR="00343EA7">
        <w:rPr>
          <w:bCs/>
        </w:rPr>
        <w:t>, plānošanas periodā nebija iespējams ieviest visas sākotnēji plānotās aktivitātes attiecīb</w:t>
      </w:r>
      <w:r w:rsidR="00BE1865">
        <w:rPr>
          <w:bCs/>
        </w:rPr>
        <w:t>ā</w:t>
      </w:r>
      <w:r w:rsidR="00343EA7">
        <w:rPr>
          <w:bCs/>
        </w:rPr>
        <w:t xml:space="preserve"> uz sadarbspējas sistēmu attīstību, taču finansējuma pārvirzīšana citiem mērķiem </w:t>
      </w:r>
      <w:r w:rsidR="00CE00DE">
        <w:rPr>
          <w:bCs/>
        </w:rPr>
        <w:t xml:space="preserve">nebija iespējama. </w:t>
      </w:r>
    </w:p>
    <w:p w14:paraId="79FD576D" w14:textId="09752B66" w:rsidR="00CD33FA" w:rsidRDefault="00CD33FA" w:rsidP="00CD33FA">
      <w:pPr>
        <w:rPr>
          <w:b/>
        </w:rPr>
      </w:pPr>
      <w:r>
        <w:rPr>
          <w:bCs/>
        </w:rPr>
        <w:t xml:space="preserve">Vienlaikus, finansējuma analīze SM griezumā liecina, ka SM2 ietvaros plānotais finansējums </w:t>
      </w:r>
      <w:r w:rsidR="00123FA4">
        <w:rPr>
          <w:bCs/>
        </w:rPr>
        <w:t>veidoja lielāko daļu no kopējā pieejamā finansējuma, kas daļēji skaidrojams ar Programmai papildu pieejamo finansējumu ETIAS un IIS ieviešanai</w:t>
      </w:r>
      <w:r>
        <w:rPr>
          <w:bCs/>
        </w:rPr>
        <w:t xml:space="preserve"> (</w:t>
      </w:r>
      <w:r w:rsidR="00123FA4">
        <w:rPr>
          <w:bCs/>
        </w:rPr>
        <w:fldChar w:fldCharType="begin"/>
      </w:r>
      <w:r w:rsidR="00123FA4">
        <w:rPr>
          <w:bCs/>
        </w:rPr>
        <w:instrText xml:space="preserve"> REF _Ref189911643 \h </w:instrText>
      </w:r>
      <w:r w:rsidR="00123FA4">
        <w:rPr>
          <w:bCs/>
        </w:rPr>
      </w:r>
      <w:r w:rsidR="00123FA4">
        <w:rPr>
          <w:bCs/>
        </w:rPr>
        <w:fldChar w:fldCharType="separate"/>
      </w:r>
      <w:r w:rsidR="000523B6">
        <w:t xml:space="preserve">Attēls </w:t>
      </w:r>
      <w:r w:rsidR="000523B6">
        <w:rPr>
          <w:noProof/>
        </w:rPr>
        <w:t>19</w:t>
      </w:r>
      <w:r w:rsidR="00123FA4">
        <w:rPr>
          <w:bCs/>
        </w:rPr>
        <w:fldChar w:fldCharType="end"/>
      </w:r>
      <w:r>
        <w:rPr>
          <w:bCs/>
        </w:rPr>
        <w:t>).</w:t>
      </w:r>
      <w:r w:rsidR="00123FA4">
        <w:rPr>
          <w:bCs/>
        </w:rPr>
        <w:t xml:space="preserve"> Vienlaikus nevienam no mērķiem paredzētais finansējums nav ticis apgūts pilnībā</w:t>
      </w:r>
      <w:r w:rsidR="00E06C2D">
        <w:rPr>
          <w:bCs/>
        </w:rPr>
        <w:t>, taču ir apgūts tehniskās palīdzības nodrošināšanai pieejamais budžets.</w:t>
      </w:r>
      <w:r>
        <w:rPr>
          <w:bCs/>
        </w:rPr>
        <w:t xml:space="preserve"> </w:t>
      </w:r>
      <w:r w:rsidR="00E06C2D">
        <w:rPr>
          <w:bCs/>
        </w:rPr>
        <w:t>A</w:t>
      </w:r>
      <w:r>
        <w:rPr>
          <w:bCs/>
        </w:rPr>
        <w:t xml:space="preserve">tbilstoši </w:t>
      </w:r>
      <w:r w:rsidR="00321062">
        <w:rPr>
          <w:bCs/>
        </w:rPr>
        <w:t>2</w:t>
      </w:r>
      <w:r>
        <w:rPr>
          <w:bCs/>
        </w:rPr>
        <w:t>.</w:t>
      </w:r>
      <w:r w:rsidR="00321062">
        <w:rPr>
          <w:bCs/>
        </w:rPr>
        <w:t>2</w:t>
      </w:r>
      <w:r>
        <w:rPr>
          <w:bCs/>
        </w:rPr>
        <w:t xml:space="preserve">.1. nodaļā veiktajai analīzei, </w:t>
      </w:r>
      <w:r w:rsidR="00E06C2D">
        <w:rPr>
          <w:bCs/>
        </w:rPr>
        <w:t>IDF vīzām un robežām</w:t>
      </w:r>
      <w:r>
        <w:rPr>
          <w:bCs/>
        </w:rPr>
        <w:t xml:space="preserve"> ietvaros ir izdevies sasniegt gandrīz visus plānotos rezultatīvos rādītājus, daļu no tiem ievērojami pārsniedzot. </w:t>
      </w:r>
      <w:r w:rsidR="00E06C2D">
        <w:rPr>
          <w:bCs/>
        </w:rPr>
        <w:t>Vienlaikus atsevišķu neieviesto pasākumu īstenošana ir pārcelta uz 2021</w:t>
      </w:r>
      <w:r w:rsidR="00BE1865">
        <w:rPr>
          <w:bCs/>
        </w:rPr>
        <w:t>.</w:t>
      </w:r>
      <w:r w:rsidR="00E06C2D">
        <w:rPr>
          <w:bCs/>
        </w:rPr>
        <w:t>-2027.</w:t>
      </w:r>
      <w:r w:rsidR="00BE1865">
        <w:rPr>
          <w:bCs/>
        </w:rPr>
        <w:t xml:space="preserve"> </w:t>
      </w:r>
      <w:r w:rsidR="00E06C2D">
        <w:rPr>
          <w:bCs/>
        </w:rPr>
        <w:t>gada plānošanas periodu.</w:t>
      </w:r>
    </w:p>
    <w:p w14:paraId="070FF5E6" w14:textId="42052676" w:rsidR="00CD33FA" w:rsidRDefault="00CD33FA" w:rsidP="00CD33FA">
      <w:pPr>
        <w:pStyle w:val="GraphTitle"/>
      </w:pPr>
      <w:bookmarkStart w:id="66" w:name="_Ref189911643"/>
      <w:bookmarkStart w:id="67" w:name="_Ref191388622"/>
      <w:r>
        <w:t xml:space="preserve">Attēls </w:t>
      </w:r>
      <w:r w:rsidR="00C47EA2">
        <w:fldChar w:fldCharType="begin"/>
      </w:r>
      <w:r w:rsidR="00C47EA2">
        <w:instrText xml:space="preserve"> SEQ Attēls \* ARABIC </w:instrText>
      </w:r>
      <w:r w:rsidR="00C47EA2">
        <w:fldChar w:fldCharType="separate"/>
      </w:r>
      <w:r w:rsidR="000523B6">
        <w:t>19</w:t>
      </w:r>
      <w:r w:rsidR="00C47EA2">
        <w:fldChar w:fldCharType="end"/>
      </w:r>
      <w:bookmarkEnd w:id="66"/>
      <w:r w:rsidR="006E2330">
        <w:t>.</w:t>
      </w:r>
      <w:r>
        <w:t xml:space="preserve"> </w:t>
      </w:r>
      <w:r w:rsidR="0071013F">
        <w:t>IDF robežām un vīzām</w:t>
      </w:r>
      <w:r w:rsidRPr="00450F6A">
        <w:t xml:space="preserve"> plānotais un apgūtais finansējums sadalījumā pa SM, miljoni </w:t>
      </w:r>
      <w:r w:rsidRPr="00C0414E">
        <w:rPr>
          <w:i/>
          <w:iCs/>
        </w:rPr>
        <w:t>euro</w:t>
      </w:r>
      <w:bookmarkEnd w:id="67"/>
    </w:p>
    <w:p w14:paraId="0A59316E" w14:textId="15300AA5" w:rsidR="00CD33FA" w:rsidRDefault="006F6710" w:rsidP="00CD33FA">
      <w:pPr>
        <w:rPr>
          <w:b/>
        </w:rPr>
      </w:pPr>
      <w:r>
        <w:rPr>
          <w:noProof/>
        </w:rPr>
        <w:drawing>
          <wp:inline distT="0" distB="0" distL="0" distR="0" wp14:anchorId="6F150992" wp14:editId="6AD2E5D1">
            <wp:extent cx="6475095" cy="2371725"/>
            <wp:effectExtent l="0" t="0" r="1905" b="0"/>
            <wp:docPr id="1485494276" name="Diagramma 1">
              <a:extLst xmlns:a="http://schemas.openxmlformats.org/drawingml/2006/main">
                <a:ext uri="{FF2B5EF4-FFF2-40B4-BE49-F238E27FC236}">
                  <a16:creationId xmlns:a16="http://schemas.microsoft.com/office/drawing/2014/main" id="{CC9E42D1-8C39-B54C-7E43-BC321CD195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AC9F745" w14:textId="4983C4CE" w:rsidR="00CD33FA" w:rsidRPr="00E7584F" w:rsidRDefault="00CD33FA" w:rsidP="00CD33FA">
      <w:pPr>
        <w:pStyle w:val="Parakstszemobjekta"/>
        <w:jc w:val="right"/>
        <w:rPr>
          <w:rStyle w:val="Izsmalcintsizclums"/>
          <w:i/>
          <w:iCs/>
        </w:rPr>
      </w:pPr>
      <w:r w:rsidRPr="00E7584F">
        <w:rPr>
          <w:rStyle w:val="Izsmalcintsizclums"/>
          <w:i/>
          <w:iCs/>
        </w:rPr>
        <w:t xml:space="preserve">Avots: </w:t>
      </w:r>
      <w:r w:rsidR="0071013F" w:rsidRPr="00E7584F">
        <w:rPr>
          <w:rStyle w:val="Izsmalcintsizclums"/>
          <w:i/>
          <w:iCs/>
        </w:rPr>
        <w:t xml:space="preserve">IDF </w:t>
      </w:r>
      <w:r w:rsidRPr="00E7584F">
        <w:rPr>
          <w:rStyle w:val="Izsmalcintsizclums"/>
          <w:i/>
          <w:iCs/>
        </w:rPr>
        <w:t xml:space="preserve">nacionālā programma un 2024.gada </w:t>
      </w:r>
      <w:r w:rsidR="0071013F" w:rsidRPr="00E7584F">
        <w:rPr>
          <w:rStyle w:val="Izsmalcintsizclums"/>
          <w:i/>
          <w:iCs/>
        </w:rPr>
        <w:t>IDF</w:t>
      </w:r>
      <w:r w:rsidRPr="00E7584F">
        <w:rPr>
          <w:rStyle w:val="Izsmalcintsizclums"/>
          <w:i/>
          <w:iCs/>
        </w:rPr>
        <w:t xml:space="preserve"> ieviešanas ziņojums</w:t>
      </w:r>
    </w:p>
    <w:p w14:paraId="511FCF48" w14:textId="50D5FC73" w:rsidR="00CD33FA" w:rsidRDefault="00CD2A5A" w:rsidP="00CD33FA">
      <w:r>
        <w:t xml:space="preserve">Finansējumu saņēmēju aptaujas rezultāti sniedz pozitīvu vērtējumu pieejamā finansējuma atbilstībai projektu sasniedzamajiem rezultātiem </w:t>
      </w:r>
      <w:r w:rsidR="00796689">
        <w:rPr>
          <w:rFonts w:cstheme="minorHAnsi"/>
        </w:rPr>
        <w:t>–</w:t>
      </w:r>
      <w:r w:rsidRPr="007B2BB7">
        <w:t xml:space="preserve"> 7</w:t>
      </w:r>
      <w:r w:rsidR="001473F6">
        <w:t>5</w:t>
      </w:r>
      <w:r w:rsidRPr="007B2BB7">
        <w:t xml:space="preserve"> % </w:t>
      </w:r>
      <w:r>
        <w:t xml:space="preserve">respondentu apstiprina, ka </w:t>
      </w:r>
      <w:r w:rsidRPr="007B2BB7">
        <w:t xml:space="preserve">finansējums ir bijis pilnībā atbilstošs, savukārt 17 % </w:t>
      </w:r>
      <w:r>
        <w:t xml:space="preserve">aptaujāto </w:t>
      </w:r>
      <w:r w:rsidRPr="007B2BB7">
        <w:t>norāda</w:t>
      </w:r>
      <w:r>
        <w:t xml:space="preserve"> uz </w:t>
      </w:r>
      <w:r w:rsidRPr="007B2BB7">
        <w:t>daļēj</w:t>
      </w:r>
      <w:r>
        <w:t>u</w:t>
      </w:r>
      <w:r w:rsidRPr="007B2BB7">
        <w:t xml:space="preserve"> atbilst</w:t>
      </w:r>
      <w:r>
        <w:t>ību</w:t>
      </w:r>
      <w:r w:rsidRPr="007B2BB7">
        <w:t xml:space="preserve"> (</w:t>
      </w:r>
      <w:r w:rsidR="00BE2F97">
        <w:fldChar w:fldCharType="begin"/>
      </w:r>
      <w:r w:rsidR="00BE2F97">
        <w:instrText xml:space="preserve"> REF _Ref190870246 \h </w:instrText>
      </w:r>
      <w:r w:rsidR="00BE2F97">
        <w:fldChar w:fldCharType="separate"/>
      </w:r>
      <w:r w:rsidR="000523B6">
        <w:t xml:space="preserve">Attēls </w:t>
      </w:r>
      <w:r w:rsidR="000523B6">
        <w:rPr>
          <w:noProof/>
        </w:rPr>
        <w:t>20</w:t>
      </w:r>
      <w:r w:rsidR="00BE2F97">
        <w:fldChar w:fldCharType="end"/>
      </w:r>
      <w:r>
        <w:rPr>
          <w:highlight w:val="yellow"/>
        </w:rPr>
        <w:fldChar w:fldCharType="begin"/>
      </w:r>
      <w:r>
        <w:instrText xml:space="preserve"> REF _Ref190265770 \h </w:instrText>
      </w:r>
      <w:r>
        <w:rPr>
          <w:highlight w:val="yellow"/>
        </w:rPr>
      </w:r>
      <w:r>
        <w:rPr>
          <w:highlight w:val="yellow"/>
        </w:rPr>
        <w:fldChar w:fldCharType="separate"/>
      </w:r>
      <w:r>
        <w:rPr>
          <w:highlight w:val="yellow"/>
        </w:rPr>
        <w:fldChar w:fldCharType="end"/>
      </w:r>
      <w:r w:rsidRPr="007B2BB7">
        <w:t>).</w:t>
      </w:r>
      <w:r>
        <w:t xml:space="preserve"> </w:t>
      </w:r>
      <w:r w:rsidR="00762D99">
        <w:t>Savukārt atbildīgās iestādes pārstāvji norāda, ka kopējās vajadzības šajā nozarē ievērojami pārsniedza pieejamos līdzekļus</w:t>
      </w:r>
      <w:r w:rsidR="00762400">
        <w:t>, tādēļ, izvēloties atbalstāmos pasākumus bija nepieciešams izvērtēt galvenās prioritātes</w:t>
      </w:r>
      <w:r w:rsidR="002842F7">
        <w:t xml:space="preserve">, kuru īstenošanai piešķirt finanšu līdzekļus. </w:t>
      </w:r>
    </w:p>
    <w:p w14:paraId="77B16C30" w14:textId="77777777" w:rsidR="00C87492" w:rsidRDefault="00C87492" w:rsidP="00CD33FA"/>
    <w:p w14:paraId="7C8B95BB" w14:textId="77777777" w:rsidR="00C87492" w:rsidRDefault="00C87492" w:rsidP="00CD33FA"/>
    <w:p w14:paraId="165EF512" w14:textId="77777777" w:rsidR="00C87492" w:rsidRDefault="00C87492" w:rsidP="00CD33FA"/>
    <w:p w14:paraId="1305BB5A" w14:textId="625EAC63" w:rsidR="00BE2F97" w:rsidRDefault="00BE2F97" w:rsidP="00BE2F97">
      <w:pPr>
        <w:pStyle w:val="GraphTitle"/>
      </w:pPr>
      <w:bookmarkStart w:id="68" w:name="_Ref190870246"/>
      <w:bookmarkStart w:id="69" w:name="_Ref191388623"/>
      <w:r>
        <w:lastRenderedPageBreak/>
        <w:t xml:space="preserve">Attēls </w:t>
      </w:r>
      <w:r w:rsidR="00C47EA2">
        <w:fldChar w:fldCharType="begin"/>
      </w:r>
      <w:r w:rsidR="00C47EA2">
        <w:instrText xml:space="preserve"> SEQ Attēls \* ARABIC </w:instrText>
      </w:r>
      <w:r w:rsidR="00C47EA2">
        <w:fldChar w:fldCharType="separate"/>
      </w:r>
      <w:r w:rsidR="000523B6">
        <w:t>20</w:t>
      </w:r>
      <w:r w:rsidR="00C47EA2">
        <w:fldChar w:fldCharType="end"/>
      </w:r>
      <w:bookmarkEnd w:id="68"/>
      <w:r>
        <w:t xml:space="preserve">. Finansējuma saņēmēju vērtējums par </w:t>
      </w:r>
      <w:r w:rsidRPr="00233987">
        <w:t>pieejamā finansējuma atbilstību sasniedzamajiem rezultātiem</w:t>
      </w:r>
      <w:bookmarkEnd w:id="69"/>
    </w:p>
    <w:p w14:paraId="5DF11D5F" w14:textId="77777777" w:rsidR="00BE2F97" w:rsidRPr="000F76D2" w:rsidRDefault="00BE2F97" w:rsidP="00BE2F97">
      <w:r>
        <w:rPr>
          <w:noProof/>
        </w:rPr>
        <w:drawing>
          <wp:inline distT="0" distB="0" distL="0" distR="0" wp14:anchorId="6363950B" wp14:editId="3F4EB5BB">
            <wp:extent cx="6451600" cy="1428750"/>
            <wp:effectExtent l="0" t="0" r="6350" b="0"/>
            <wp:docPr id="1163765404" name="Chart 1">
              <a:extLst xmlns:a="http://schemas.openxmlformats.org/drawingml/2006/main">
                <a:ext uri="{FF2B5EF4-FFF2-40B4-BE49-F238E27FC236}">
                  <a16:creationId xmlns:a16="http://schemas.microsoft.com/office/drawing/2014/main" id="{C21634F5-ED3F-4422-8845-B566D5C5C9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600AFC4" w14:textId="77777777" w:rsidR="00BE2F97" w:rsidRPr="00785D09" w:rsidRDefault="00BE2F97" w:rsidP="00BE2F97">
      <w:pPr>
        <w:jc w:val="right"/>
        <w:rPr>
          <w:rStyle w:val="Izsmalcintsizclums"/>
        </w:rPr>
      </w:pPr>
      <w:r w:rsidRPr="00785D09">
        <w:rPr>
          <w:rStyle w:val="Izsmalcintsizclums"/>
        </w:rPr>
        <w:t>Avots: Finansējuma saņēmēju aptauja, n=12</w:t>
      </w:r>
    </w:p>
    <w:p w14:paraId="431E9DAE" w14:textId="612BDA47" w:rsidR="00B95913" w:rsidRDefault="00B95913" w:rsidP="00B95913">
      <w:r>
        <w:t>Finansējuma saņēmēju aptaujā visvairāk</w:t>
      </w:r>
      <w:r w:rsidRPr="000F76D2">
        <w:t xml:space="preserve"> jeb </w:t>
      </w:r>
      <w:r w:rsidR="006419DC">
        <w:t>11</w:t>
      </w:r>
      <w:r w:rsidRPr="000F76D2">
        <w:t xml:space="preserve"> </w:t>
      </w:r>
      <w:r>
        <w:t>respondent</w:t>
      </w:r>
      <w:r w:rsidR="00297217">
        <w:t>i</w:t>
      </w:r>
      <w:r w:rsidRPr="000F76D2">
        <w:t xml:space="preserve"> norādīja, ka pasākumu</w:t>
      </w:r>
      <w:r>
        <w:t xml:space="preserve"> plānošanā balstās uz </w:t>
      </w:r>
      <w:r w:rsidRPr="000F76D2">
        <w:t>līdzšinēj</w:t>
      </w:r>
      <w:r>
        <w:t>o</w:t>
      </w:r>
      <w:r w:rsidRPr="000F76D2">
        <w:t xml:space="preserve"> pieredz</w:t>
      </w:r>
      <w:r>
        <w:t>i</w:t>
      </w:r>
      <w:r w:rsidRPr="000F76D2">
        <w:t xml:space="preserve"> līdzīgu pasākumu īstenošanā. Tāpat finansējuma saņēmēji norādīja, ka tiek ņemtas vērā ārēji noteiktās prasības, piemēram, ES regulās, nacionālajos normatīvajos aktos, kā arī </w:t>
      </w:r>
      <w:r>
        <w:t>vajadzības, kas ir identificētas veicot</w:t>
      </w:r>
      <w:r w:rsidRPr="000F76D2">
        <w:t xml:space="preserve"> </w:t>
      </w:r>
      <w:r>
        <w:t xml:space="preserve">iestādes, organizācijas vai </w:t>
      </w:r>
      <w:r w:rsidRPr="000F76D2">
        <w:t xml:space="preserve">mērķa grupu </w:t>
      </w:r>
      <w:r>
        <w:t>vajadzību i</w:t>
      </w:r>
      <w:r w:rsidRPr="000F76D2">
        <w:t>epriekšēj</w:t>
      </w:r>
      <w:r>
        <w:t>u izpēti</w:t>
      </w:r>
      <w:r w:rsidRPr="000F76D2">
        <w:t xml:space="preserve"> (</w:t>
      </w:r>
      <w:r w:rsidR="00A11C4D">
        <w:rPr>
          <w:highlight w:val="yellow"/>
        </w:rPr>
        <w:fldChar w:fldCharType="begin"/>
      </w:r>
      <w:r w:rsidR="00A11C4D">
        <w:instrText xml:space="preserve"> REF _Ref190870364 \h </w:instrText>
      </w:r>
      <w:r w:rsidR="00A11C4D">
        <w:rPr>
          <w:highlight w:val="yellow"/>
        </w:rPr>
      </w:r>
      <w:r w:rsidR="00A11C4D">
        <w:rPr>
          <w:highlight w:val="yellow"/>
        </w:rPr>
        <w:fldChar w:fldCharType="separate"/>
      </w:r>
      <w:r w:rsidR="000523B6">
        <w:t xml:space="preserve">Attēls </w:t>
      </w:r>
      <w:r w:rsidR="000523B6">
        <w:rPr>
          <w:noProof/>
        </w:rPr>
        <w:t>21</w:t>
      </w:r>
      <w:r w:rsidR="00A11C4D">
        <w:rPr>
          <w:highlight w:val="yellow"/>
        </w:rPr>
        <w:fldChar w:fldCharType="end"/>
      </w:r>
      <w:r w:rsidRPr="000F76D2">
        <w:t>).</w:t>
      </w:r>
    </w:p>
    <w:p w14:paraId="57CB2680" w14:textId="426D030C" w:rsidR="00A11C4D" w:rsidRDefault="00A11C4D" w:rsidP="00A11C4D">
      <w:pPr>
        <w:pStyle w:val="GraphTitle"/>
      </w:pPr>
      <w:bookmarkStart w:id="70" w:name="_Ref190870364"/>
      <w:bookmarkStart w:id="71" w:name="_Ref191388627"/>
      <w:r>
        <w:t xml:space="preserve">Attēls </w:t>
      </w:r>
      <w:r w:rsidR="00C47EA2">
        <w:fldChar w:fldCharType="begin"/>
      </w:r>
      <w:r w:rsidR="00C47EA2">
        <w:instrText xml:space="preserve"> SEQ Attēls \* ARABIC </w:instrText>
      </w:r>
      <w:r w:rsidR="00C47EA2">
        <w:fldChar w:fldCharType="separate"/>
      </w:r>
      <w:r w:rsidR="000523B6">
        <w:t>21</w:t>
      </w:r>
      <w:r w:rsidR="00C47EA2">
        <w:fldChar w:fldCharType="end"/>
      </w:r>
      <w:bookmarkEnd w:id="70"/>
      <w:r>
        <w:t xml:space="preserve">. </w:t>
      </w:r>
      <w:r w:rsidRPr="00392C64">
        <w:t>Finansējuma saņēmēju vērtējums par aspektiem, kas tika ņemti vērā, plānojot projekta/-u pasākumus un aktivitātes</w:t>
      </w:r>
      <w:bookmarkEnd w:id="71"/>
    </w:p>
    <w:p w14:paraId="15E6FB4C" w14:textId="67191C73" w:rsidR="00E12525" w:rsidRDefault="00E12525" w:rsidP="00B95913">
      <w:r>
        <w:rPr>
          <w:noProof/>
        </w:rPr>
        <w:drawing>
          <wp:inline distT="0" distB="0" distL="0" distR="0" wp14:anchorId="49656355" wp14:editId="1A453636">
            <wp:extent cx="6451600" cy="2247900"/>
            <wp:effectExtent l="0" t="0" r="6350" b="0"/>
            <wp:docPr id="632695787" name="Chart 1">
              <a:extLst xmlns:a="http://schemas.openxmlformats.org/drawingml/2006/main">
                <a:ext uri="{FF2B5EF4-FFF2-40B4-BE49-F238E27FC236}">
                  <a16:creationId xmlns:a16="http://schemas.microsoft.com/office/drawing/2014/main" id="{4915F2D0-624A-4D62-A96C-5110036FE8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08F0C83" w14:textId="77777777" w:rsidR="00E12525" w:rsidRPr="00785D09" w:rsidRDefault="00E12525" w:rsidP="00E12525">
      <w:pPr>
        <w:jc w:val="right"/>
        <w:rPr>
          <w:rStyle w:val="Izsmalcintsizclums"/>
        </w:rPr>
      </w:pPr>
      <w:r w:rsidRPr="00785D09">
        <w:rPr>
          <w:rStyle w:val="Izsmalcintsizclums"/>
        </w:rPr>
        <w:t>Avots: Finansējuma saņēmēju aptauja, n=12</w:t>
      </w:r>
    </w:p>
    <w:p w14:paraId="779A306E" w14:textId="535D4F91" w:rsidR="003128BF" w:rsidRDefault="003128BF" w:rsidP="003128BF">
      <w:r>
        <w:t xml:space="preserve">IDF robežām un vīzēm ietvaros ir ņemti vērā arī attiecīgo pasākumu efektivitātes aspekti. Piemēram, IDF nacionālajā programmā norādīts, ka, plānojot ABC vārtu ieviešanu, ir tikušas izmantotas </w:t>
      </w:r>
      <w:r w:rsidRPr="000361B2">
        <w:t>Frontex</w:t>
      </w:r>
      <w:r>
        <w:t xml:space="preserve"> vadlīnijas</w:t>
      </w:r>
      <w:r>
        <w:rPr>
          <w:rStyle w:val="Vresatsauce"/>
        </w:rPr>
        <w:footnoteReference w:id="38"/>
      </w:r>
      <w:r>
        <w:t xml:space="preserve"> šādu sistēmu ieviešanai.</w:t>
      </w:r>
    </w:p>
    <w:p w14:paraId="60C5BFBF" w14:textId="77777777" w:rsidR="00386EDF" w:rsidRDefault="00386EDF" w:rsidP="00386EDF">
      <w:r>
        <w:t xml:space="preserve">Projektu izvērtēšanas laikā lietderības aspekts tika vērtēts projekta iesniegumu kvalitātes un budžeta kritēriju kontekstā. Vienlaikus Programmas īstenošanas laikā tika ieviesta papildu kontroles procedūra, kas paredzēja finansējuma saņēmējiem, veicot projektu grozījumus vai iesniedzot jaunus projektu iesniegumus, pievienot tirgus izpētes dokumentāciju. Šī prasība tika ieviesta, lai gūtu pārliecību par budžetā ieplānoto līdzekļu atbilstību tirgus cenu līmenim. </w:t>
      </w:r>
    </w:p>
    <w:p w14:paraId="1D59F930" w14:textId="77777777" w:rsidR="00386EDF" w:rsidRPr="00B16D79" w:rsidRDefault="00386EDF" w:rsidP="00386EDF">
      <w:r>
        <w:t>Programmas uzraudzības un pārvaldības sistēmā bija</w:t>
      </w:r>
      <w:r w:rsidRPr="00F70221">
        <w:t xml:space="preserve"> nodrošināti mehānismi, kas sekmē</w:t>
      </w:r>
      <w:r>
        <w:t>ja projektu</w:t>
      </w:r>
      <w:r w:rsidRPr="00F70221">
        <w:t xml:space="preserve"> izmaksu atbilstību tirgus </w:t>
      </w:r>
      <w:r>
        <w:t>situācijai.</w:t>
      </w:r>
      <w:r w:rsidRPr="00F70221">
        <w:t xml:space="preserve"> </w:t>
      </w:r>
      <w:r>
        <w:t>Piemēram, granta līguma pielikumā definētie izmaksu attiecināmības pamatprincipi noteica finansējuma saņēmēju pienākumus</w:t>
      </w:r>
      <w:r w:rsidRPr="00FB16AA">
        <w:t xml:space="preserve"> iepirkum</w:t>
      </w:r>
      <w:r>
        <w:t>os</w:t>
      </w:r>
      <w:r w:rsidRPr="00FB16AA">
        <w:t xml:space="preserve"> un </w:t>
      </w:r>
      <w:r>
        <w:t>līgumos par</w:t>
      </w:r>
      <w:r w:rsidRPr="00FB16AA">
        <w:t xml:space="preserve"> preču piegād</w:t>
      </w:r>
      <w:r>
        <w:t>i</w:t>
      </w:r>
      <w:r w:rsidRPr="00FB16AA">
        <w:t xml:space="preserve"> vai pakalpojum</w:t>
      </w:r>
      <w:r>
        <w:t>iem</w:t>
      </w:r>
      <w:r w:rsidRPr="00FB16AA">
        <w:t xml:space="preserve"> </w:t>
      </w:r>
      <w:r>
        <w:t>ievērot</w:t>
      </w:r>
      <w:r w:rsidRPr="00FB16AA">
        <w:t xml:space="preserve"> labas saimnieciskās prakses, </w:t>
      </w:r>
      <w:r>
        <w:t xml:space="preserve">procesa </w:t>
      </w:r>
      <w:r w:rsidRPr="00FB16AA">
        <w:t>caurskatāmīb</w:t>
      </w:r>
      <w:r>
        <w:t>u</w:t>
      </w:r>
      <w:r w:rsidRPr="00FB16AA">
        <w:t xml:space="preserve"> un godīgas konkurences </w:t>
      </w:r>
      <w:r w:rsidRPr="00FB16AA">
        <w:lastRenderedPageBreak/>
        <w:t>princip</w:t>
      </w:r>
      <w:r>
        <w:t>u</w:t>
      </w:r>
      <w:r w:rsidRPr="00FB16AA">
        <w:t xml:space="preserve">s, kā arī </w:t>
      </w:r>
      <w:r>
        <w:t xml:space="preserve">nodrošināt </w:t>
      </w:r>
      <w:r w:rsidRPr="00FB16AA">
        <w:t>piešķirtā finansējuma</w:t>
      </w:r>
      <w:r>
        <w:t xml:space="preserve"> lietderīgu</w:t>
      </w:r>
      <w:r w:rsidRPr="00FB16AA">
        <w:t xml:space="preserve"> izlietojum</w:t>
      </w:r>
      <w:r>
        <w:t xml:space="preserve">u. Vienlaikus, finansējuma saņēmējiem bija noteikts pienākums veikt cenu aptauju vai tirgus izpēti gadījumos, kad </w:t>
      </w:r>
      <w:r w:rsidRPr="0093421F">
        <w:t>līdzīga veida preču iegād</w:t>
      </w:r>
      <w:r>
        <w:t>es</w:t>
      </w:r>
      <w:r w:rsidRPr="0093421F">
        <w:t>, pakalpojumu saņemšan</w:t>
      </w:r>
      <w:r>
        <w:t>as</w:t>
      </w:r>
      <w:r w:rsidRPr="0093421F">
        <w:t xml:space="preserve"> vai būvdarb</w:t>
      </w:r>
      <w:r>
        <w:t>u kopējā summa</w:t>
      </w:r>
      <w:r w:rsidRPr="0093421F">
        <w:t xml:space="preserve"> </w:t>
      </w:r>
      <w:r>
        <w:t>bija</w:t>
      </w:r>
      <w:r w:rsidRPr="0093421F">
        <w:t xml:space="preserve"> lielāka par 1 500 </w:t>
      </w:r>
      <w:r>
        <w:rPr>
          <w:i/>
          <w:iCs/>
        </w:rPr>
        <w:t>euro</w:t>
      </w:r>
      <w:r>
        <w:t>. Šādos gadījumos bija jāapkopo vismaz 3 pretendentu piedāvājumi</w:t>
      </w:r>
      <w:r>
        <w:rPr>
          <w:i/>
          <w:iCs/>
        </w:rPr>
        <w:t xml:space="preserve">, </w:t>
      </w:r>
      <w:r>
        <w:t>izvēloties piegādātāju ar zemāko cenu piedāvājumu</w:t>
      </w:r>
      <w:r>
        <w:rPr>
          <w:i/>
          <w:iCs/>
        </w:rPr>
        <w:t xml:space="preserve">. </w:t>
      </w:r>
    </w:p>
    <w:p w14:paraId="1FB96CB9" w14:textId="5E4C03A0" w:rsidR="00386EDF" w:rsidRDefault="0041137A" w:rsidP="00386EDF">
      <w:r w:rsidRPr="0041137A">
        <w:t xml:space="preserve">Papildu tam, valsts pārvaldes iestādēm kā finansējuma saņēmējiem bija saistošas Publiskā iepirkumu likumu prasības, kurās ir noteiktas līgumcenu robežvērtības, kas nosaka obligātu publiskā iepirkuma likuma normu piemērošanu, kas ir vērstas uz iepirkuma atklātumu, vienlīdzīgas konkurences nodrošināšanu, līdzekļu efektīvu izlietošanu un optimālākā piegādātāja izvēli, balstoties uz saimnieciski izdevīgāka piedāvājuma principu. </w:t>
      </w:r>
      <w:r w:rsidR="00386EDF">
        <w:t xml:space="preserve"> </w:t>
      </w:r>
    </w:p>
    <w:p w14:paraId="4B68D2E3" w14:textId="1B573E86" w:rsidR="00414302" w:rsidRPr="00EB4F51" w:rsidRDefault="00414302" w:rsidP="00414302">
      <w:r w:rsidRPr="00414302">
        <w:t>Programmas administratīvā sloga novērtējumā, izmantojot skalu no 1 līdz 5 (kur 1 apzīmē lielu administratīvo slogu, bet 5 — optimālu), finansējuma saņēmēji to vidēji novērtē ar 2,</w:t>
      </w:r>
      <w:r w:rsidR="00BE5668">
        <w:t>33</w:t>
      </w:r>
      <w:r w:rsidRPr="00414302">
        <w:t>, kas norāda, ka Programmu slogs ir bijis drīzāk liels.</w:t>
      </w:r>
      <w:r w:rsidRPr="00EB4F51">
        <w:t xml:space="preserve"> </w:t>
      </w:r>
    </w:p>
    <w:p w14:paraId="6D1DEAA0" w14:textId="41E36505" w:rsidR="00414302" w:rsidRDefault="00414302" w:rsidP="00F04438">
      <w:r>
        <w:t>F</w:t>
      </w:r>
      <w:r w:rsidRPr="00215DED">
        <w:t>inansējuma saņēmēju vērtējum</w:t>
      </w:r>
      <w:r>
        <w:t>ā</w:t>
      </w:r>
      <w:r w:rsidRPr="00215DED">
        <w:t xml:space="preserve"> projektu īstenošan</w:t>
      </w:r>
      <w:r>
        <w:t>as</w:t>
      </w:r>
      <w:r w:rsidRPr="00215DED">
        <w:t xml:space="preserve"> gaitu</w:t>
      </w:r>
      <w:r>
        <w:t xml:space="preserve"> visvairāk ietekmējušas administratīvas procedūras</w:t>
      </w:r>
      <w:r w:rsidR="00621616">
        <w:t xml:space="preserve"> kā, i</w:t>
      </w:r>
      <w:r w:rsidR="0023232E" w:rsidRPr="00215DED">
        <w:t>epirkumu procedūru dokumentācijas sagatavošan</w:t>
      </w:r>
      <w:r w:rsidR="0023232E">
        <w:t>a</w:t>
      </w:r>
      <w:r w:rsidR="0023232E" w:rsidRPr="00215DED">
        <w:t xml:space="preserve"> un</w:t>
      </w:r>
      <w:r w:rsidR="0023232E">
        <w:t xml:space="preserve"> iepirkumu</w:t>
      </w:r>
      <w:r w:rsidR="0023232E" w:rsidRPr="00215DED">
        <w:t xml:space="preserve"> īstenošan</w:t>
      </w:r>
      <w:r w:rsidR="0023232E">
        <w:t>a</w:t>
      </w:r>
      <w:r w:rsidR="00621616">
        <w:t xml:space="preserve"> un </w:t>
      </w:r>
      <w:r w:rsidR="0021385E" w:rsidRPr="0021385E">
        <w:t>grozījumu veikšana projektu līgumos, tai skaitā iesnieguma formās</w:t>
      </w:r>
      <w:r w:rsidR="00704DF7">
        <w:t xml:space="preserve">. Tāpat </w:t>
      </w:r>
      <w:r w:rsidR="00590623">
        <w:t xml:space="preserve">finansējuma saņēmēji norāda, </w:t>
      </w:r>
      <w:r w:rsidR="00F04438">
        <w:t xml:space="preserve">ka </w:t>
      </w:r>
      <w:r w:rsidR="007E056C">
        <w:t xml:space="preserve">projektu īstenošanas gaitu ietekmēja arī </w:t>
      </w:r>
      <w:r w:rsidRPr="00BA059D">
        <w:t>vienotas projektu uzraudzības sistēmas trūkum</w:t>
      </w:r>
      <w:r>
        <w:t>s (</w:t>
      </w:r>
      <w:r w:rsidR="007E056C">
        <w:rPr>
          <w:highlight w:val="yellow"/>
        </w:rPr>
        <w:fldChar w:fldCharType="begin"/>
      </w:r>
      <w:r w:rsidR="007E056C">
        <w:instrText xml:space="preserve"> REF _Ref190871657 \h </w:instrText>
      </w:r>
      <w:r w:rsidR="007E056C">
        <w:rPr>
          <w:highlight w:val="yellow"/>
        </w:rPr>
      </w:r>
      <w:r w:rsidR="007E056C">
        <w:rPr>
          <w:highlight w:val="yellow"/>
        </w:rPr>
        <w:fldChar w:fldCharType="separate"/>
      </w:r>
      <w:r w:rsidR="000523B6">
        <w:t xml:space="preserve">Attēls </w:t>
      </w:r>
      <w:r w:rsidR="000523B6">
        <w:rPr>
          <w:noProof/>
        </w:rPr>
        <w:t>22</w:t>
      </w:r>
      <w:r w:rsidR="007E056C">
        <w:rPr>
          <w:highlight w:val="yellow"/>
        </w:rPr>
        <w:fldChar w:fldCharType="end"/>
      </w:r>
      <w:r>
        <w:t>)</w:t>
      </w:r>
      <w:r w:rsidRPr="00BA059D">
        <w:t>.</w:t>
      </w:r>
      <w:r>
        <w:t xml:space="preserve"> </w:t>
      </w:r>
    </w:p>
    <w:p w14:paraId="63AF1D95" w14:textId="4EF6CA48" w:rsidR="0023232E" w:rsidRDefault="0023232E" w:rsidP="0023232E">
      <w:pPr>
        <w:pStyle w:val="GraphTitle"/>
      </w:pPr>
      <w:bookmarkStart w:id="72" w:name="_Ref190871657"/>
      <w:bookmarkStart w:id="73" w:name="_Ref191388628"/>
      <w:r>
        <w:t xml:space="preserve">Attēls </w:t>
      </w:r>
      <w:r w:rsidR="00C47EA2">
        <w:fldChar w:fldCharType="begin"/>
      </w:r>
      <w:r w:rsidR="00C47EA2">
        <w:instrText xml:space="preserve"> SEQ Attēls \* ARABIC </w:instrText>
      </w:r>
      <w:r w:rsidR="00C47EA2">
        <w:fldChar w:fldCharType="separate"/>
      </w:r>
      <w:r w:rsidR="000523B6">
        <w:t>22</w:t>
      </w:r>
      <w:r w:rsidR="00C47EA2">
        <w:fldChar w:fldCharType="end"/>
      </w:r>
      <w:bookmarkEnd w:id="72"/>
      <w:r>
        <w:t xml:space="preserve">. </w:t>
      </w:r>
      <w:r w:rsidRPr="00814E1A">
        <w:t>Finansējuma saņēmēju vērtējums par administratīvajām procedūrām, kas visvairāk ietekmēja projekta/-u īstenošanas gaitu</w:t>
      </w:r>
      <w:bookmarkEnd w:id="73"/>
    </w:p>
    <w:p w14:paraId="46286F0E" w14:textId="5BAB4AF5" w:rsidR="00BB6BAF" w:rsidRDefault="00853E7F" w:rsidP="00414302">
      <w:r>
        <w:rPr>
          <w:noProof/>
        </w:rPr>
        <w:drawing>
          <wp:inline distT="0" distB="0" distL="0" distR="0" wp14:anchorId="556791F0" wp14:editId="6C3D7B13">
            <wp:extent cx="6553200" cy="2800350"/>
            <wp:effectExtent l="0" t="0" r="0" b="0"/>
            <wp:docPr id="1412733120" name="Chart 1">
              <a:extLst xmlns:a="http://schemas.openxmlformats.org/drawingml/2006/main">
                <a:ext uri="{FF2B5EF4-FFF2-40B4-BE49-F238E27FC236}">
                  <a16:creationId xmlns:a16="http://schemas.microsoft.com/office/drawing/2014/main" id="{282A0CC7-C8E7-4AB0-9CB3-6E32652BF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98B9DDD" w14:textId="6BE70BBE" w:rsidR="00B94011" w:rsidRPr="00785D09" w:rsidRDefault="00B94011" w:rsidP="00B94011">
      <w:pPr>
        <w:jc w:val="right"/>
        <w:rPr>
          <w:rStyle w:val="Izsmalcintsizclums"/>
        </w:rPr>
      </w:pPr>
      <w:r w:rsidRPr="00785D09">
        <w:rPr>
          <w:rStyle w:val="Izsmalcintsizclums"/>
        </w:rPr>
        <w:t>Avots: Finansējuma saņēmēju aptauja, n=12</w:t>
      </w:r>
    </w:p>
    <w:p w14:paraId="3E554129" w14:textId="00BC32D4" w:rsidR="007D2C47" w:rsidRDefault="00671456" w:rsidP="00CD33FA">
      <w:r>
        <w:t xml:space="preserve">Arī revīzijas iestādes pārstāvji identificē </w:t>
      </w:r>
      <w:r w:rsidRPr="00912A72">
        <w:t xml:space="preserve">publisko iepirkumu procedūras kā vienu no būtiskākajiem izaicinājumiem projektu īstenošanā. </w:t>
      </w:r>
      <w:r>
        <w:t>Atbildīgās</w:t>
      </w:r>
      <w:r w:rsidRPr="00912A72">
        <w:t xml:space="preserve"> iestādes ieviestās iepirkumu pirmspārbaudes ir ievērojami uzlabojušas procesu kvalitāti, tādējādi samazinot neatbilstību skaitu iepirkumu īstenošanas gaitā. Tomēr joprojām pastāv izaicinājumi saistībā ar finansējuma saņēmēju ierobežoto kapacitāti</w:t>
      </w:r>
      <w:r>
        <w:t xml:space="preserve">, ko ietekmē gan </w:t>
      </w:r>
      <w:r w:rsidRPr="00912A72">
        <w:t xml:space="preserve"> ievērojamais iepirkumu apjoms, </w:t>
      </w:r>
      <w:r>
        <w:t xml:space="preserve">gan </w:t>
      </w:r>
      <w:r w:rsidRPr="00912A72">
        <w:t xml:space="preserve">prakse, ka </w:t>
      </w:r>
      <w:r>
        <w:t xml:space="preserve">projektu </w:t>
      </w:r>
      <w:r w:rsidRPr="00912A72">
        <w:t xml:space="preserve">iepirkumu </w:t>
      </w:r>
      <w:r>
        <w:t>nodrošināšana</w:t>
      </w:r>
      <w:r w:rsidRPr="00912A72">
        <w:t xml:space="preserve"> bieži tiek noteikta kā papildu darba pienākums esošajiem darbiniekiem.</w:t>
      </w:r>
    </w:p>
    <w:p w14:paraId="330CB926" w14:textId="535350F2" w:rsidR="00943F54" w:rsidRDefault="00943F54" w:rsidP="00CD33FA">
      <w:r>
        <w:t xml:space="preserve">IDF vīzām un robežām projektu finansējuma saņēmēji īpaši izceļ iepirkumu un ar to saistīto procesu ietekmi uz administratīvo slogu. Ņemot vērā projektu specifiku, izaicinājumi ir bijuši gan saistībā ar tehnisko </w:t>
      </w:r>
      <w:r>
        <w:lastRenderedPageBreak/>
        <w:t xml:space="preserve">specifikāciju izstrādi, kas nereti bija ļoti apjomīgas un </w:t>
      </w:r>
      <w:r w:rsidR="006F79B8">
        <w:t>ietvēra</w:t>
      </w:r>
      <w:r>
        <w:t xml:space="preserve"> kompleks</w:t>
      </w:r>
      <w:r w:rsidR="006F79B8">
        <w:t>as</w:t>
      </w:r>
      <w:r>
        <w:t xml:space="preserve"> prasīb</w:t>
      </w:r>
      <w:r w:rsidR="006F79B8">
        <w:t>as</w:t>
      </w:r>
      <w:r>
        <w:t xml:space="preserve">, gan arī </w:t>
      </w:r>
      <w:r w:rsidR="009764C9">
        <w:t>atbilstošu</w:t>
      </w:r>
      <w:r w:rsidR="00BD23E4">
        <w:t xml:space="preserve"> piegādātāju piesaisti, īpaši attiecībā uz specifiska aprīkojuma iegādi. </w:t>
      </w:r>
    </w:p>
    <w:p w14:paraId="039C8F7A" w14:textId="77777777" w:rsidR="004431DA" w:rsidRDefault="004431DA" w:rsidP="004431DA">
      <w:r>
        <w:t>Projektu grozījumu process, lai arī bija iespējams, radīja ievērojamu administratīvo slogu pat relatīvi maznozīmīgu izmaiņu gadījumos, piemēram, veicot projektā iesaistītā personāla izmaiņas. Resursu un laika ietilpīga bija ikmēneša finanšu atskaišu sagatavošana, ņemot vērā tajās ietveramās informācijas detalizācijas pakāpi. Turpretī pozitīvi vērtējama ieviestā prakse, kas ļāva nebūtiskas atskaišu satura neprecizitātes labot nākamajā pārskata periodā, tādējādi neaizkavējot atskaišu apstiprināšanas procesu.</w:t>
      </w:r>
    </w:p>
    <w:p w14:paraId="3BBAAC6F" w14:textId="77777777" w:rsidR="00E5137F" w:rsidRDefault="004431DA" w:rsidP="004431DA">
      <w:r>
        <w:t>Nozīmīgu administratīvo slogu radīja arī izvēlētais atskaišu iesniegšanas formāts — gan</w:t>
      </w:r>
      <w:r w:rsidRPr="00927C5B">
        <w:rPr>
          <w:i/>
          <w:iCs/>
        </w:rPr>
        <w:t xml:space="preserve"> Excel</w:t>
      </w:r>
      <w:r>
        <w:t xml:space="preserve"> formāta izmantošana projekta progresa pārskatu sagatavošanai, gan pamatojošās dokumentācijas iesniegšanas process, kas plānošanas perioda sākumposmā lielākoties tika nodrošināts papīra formātā. </w:t>
      </w:r>
    </w:p>
    <w:p w14:paraId="1143F775" w14:textId="77777777" w:rsidR="001B7278" w:rsidRDefault="001B7278" w:rsidP="001B7278">
      <w:r>
        <w:t>Gan finansējuma saņēmēji, gan revīzijas iestādes pārstāvji pozitīvi novērtēja Programmu īstenošanas gaitā notikušo pāreju uz elektronisko dokumentu apriti, kas sekmēja administratīvā sloga mazināšanu.</w:t>
      </w:r>
      <w:r w:rsidRPr="008D3BCC">
        <w:t xml:space="preserve"> </w:t>
      </w:r>
      <w:r>
        <w:t>Vienlaikus tiek norādīts uz nepieciešamību pēc vienotas projektu uzraudzības sistēmas, kas vienkāršotu atskaišu iesniegšanas procesu.</w:t>
      </w:r>
    </w:p>
    <w:p w14:paraId="2DBD3C4C" w14:textId="503442D8" w:rsidR="004431DA" w:rsidRDefault="004431DA" w:rsidP="004431DA">
      <w:r>
        <w:t xml:space="preserve">Atsevišķi finansējuma saņēmēji identificēja arī komunikācijas problēmas ar uzraugošajām iestādēm. </w:t>
      </w:r>
      <w:r w:rsidR="00234F62" w:rsidRPr="00234F62">
        <w:t>Tās galvenokārt izpaudās kā ilgstoša atbilžu gaidīšana problēmsituāciju risināšanas gadījumos. Piemēram, lai arī neformālās konsultācijas bija efektīvas, tomēr oficiāla korespondence un lēmumu pieņemšana mēdza būt laikietilpīgs process</w:t>
      </w:r>
    </w:p>
    <w:p w14:paraId="4FBEF61E" w14:textId="77777777" w:rsidR="004431DA" w:rsidRDefault="004431DA" w:rsidP="004431DA">
      <w:r>
        <w:t>Finansējuma saņēmēji kopumā pozitīvi vērtē sadarbību ar atbildīgo iestādi, īpaši iespējas diskutēt par projektu īstenošanas prasībām un to pilnveidošanu. Tomēr tiek atzīmēta nepieciešamība pēc plašāka konsultatīvā atbalsta projektu īstenošanas procesā. Lai gan administratīvās prasības rada papildu slodzi projektu īstenošanā, tās tiek vērtētas kā pamatotas un nepieciešamas, vienlaikus norādot uz vēlmi pēc elastīgākas pieejas atsevišķās situācijās.</w:t>
      </w:r>
    </w:p>
    <w:p w14:paraId="57C7CA6D" w14:textId="3A08DD96" w:rsidR="00D74137" w:rsidRPr="001861FD" w:rsidRDefault="00964B98" w:rsidP="00D74137">
      <w:pPr>
        <w:rPr>
          <w:rFonts w:cstheme="minorHAnsi"/>
        </w:rPr>
      </w:pPr>
      <w:r>
        <w:rPr>
          <w:rFonts w:cstheme="minorHAnsi"/>
        </w:rPr>
        <w:t>Finansējuma saņēmēji aptaujā norāda, ka</w:t>
      </w:r>
      <w:r w:rsidR="00D74137" w:rsidRPr="001861FD">
        <w:rPr>
          <w:rFonts w:cstheme="minorHAnsi"/>
        </w:rPr>
        <w:t xml:space="preserve"> </w:t>
      </w:r>
      <w:r>
        <w:rPr>
          <w:rFonts w:cstheme="minorHAnsi"/>
        </w:rPr>
        <w:t>s</w:t>
      </w:r>
      <w:r w:rsidR="00D74137" w:rsidRPr="001861FD">
        <w:rPr>
          <w:rFonts w:cstheme="minorHAnsi"/>
        </w:rPr>
        <w:t xml:space="preserve">alīdzinot 2007.-2013. gada </w:t>
      </w:r>
      <w:r w:rsidR="00D74137">
        <w:rPr>
          <w:rFonts w:cstheme="minorHAnsi"/>
        </w:rPr>
        <w:t>un</w:t>
      </w:r>
      <w:r w:rsidR="00D74137" w:rsidRPr="001861FD">
        <w:rPr>
          <w:rFonts w:cstheme="minorHAnsi"/>
        </w:rPr>
        <w:t xml:space="preserve"> 2014.-2020. gada </w:t>
      </w:r>
      <w:r w:rsidR="00D74137">
        <w:rPr>
          <w:rFonts w:cstheme="minorHAnsi"/>
        </w:rPr>
        <w:t xml:space="preserve">plānošanas </w:t>
      </w:r>
      <w:r w:rsidR="00D74137" w:rsidRPr="001861FD">
        <w:rPr>
          <w:rFonts w:cstheme="minorHAnsi"/>
        </w:rPr>
        <w:t>periodu</w:t>
      </w:r>
      <w:r w:rsidR="00D74137">
        <w:rPr>
          <w:rFonts w:cstheme="minorHAnsi"/>
        </w:rPr>
        <w:t>s</w:t>
      </w:r>
      <w:r w:rsidR="00D74137" w:rsidRPr="001861FD">
        <w:rPr>
          <w:rFonts w:cstheme="minorHAnsi"/>
        </w:rPr>
        <w:t xml:space="preserve">, </w:t>
      </w:r>
      <w:r w:rsidR="00F7797D" w:rsidRPr="001861FD">
        <w:rPr>
          <w:rFonts w:cstheme="minorHAnsi"/>
        </w:rPr>
        <w:t xml:space="preserve">2014.-2020. </w:t>
      </w:r>
      <w:r w:rsidR="000C176E">
        <w:rPr>
          <w:rFonts w:cstheme="minorHAnsi"/>
        </w:rPr>
        <w:t xml:space="preserve">gadu periodā </w:t>
      </w:r>
      <w:r w:rsidR="001D198F">
        <w:rPr>
          <w:rFonts w:cstheme="minorHAnsi"/>
        </w:rPr>
        <w:t xml:space="preserve">administratīvais slogs ir bijis mazāks, savukārt salīdzinājumā </w:t>
      </w:r>
      <w:r w:rsidR="008A5CAA" w:rsidRPr="001861FD">
        <w:rPr>
          <w:rFonts w:cstheme="minorHAnsi"/>
        </w:rPr>
        <w:t>2021.-2027. gada plānošanas periodu</w:t>
      </w:r>
      <w:r w:rsidR="008A5CAA">
        <w:rPr>
          <w:rFonts w:cstheme="minorHAnsi"/>
        </w:rPr>
        <w:t xml:space="preserve">, </w:t>
      </w:r>
      <w:r w:rsidR="008A5CAA" w:rsidRPr="001861FD">
        <w:rPr>
          <w:rFonts w:cstheme="minorHAnsi"/>
        </w:rPr>
        <w:t xml:space="preserve">2014.-2020. </w:t>
      </w:r>
      <w:r w:rsidR="008A5CAA">
        <w:rPr>
          <w:rFonts w:cstheme="minorHAnsi"/>
        </w:rPr>
        <w:t>gadu periodā administratīvais slogs ir bijis lielāks (</w:t>
      </w:r>
      <w:r w:rsidR="008A5CAA">
        <w:rPr>
          <w:rFonts w:cstheme="minorHAnsi"/>
        </w:rPr>
        <w:fldChar w:fldCharType="begin"/>
      </w:r>
      <w:r w:rsidR="008A5CAA">
        <w:rPr>
          <w:rFonts w:cstheme="minorHAnsi"/>
        </w:rPr>
        <w:instrText xml:space="preserve"> REF _Ref190871944 \h </w:instrText>
      </w:r>
      <w:r w:rsidR="008A5CAA">
        <w:rPr>
          <w:rFonts w:cstheme="minorHAnsi"/>
        </w:rPr>
      </w:r>
      <w:r w:rsidR="008A5CAA">
        <w:rPr>
          <w:rFonts w:cstheme="minorHAnsi"/>
        </w:rPr>
        <w:fldChar w:fldCharType="separate"/>
      </w:r>
      <w:r w:rsidR="000523B6">
        <w:t xml:space="preserve">Attēls </w:t>
      </w:r>
      <w:r w:rsidR="000523B6">
        <w:rPr>
          <w:noProof/>
        </w:rPr>
        <w:t>23</w:t>
      </w:r>
      <w:r w:rsidR="008A5CAA">
        <w:rPr>
          <w:rFonts w:cstheme="minorHAnsi"/>
        </w:rPr>
        <w:fldChar w:fldCharType="end"/>
      </w:r>
      <w:r w:rsidR="008A5CAA">
        <w:rPr>
          <w:rFonts w:cstheme="minorHAnsi"/>
        </w:rPr>
        <w:t>)</w:t>
      </w:r>
      <w:r w:rsidR="00D74137" w:rsidRPr="001861FD">
        <w:rPr>
          <w:rFonts w:cstheme="minorHAnsi"/>
        </w:rPr>
        <w:t>.</w:t>
      </w:r>
      <w:r w:rsidR="008A5CAA">
        <w:rPr>
          <w:rFonts w:cstheme="minorHAnsi"/>
        </w:rPr>
        <w:t xml:space="preserve"> </w:t>
      </w:r>
    </w:p>
    <w:p w14:paraId="4EC289D4" w14:textId="35EF13AA" w:rsidR="008B6507" w:rsidRDefault="008B6507" w:rsidP="008A5CAA">
      <w:pPr>
        <w:pStyle w:val="GraphTitle"/>
      </w:pPr>
      <w:bookmarkStart w:id="74" w:name="_Ref190871944"/>
      <w:bookmarkStart w:id="75" w:name="_Ref191388630"/>
      <w:r>
        <w:t xml:space="preserve">Attēls </w:t>
      </w:r>
      <w:r w:rsidR="00C47EA2">
        <w:fldChar w:fldCharType="begin"/>
      </w:r>
      <w:r w:rsidR="00C47EA2">
        <w:instrText xml:space="preserve"> SEQ Attēls \* ARABIC </w:instrText>
      </w:r>
      <w:r w:rsidR="00C47EA2">
        <w:fldChar w:fldCharType="separate"/>
      </w:r>
      <w:r w:rsidR="000523B6">
        <w:t>23</w:t>
      </w:r>
      <w:r w:rsidR="00C47EA2">
        <w:fldChar w:fldCharType="end"/>
      </w:r>
      <w:bookmarkEnd w:id="74"/>
      <w:r>
        <w:t xml:space="preserve">. </w:t>
      </w:r>
      <w:r w:rsidRPr="005869AB">
        <w:t>Finansējuma saņēmēju vērtējums par administratīvo sloga izmaiņām  dažādu plānošanas periodu ietvaros, salīdzinot ar 2014-2020.gada plānošanas periodu</w:t>
      </w:r>
      <w:bookmarkEnd w:id="75"/>
    </w:p>
    <w:p w14:paraId="427EB03D" w14:textId="7B6BF886" w:rsidR="00097A2F" w:rsidRDefault="00454ACA" w:rsidP="00D74137">
      <w:pPr>
        <w:rPr>
          <w:rFonts w:cstheme="minorHAnsi"/>
          <w:i/>
          <w:iCs/>
        </w:rPr>
      </w:pPr>
      <w:r>
        <w:rPr>
          <w:noProof/>
        </w:rPr>
        <w:drawing>
          <wp:inline distT="0" distB="0" distL="0" distR="0" wp14:anchorId="782A1E1E" wp14:editId="0DA77BDB">
            <wp:extent cx="6496050" cy="2393950"/>
            <wp:effectExtent l="0" t="0" r="0" b="6350"/>
            <wp:docPr id="1802087588" name="Chart 1">
              <a:extLst xmlns:a="http://schemas.openxmlformats.org/drawingml/2006/main">
                <a:ext uri="{FF2B5EF4-FFF2-40B4-BE49-F238E27FC236}">
                  <a16:creationId xmlns:a16="http://schemas.microsoft.com/office/drawing/2014/main" id="{7B894310-81F4-4CEE-8FAA-58BBE50E25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6685DF6" w14:textId="28CAEC82" w:rsidR="00964B98" w:rsidRPr="00785D09" w:rsidRDefault="00964B98" w:rsidP="00964B98">
      <w:pPr>
        <w:jc w:val="right"/>
        <w:rPr>
          <w:rStyle w:val="Izsmalcintsizclums"/>
        </w:rPr>
      </w:pPr>
      <w:r w:rsidRPr="00785D09">
        <w:rPr>
          <w:rStyle w:val="Izsmalcintsizclums"/>
        </w:rPr>
        <w:t>Avots: Finansējuma saņēmēju aptauja, n=12</w:t>
      </w:r>
    </w:p>
    <w:p w14:paraId="51521C31" w14:textId="20362C85" w:rsidR="00563FE1" w:rsidRDefault="00E21B7A" w:rsidP="00563FE1">
      <w:pPr>
        <w:rPr>
          <w:rFonts w:cstheme="minorHAnsi"/>
          <w:i/>
          <w:iCs/>
        </w:rPr>
      </w:pPr>
      <w:r>
        <w:rPr>
          <w:rFonts w:cstheme="minorHAnsi"/>
        </w:rPr>
        <w:lastRenderedPageBreak/>
        <w:t>Arī f</w:t>
      </w:r>
      <w:r w:rsidR="00563FE1">
        <w:rPr>
          <w:rFonts w:cstheme="minorHAnsi"/>
        </w:rPr>
        <w:t>inansējumu saņēmēj</w:t>
      </w:r>
      <w:r w:rsidR="008B3FD1">
        <w:rPr>
          <w:rFonts w:cstheme="minorHAnsi"/>
        </w:rPr>
        <w:t>i</w:t>
      </w:r>
      <w:r w:rsidR="00563FE1">
        <w:rPr>
          <w:rFonts w:cstheme="minorHAnsi"/>
        </w:rPr>
        <w:t xml:space="preserve"> intervijās </w:t>
      </w:r>
      <w:r w:rsidR="008B3FD1">
        <w:rPr>
          <w:rFonts w:cstheme="minorHAnsi"/>
        </w:rPr>
        <w:t>norādīja uz</w:t>
      </w:r>
      <w:r w:rsidR="00563FE1">
        <w:rPr>
          <w:rFonts w:cstheme="minorHAnsi"/>
        </w:rPr>
        <w:t xml:space="preserve"> pozitīvām izmaiņām, salīdzinot ar 2007.</w:t>
      </w:r>
      <w:r w:rsidR="00796689">
        <w:rPr>
          <w:rFonts w:cstheme="minorHAnsi"/>
        </w:rPr>
        <w:t>–</w:t>
      </w:r>
      <w:r w:rsidR="00563FE1">
        <w:rPr>
          <w:rFonts w:cstheme="minorHAnsi"/>
        </w:rPr>
        <w:t xml:space="preserve">2013. gada plānošanas periodu - būtiski samazinājies nepieciešamās dokumentācijas apjoms un mazinājusies izmaksu pārbaužu detalizācijas pakāpe. </w:t>
      </w:r>
    </w:p>
    <w:p w14:paraId="56106A00" w14:textId="77777777" w:rsidR="00563FE1" w:rsidRDefault="00563FE1" w:rsidP="00563FE1">
      <w:pPr>
        <w:rPr>
          <w:rFonts w:cstheme="minorHAnsi"/>
        </w:rPr>
      </w:pPr>
      <w:r>
        <w:rPr>
          <w:rFonts w:cstheme="minorHAnsi"/>
        </w:rPr>
        <w:t>Analizējot 2021.-2027. gada plānošanas periodu, atbildīgās iestādes pārraudzībā esošo projektu finansējuma saņēmēji norāda vairākus administratīvā sloga mazināšanas pasākumus, kas novērtēti pozitīvi:</w:t>
      </w:r>
    </w:p>
    <w:p w14:paraId="4EBF78E9" w14:textId="77777777" w:rsidR="00563FE1" w:rsidRDefault="00563FE1" w:rsidP="00563FE1">
      <w:pPr>
        <w:pStyle w:val="Sarakstarindkopa"/>
        <w:numPr>
          <w:ilvl w:val="0"/>
          <w:numId w:val="34"/>
        </w:numPr>
        <w:rPr>
          <w:rFonts w:cstheme="minorHAnsi"/>
        </w:rPr>
      </w:pPr>
      <w:r w:rsidRPr="005C386F">
        <w:rPr>
          <w:rFonts w:cstheme="minorHAnsi"/>
        </w:rPr>
        <w:t xml:space="preserve">atvieglotākus noteikumus gadījumiem, kad ir jāveic oficiāli projekta grozījumi, </w:t>
      </w:r>
    </w:p>
    <w:p w14:paraId="228E669A" w14:textId="77777777" w:rsidR="00563FE1" w:rsidRDefault="00563FE1" w:rsidP="00563FE1">
      <w:pPr>
        <w:pStyle w:val="Sarakstarindkopa"/>
        <w:numPr>
          <w:ilvl w:val="0"/>
          <w:numId w:val="34"/>
        </w:numPr>
        <w:rPr>
          <w:rFonts w:cstheme="minorHAnsi"/>
        </w:rPr>
      </w:pPr>
      <w:r w:rsidRPr="005C386F">
        <w:rPr>
          <w:rFonts w:cstheme="minorHAnsi"/>
        </w:rPr>
        <w:t xml:space="preserve">ieviestu mehānismu atskaišu un pamatojošās dokumentācijas augšupielādei elektroniski, </w:t>
      </w:r>
    </w:p>
    <w:p w14:paraId="4C02E142" w14:textId="77777777" w:rsidR="00563FE1" w:rsidRDefault="00563FE1" w:rsidP="00563FE1">
      <w:pPr>
        <w:pStyle w:val="Sarakstarindkopa"/>
        <w:numPr>
          <w:ilvl w:val="0"/>
          <w:numId w:val="34"/>
        </w:numPr>
        <w:rPr>
          <w:rFonts w:cstheme="minorHAnsi"/>
        </w:rPr>
      </w:pPr>
      <w:r w:rsidRPr="005C386F">
        <w:rPr>
          <w:rFonts w:cstheme="minorHAnsi"/>
        </w:rPr>
        <w:t>retāku atskaišu iesniegšanu</w:t>
      </w:r>
      <w:r>
        <w:rPr>
          <w:rFonts w:cstheme="minorHAnsi"/>
        </w:rPr>
        <w:t>,</w:t>
      </w:r>
    </w:p>
    <w:p w14:paraId="5C8E11EA" w14:textId="25888D7A" w:rsidR="00563FE1" w:rsidRDefault="00563FE1" w:rsidP="00563FE1">
      <w:pPr>
        <w:rPr>
          <w:rFonts w:cstheme="minorHAnsi"/>
        </w:rPr>
      </w:pPr>
      <w:r w:rsidRPr="005C386F">
        <w:rPr>
          <w:rFonts w:cstheme="minorHAnsi"/>
        </w:rPr>
        <w:t xml:space="preserve">samazinātu pamatojošās dokumentācijas apjomu. </w:t>
      </w:r>
    </w:p>
    <w:p w14:paraId="07FD1FEC" w14:textId="324BA97E" w:rsidR="00143135" w:rsidRPr="006C6288" w:rsidRDefault="0055685F" w:rsidP="00143135">
      <w:pPr>
        <w:rPr>
          <w:rFonts w:cstheme="minorHAnsi"/>
        </w:rPr>
      </w:pPr>
      <w:r>
        <w:rPr>
          <w:rFonts w:cstheme="minorHAnsi"/>
        </w:rPr>
        <w:t>Atbildīgā iestāde kā nozīmīgāko izmaiņu, salīdzinot ar 2007</w:t>
      </w:r>
      <w:r w:rsidR="00BE1865">
        <w:rPr>
          <w:rFonts w:cstheme="minorHAnsi"/>
        </w:rPr>
        <w:t>.</w:t>
      </w:r>
      <w:r>
        <w:rPr>
          <w:rFonts w:cstheme="minorHAnsi"/>
        </w:rPr>
        <w:t xml:space="preserve">-2013. gada plānošanas periodu, identificē daudzgadu programmu ieviešanu. Šis jaunievedums nodrošināja vairākas priekšrocības: stratēģiskāku atbalstāmo pasākumu plānošanu, elastīgāku pielāgošanos mainīgajiem apstākļiem, kā arī iespēju īstenot projektus garākā laika periodā.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652747FC" w14:textId="77777777" w:rsidTr="00E26047">
        <w:tc>
          <w:tcPr>
            <w:tcW w:w="10252" w:type="dxa"/>
            <w:shd w:val="clear" w:color="auto" w:fill="F3B8FF" w:themeFill="accent6" w:themeFillTint="33"/>
          </w:tcPr>
          <w:p w14:paraId="14BE5749" w14:textId="77777777" w:rsidR="00143135" w:rsidRPr="008F64A0" w:rsidRDefault="00143135" w:rsidP="00A239D8">
            <w:pPr>
              <w:rPr>
                <w:i/>
                <w:iCs/>
                <w:color w:val="5A5A5A" w:themeColor="accent1" w:themeTint="BF"/>
              </w:rPr>
            </w:pPr>
            <w:r w:rsidRPr="008F64A0">
              <w:rPr>
                <w:i/>
                <w:iCs/>
                <w:color w:val="5A5A5A" w:themeColor="accent1" w:themeTint="BF"/>
              </w:rPr>
              <w:t>Apakšjautājums: Cik lielā mērā fonda rezultāti tika sasniegti par saprātīgām izmaksām, ņemot vērā izmantotos finanšu un cilvēkresursus?</w:t>
            </w:r>
          </w:p>
        </w:tc>
      </w:tr>
    </w:tbl>
    <w:p w14:paraId="2F017ECA" w14:textId="0F8113AB" w:rsidR="00143135" w:rsidRDefault="00394580" w:rsidP="00143135">
      <w:r>
        <w:rPr>
          <w:bCs/>
        </w:rPr>
        <w:t xml:space="preserve">Izvērtējuma ietvaros tika veikta divu IDF vīzām un robežām </w:t>
      </w:r>
      <w:r w:rsidR="00F56ACF">
        <w:rPr>
          <w:bCs/>
        </w:rPr>
        <w:t xml:space="preserve">projektu gadījumu izpēte, </w:t>
      </w:r>
      <w:r w:rsidR="00DA21C6">
        <w:rPr>
          <w:bCs/>
        </w:rPr>
        <w:t>ietverot</w:t>
      </w:r>
      <w:r w:rsidR="00AE3F22">
        <w:rPr>
          <w:bCs/>
        </w:rPr>
        <w:t xml:space="preserve"> </w:t>
      </w:r>
      <w:r w:rsidR="00F235A5">
        <w:rPr>
          <w:bCs/>
        </w:rPr>
        <w:t>IIA</w:t>
      </w:r>
      <w:r w:rsidR="00AE3F22">
        <w:rPr>
          <w:bCs/>
        </w:rPr>
        <w:t xml:space="preserve"> (skat. 4. pielikumu). </w:t>
      </w:r>
      <w:r w:rsidR="00FA5AAD">
        <w:rPr>
          <w:bCs/>
        </w:rPr>
        <w:t xml:space="preserve">Analīzē tika </w:t>
      </w:r>
      <w:r w:rsidR="00DA21C6">
        <w:rPr>
          <w:bCs/>
        </w:rPr>
        <w:t>iekļauts</w:t>
      </w:r>
      <w:r w:rsidR="001E3648">
        <w:rPr>
          <w:bCs/>
        </w:rPr>
        <w:t xml:space="preserve"> IeM IC īstenotais</w:t>
      </w:r>
      <w:r w:rsidR="00FA5AAD">
        <w:rPr>
          <w:bCs/>
        </w:rPr>
        <w:t xml:space="preserve"> projekt</w:t>
      </w:r>
      <w:r w:rsidR="001E3648">
        <w:rPr>
          <w:bCs/>
        </w:rPr>
        <w:t>s</w:t>
      </w:r>
      <w:r w:rsidR="00FA5AAD">
        <w:rPr>
          <w:bCs/>
        </w:rPr>
        <w:t xml:space="preserve"> Nr. </w:t>
      </w:r>
      <w:r w:rsidR="00EA098F" w:rsidRPr="001A424A">
        <w:t>IC/IDF/2020/6</w:t>
      </w:r>
      <w:r w:rsidR="00EA098F">
        <w:t xml:space="preserve"> “</w:t>
      </w:r>
      <w:r w:rsidR="00B947FB" w:rsidRPr="001A424A">
        <w:t>Ieceļošanas / Izceļošanas sistēmas un ETIAS ieviešana</w:t>
      </w:r>
      <w:r w:rsidR="00EA098F">
        <w:t>”</w:t>
      </w:r>
      <w:r w:rsidR="00B947FB">
        <w:t xml:space="preserve"> un</w:t>
      </w:r>
      <w:r w:rsidR="00FE7795">
        <w:t xml:space="preserve"> VRS īstenotais p</w:t>
      </w:r>
      <w:r w:rsidR="001E3648" w:rsidRPr="001E3648">
        <w:t xml:space="preserve">rojekts </w:t>
      </w:r>
      <w:r w:rsidR="001E3648">
        <w:t xml:space="preserve">Nr. </w:t>
      </w:r>
      <w:r w:rsidR="00FE7795" w:rsidRPr="001E3648">
        <w:t xml:space="preserve">VRS/IDF/2016/6 </w:t>
      </w:r>
      <w:r w:rsidR="001E3648" w:rsidRPr="001E3648">
        <w:t xml:space="preserve">“Robežuzraudzības un kontroles sistēmas infrastruktūras turpmāka pilnveidošana atbilstoši EUROSUR prasībām (3. un 4.posma realizācija) un </w:t>
      </w:r>
      <w:r w:rsidR="00FE7795" w:rsidRPr="001E3648">
        <w:t xml:space="preserve">Nr. VRS/IDF/2019/2 </w:t>
      </w:r>
      <w:r w:rsidR="001E3648" w:rsidRPr="001E3648">
        <w:t>“Nacionālā (kopējā) situācijas attēla izveidošana (2.posms)”</w:t>
      </w:r>
      <w:r w:rsidR="00FE7795">
        <w:t>.</w:t>
      </w:r>
    </w:p>
    <w:p w14:paraId="6371F9F5" w14:textId="3FFD76DE" w:rsidR="005F4740" w:rsidRDefault="005F4740" w:rsidP="00143135">
      <w:pPr>
        <w:rPr>
          <w:bCs/>
        </w:rPr>
      </w:pPr>
      <w:r w:rsidRPr="005F4740">
        <w:rPr>
          <w:bCs/>
        </w:rPr>
        <w:t xml:space="preserve">Kopumā </w:t>
      </w:r>
      <w:r w:rsidR="00207C65">
        <w:rPr>
          <w:bCs/>
        </w:rPr>
        <w:t>IIA</w:t>
      </w:r>
      <w:r w:rsidRPr="005F4740">
        <w:rPr>
          <w:bCs/>
        </w:rPr>
        <w:t xml:space="preserve"> apstiprina veikto ieguldījumu efektivitāti attiecībā pret sagaidāmajiem ieguvumiem. Projekt</w:t>
      </w:r>
      <w:r w:rsidR="00680C9C">
        <w:rPr>
          <w:bCs/>
        </w:rPr>
        <w:t>a</w:t>
      </w:r>
      <w:r w:rsidRPr="005F4740">
        <w:rPr>
          <w:bCs/>
        </w:rPr>
        <w:t xml:space="preserve"> Nr. IC/IDF/2020/6 </w:t>
      </w:r>
      <w:r w:rsidR="00680C9C">
        <w:rPr>
          <w:bCs/>
        </w:rPr>
        <w:t>IIA aprēķins ir balstīts EK veiktā izvērtējuma</w:t>
      </w:r>
      <w:r w:rsidR="00680C9C">
        <w:rPr>
          <w:rStyle w:val="Vresatsauce"/>
          <w:bCs/>
        </w:rPr>
        <w:footnoteReference w:id="39"/>
      </w:r>
      <w:r w:rsidR="00680C9C">
        <w:rPr>
          <w:bCs/>
        </w:rPr>
        <w:t xml:space="preserve"> datos, kas kā galvenos ieguvumus identificē īsāku laiku robežas šķērsošanai, robežkontroles darbinieku slodzes atvieglojumi automatizācijas procesu rezultātā, kā arī efektīvākas imigrācijas kontroles nodrošināšana. Šo ieguvumu rezultātā </w:t>
      </w:r>
      <w:r w:rsidRPr="005F4740">
        <w:rPr>
          <w:bCs/>
        </w:rPr>
        <w:t xml:space="preserve">aprēķinātā </w:t>
      </w:r>
      <w:r w:rsidR="00680C9C" w:rsidRPr="005F4740">
        <w:rPr>
          <w:bCs/>
        </w:rPr>
        <w:t>izmaksu</w:t>
      </w:r>
      <w:r w:rsidR="00680C9C">
        <w:rPr>
          <w:bCs/>
        </w:rPr>
        <w:t xml:space="preserve"> un</w:t>
      </w:r>
      <w:r w:rsidR="00680C9C" w:rsidRPr="005F4740">
        <w:rPr>
          <w:bCs/>
        </w:rPr>
        <w:t xml:space="preserve"> </w:t>
      </w:r>
      <w:r w:rsidRPr="005F4740">
        <w:rPr>
          <w:bCs/>
        </w:rPr>
        <w:t xml:space="preserve">ieguvumu attiecība ir 1,5, kas nozīmē, ka katrs ieguldītais </w:t>
      </w:r>
      <w:r>
        <w:rPr>
          <w:bCs/>
          <w:i/>
          <w:iCs/>
        </w:rPr>
        <w:t>euro</w:t>
      </w:r>
      <w:r w:rsidRPr="005F4740">
        <w:rPr>
          <w:bCs/>
        </w:rPr>
        <w:t xml:space="preserve"> potenciāli rada ekonomisko ieguvumu 1,5 reizes lielākā apmērā.</w:t>
      </w:r>
      <w:r w:rsidR="00680C9C">
        <w:rPr>
          <w:bCs/>
        </w:rPr>
        <w:t xml:space="preserve"> </w:t>
      </w:r>
    </w:p>
    <w:p w14:paraId="2C89F16D" w14:textId="055E8134" w:rsidR="005F4740" w:rsidRDefault="00133A1F" w:rsidP="00143135">
      <w:pPr>
        <w:rPr>
          <w:bCs/>
        </w:rPr>
      </w:pPr>
      <w:r>
        <w:rPr>
          <w:bCs/>
        </w:rPr>
        <w:t xml:space="preserve">Savukārt </w:t>
      </w:r>
      <w:r w:rsidR="005F4740" w:rsidRPr="005F4740">
        <w:rPr>
          <w:bCs/>
        </w:rPr>
        <w:t>VRS īstenotajos projektos izmaksu efektivitāte ir atkarīga no reaģēšanas spēju pieauguma īpatsvara</w:t>
      </w:r>
      <w:r w:rsidR="00B71D52">
        <w:rPr>
          <w:bCs/>
        </w:rPr>
        <w:t xml:space="preserve">, </w:t>
      </w:r>
      <w:r w:rsidR="008F226D">
        <w:rPr>
          <w:bCs/>
        </w:rPr>
        <w:t xml:space="preserve">par ko precīzi dati nav pieejami. </w:t>
      </w:r>
      <w:r w:rsidR="005F4740" w:rsidRPr="005F4740">
        <w:rPr>
          <w:bCs/>
        </w:rPr>
        <w:t xml:space="preserve">Ja veikto investīciju rezultātā reaģēšanas spēju pieaugums ir tikai 5%, ekonomiskie ieguvumi nesasniedz projekta ietvaros veiktās izmaksas. Savukārt, ja spējas uzlabojas par 15% vai vairāk, ieguvumi pārsniedz izmaksas. Ņemot vērā projekta ietvaros būtiski uzlaboto materiāltehnisko nodrošinājumu, </w:t>
      </w:r>
      <w:r w:rsidR="00DA7E64">
        <w:rPr>
          <w:bCs/>
        </w:rPr>
        <w:t xml:space="preserve">kā arī finansējuma saņēmēja sniegto informāciju par efektīvāku reaģēšanu pārkāpumu gadījumos, </w:t>
      </w:r>
      <w:r w:rsidR="005F4740" w:rsidRPr="005F4740">
        <w:rPr>
          <w:bCs/>
        </w:rPr>
        <w:t xml:space="preserve">tiek </w:t>
      </w:r>
      <w:r w:rsidR="008F226D">
        <w:rPr>
          <w:bCs/>
        </w:rPr>
        <w:t>prognozēts</w:t>
      </w:r>
      <w:r w:rsidR="005F4740" w:rsidRPr="005F4740">
        <w:rPr>
          <w:bCs/>
        </w:rPr>
        <w:t>, ka reaģēšanas spēju uzlabojums visticamāk sasniedz 15% un ieguvumi pārsniedz izmaksas</w:t>
      </w:r>
      <w:r w:rsidR="004B48B5">
        <w:rPr>
          <w:bCs/>
        </w:rPr>
        <w:t xml:space="preserve">, nodrošinot 4,5 miljonu </w:t>
      </w:r>
      <w:r w:rsidR="00092764">
        <w:rPr>
          <w:bCs/>
          <w:i/>
          <w:iCs/>
        </w:rPr>
        <w:t xml:space="preserve">euro </w:t>
      </w:r>
      <w:r w:rsidR="004B48B5">
        <w:rPr>
          <w:bCs/>
        </w:rPr>
        <w:t>NPV</w:t>
      </w:r>
      <w:r w:rsidR="005F4740" w:rsidRPr="005F4740">
        <w:rPr>
          <w:bCs/>
        </w:rPr>
        <w:t>.</w:t>
      </w:r>
    </w:p>
    <w:p w14:paraId="218B2C29" w14:textId="35EA40E6" w:rsidR="00731E97" w:rsidRDefault="00731E97" w:rsidP="00143135">
      <w:r w:rsidRPr="00731E97">
        <w:t xml:space="preserve">Jāatzīmē, ka projektu īstenošanas rezultātā rodas arī ieguvumi, kurus nav iespējams izteikt </w:t>
      </w:r>
      <w:r w:rsidR="000D519F">
        <w:t>monetārā izteiksmē</w:t>
      </w:r>
      <w:r w:rsidRPr="00731E97">
        <w:t xml:space="preserve">, piemēram, nostiprināta ārējās robežas drošība, kas potenciāli samazina nelegālo imigrāciju un ar to saistītos pārkāpumus. Turklāt, attīstot datu apmaiņu ES līmenī, tiek veicināta dalībvalstu sadarbība, efektīvāka informācijas apmaiņa un potenciālo risku un </w:t>
      </w:r>
      <w:r>
        <w:t>pārkāpumu</w:t>
      </w:r>
      <w:r w:rsidRPr="00731E97">
        <w:t xml:space="preserve"> identificēšana.</w:t>
      </w:r>
    </w:p>
    <w:p w14:paraId="6769E8F7" w14:textId="00F95BEB" w:rsidR="00143135" w:rsidRPr="0057691A" w:rsidRDefault="00C5431B" w:rsidP="00143135">
      <w:pPr>
        <w:rPr>
          <w:bCs/>
        </w:rPr>
      </w:pPr>
      <w:r w:rsidRPr="00C5431B">
        <w:t>Var secināt, ka IDF vīzu un robežu jomā sasniegtie rezultāti ir panākti ar samērīgām izmaksām, un sagaidāmie ekonomiskie ieguvumi pārsniedz Programmas veiktos ieguldījumus.</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627C4A29" w14:textId="77777777" w:rsidTr="00E26047">
        <w:tc>
          <w:tcPr>
            <w:tcW w:w="10252" w:type="dxa"/>
            <w:shd w:val="clear" w:color="auto" w:fill="F3B8FF" w:themeFill="accent6" w:themeFillTint="33"/>
          </w:tcPr>
          <w:p w14:paraId="651B46E9" w14:textId="77777777" w:rsidR="00143135" w:rsidRPr="008F64A0" w:rsidRDefault="00143135" w:rsidP="00A239D8">
            <w:pPr>
              <w:rPr>
                <w:i/>
                <w:iCs/>
                <w:color w:val="5A5A5A" w:themeColor="accent1" w:themeTint="BF"/>
              </w:rPr>
            </w:pPr>
            <w:r w:rsidRPr="008F64A0">
              <w:rPr>
                <w:i/>
                <w:iCs/>
                <w:color w:val="5A5A5A" w:themeColor="accent1" w:themeTint="BF"/>
              </w:rPr>
              <w:lastRenderedPageBreak/>
              <w:t>Apakšjautājums: Kādi pasākumi tika veikti, lai novērstu, atklātu un pārraudzītu krāpšanas gadījumus un citus pārkāpumus, un ziņotu par tiem, un kā šie pasākumi darbojās?</w:t>
            </w:r>
          </w:p>
        </w:tc>
      </w:tr>
    </w:tbl>
    <w:p w14:paraId="1CB8A35C" w14:textId="6CC955CC" w:rsidR="00BE26C7" w:rsidRPr="00B33342" w:rsidRDefault="00BE26C7" w:rsidP="00BE26C7">
      <w:r w:rsidRPr="00B33342">
        <w:t>Saskaņā ar Ministru kabineta 2015. gada 28. jūlija noteikumiem Nr. 433</w:t>
      </w:r>
      <w:r w:rsidRPr="00B33342">
        <w:rPr>
          <w:rStyle w:val="Vresatsauce"/>
        </w:rPr>
        <w:footnoteReference w:id="40"/>
      </w:r>
      <w:r w:rsidRPr="00B33342">
        <w:t xml:space="preserve">, kas reglamentē </w:t>
      </w:r>
      <w:r w:rsidR="00E21F41">
        <w:t>IDF</w:t>
      </w:r>
      <w:r w:rsidRPr="00B33342">
        <w:t xml:space="preserve"> un </w:t>
      </w:r>
      <w:r w:rsidR="00E21F41">
        <w:t>PMIF</w:t>
      </w:r>
      <w:r w:rsidRPr="00B33342">
        <w:t xml:space="preserve"> 2014.–2020. gada plānošanas perioda pārvaldības sistēmu, tiek noteikta projektu īstenošanas uzraudzības un kontroles kārtība, kā arī neatbilstošo izdevumu identificēšanas un ziņošanas procedūras </w:t>
      </w:r>
      <w:r w:rsidR="00777E7E">
        <w:t>EK</w:t>
      </w:r>
      <w:r w:rsidRPr="00B33342">
        <w:t>.</w:t>
      </w:r>
    </w:p>
    <w:p w14:paraId="725FCCEC" w14:textId="7CE61412" w:rsidR="00BE26C7" w:rsidRPr="00B33342" w:rsidRDefault="00BE26C7" w:rsidP="00BE26C7">
      <w:r w:rsidRPr="00B33342">
        <w:t xml:space="preserve">Projektu administratīvā uzraudzība tiek īstenota vairākos līmeņos, kur atbildīgā un deleģētā iestāde veic finansējuma saņēmēju iesniegto </w:t>
      </w:r>
      <w:r w:rsidRPr="005B6C94">
        <w:rPr>
          <w:bCs/>
        </w:rPr>
        <w:t>iepirkuma plānu, iepirkuma dokumentācijas un iepirkuma norises pirmspārbaud</w:t>
      </w:r>
      <w:r>
        <w:rPr>
          <w:bCs/>
        </w:rPr>
        <w:t>i</w:t>
      </w:r>
      <w:r w:rsidRPr="005B6C94">
        <w:rPr>
          <w:bCs/>
        </w:rPr>
        <w:t>, finansējuma pieprasījumu, izdevumu pārskatu un izdevumu attaisnojuma dokumentu pārbaud</w:t>
      </w:r>
      <w:r>
        <w:rPr>
          <w:bCs/>
        </w:rPr>
        <w:t>i</w:t>
      </w:r>
      <w:r w:rsidRPr="005B6C94">
        <w:rPr>
          <w:bCs/>
        </w:rPr>
        <w:t xml:space="preserve"> un projekt</w:t>
      </w:r>
      <w:r w:rsidR="00F00E88">
        <w:rPr>
          <w:bCs/>
        </w:rPr>
        <w:t>u</w:t>
      </w:r>
      <w:r w:rsidRPr="005B6C94">
        <w:rPr>
          <w:bCs/>
        </w:rPr>
        <w:t xml:space="preserve"> īstenošanas progresa pārbaud</w:t>
      </w:r>
      <w:r>
        <w:rPr>
          <w:bCs/>
        </w:rPr>
        <w:t xml:space="preserve">i. </w:t>
      </w:r>
      <w:r w:rsidRPr="00B33342">
        <w:t>Papildu tam tiek nodrošinātas pārbaudes projektu īstenošanas vietās, kā arī revīzijas iestāde izlases veid</w:t>
      </w:r>
      <w:r>
        <w:t>ā</w:t>
      </w:r>
      <w:r w:rsidRPr="00B33342">
        <w:t xml:space="preserve"> veic projektu izdevumu auditus.</w:t>
      </w:r>
    </w:p>
    <w:p w14:paraId="60456508" w14:textId="77777777" w:rsidR="00BE26C7" w:rsidRDefault="00BE26C7" w:rsidP="00BE26C7">
      <w:r w:rsidRPr="00B33342">
        <w:t xml:space="preserve">Ieviestā kontroles sistēma </w:t>
      </w:r>
      <w:r>
        <w:rPr>
          <w:bCs/>
        </w:rPr>
        <w:t xml:space="preserve">ir sekmējusi pārkāpumu identificēšanu un novēršanu. Šī perioda ietvaros, piemēram, ir uzsākta iepirkumu pirmspārbaužu īstenošana, kas ir nodrošinājusi savlaicīgu neatbilstību gadījumu identificēšanu Publisko iepirkumu likuma prasībām. Šī pieeja ir ļāvusi finansējuma saņēmējiem veikt nepieciešamās izmaiņas iepirkuma dokumentācijā, lai nodrošinātu iepirkumu prasību izpildi un izvairītos no finanšu korekcijām vēlākā projekta īstenošanas stadijā. </w:t>
      </w:r>
    </w:p>
    <w:p w14:paraId="636D88A9" w14:textId="76B9F075" w:rsidR="00F13E7C" w:rsidRDefault="00F13E7C" w:rsidP="00F13E7C">
      <w:r>
        <w:t>Vienlaikus,</w:t>
      </w:r>
      <w:r w:rsidR="00B0332B">
        <w:t xml:space="preserve"> arī</w:t>
      </w:r>
      <w:r>
        <w:t xml:space="preserve"> revīzijas ziņojumi ietvēra rekomendācijas uzlabojumiem projektu uzraudzības sistēmā un p</w:t>
      </w:r>
      <w:r w:rsidRPr="00B33342">
        <w:t>reventīv</w:t>
      </w:r>
      <w:r>
        <w:t xml:space="preserve">iem pasākumiem. Piemēram, </w:t>
      </w:r>
      <w:r w:rsidR="00E67A58">
        <w:t>2</w:t>
      </w:r>
      <w:r w:rsidR="00A61EE8">
        <w:t>018</w:t>
      </w:r>
      <w:r w:rsidR="00BE1865">
        <w:t>.</w:t>
      </w:r>
      <w:r w:rsidRPr="00B33342">
        <w:t xml:space="preserve"> gada revīzijas </w:t>
      </w:r>
      <w:r w:rsidR="00A61EE8">
        <w:t>ziņojumā norādīts uz nepieciešamību papildu pārbaudīt dubultā finansējuma risku</w:t>
      </w:r>
      <w:r w:rsidRPr="00B33342">
        <w:t xml:space="preserve"> attiecībā uz projektu Nr. </w:t>
      </w:r>
      <w:r w:rsidR="00A61EE8">
        <w:t xml:space="preserve">ĀM/IDF/2017/3 </w:t>
      </w:r>
      <w:r w:rsidRPr="00B33342">
        <w:t xml:space="preserve"> "</w:t>
      </w:r>
      <w:r w:rsidR="0002102C" w:rsidRPr="0002102C">
        <w:t>Konsulāro amatpersonu reģionālo apmācību nodrošināšana par ES vienoto vīzu izsniegšanas politiku, atbilstoši Eiropas Vīzu kodeksa prasībām</w:t>
      </w:r>
      <w:r w:rsidR="0002102C">
        <w:t>”, ņemot vērā, ka finansējuma saņēmējs nav atbildīgās iestādes tiešās padotības iestāde</w:t>
      </w:r>
      <w:r w:rsidRPr="00B33342">
        <w:t>.</w:t>
      </w:r>
      <w:r>
        <w:rPr>
          <w:rStyle w:val="Vresatsauce"/>
        </w:rPr>
        <w:footnoteReference w:id="41"/>
      </w:r>
      <w:r w:rsidRPr="00B33342">
        <w:t xml:space="preserve"> </w:t>
      </w:r>
    </w:p>
    <w:p w14:paraId="45EAD0B2" w14:textId="77777777" w:rsidR="008F2A40" w:rsidRDefault="008F2A40" w:rsidP="008F2A40">
      <w:r w:rsidRPr="00FE3A95">
        <w:rPr>
          <w:bCs/>
        </w:rPr>
        <w:t>Revīzijas iestāde</w:t>
      </w:r>
      <w:r>
        <w:rPr>
          <w:bCs/>
        </w:rPr>
        <w:t>s pārstāvji norāda</w:t>
      </w:r>
      <w:r w:rsidRPr="00FE3A95">
        <w:rPr>
          <w:bCs/>
        </w:rPr>
        <w:t xml:space="preserve">, ka projektu administratīvā uzraudzība kopumā ir bijusi efektīva. Neatbilstības tika savlaicīgi identificētas gan projektu pirmspārbaužu posmā, gan projektu pārskatu izvērtēšanas laikā. Lai gan revīzijas iestāde konstatēja atsevišķus trūkumus, piemēram, iepirkumu līgumu izpildes uzraudzībā, šie pārkāpumi nebija būtiski. Līdz ar to sniegtie ieteikumi </w:t>
      </w:r>
      <w:r>
        <w:rPr>
          <w:bCs/>
        </w:rPr>
        <w:t xml:space="preserve">lielākoties </w:t>
      </w:r>
      <w:r w:rsidRPr="00FE3A95">
        <w:rPr>
          <w:bCs/>
        </w:rPr>
        <w:t>bija rekomendējoša rakstura.</w:t>
      </w:r>
    </w:p>
    <w:p w14:paraId="674B6466" w14:textId="6C8E33CB" w:rsidR="00F31966" w:rsidRDefault="00F31966" w:rsidP="00F31966">
      <w:r>
        <w:rPr>
          <w:bCs/>
        </w:rPr>
        <w:t xml:space="preserve">Tāpat Programmu uzraudzības līmenī tika nodrošināti informācijas apmaiņas mehānismi, kas ļāva savlaicīgi identificēt potenciālās problēmas un savlaicīgi rast tām risinājumus. </w:t>
      </w:r>
      <w:r>
        <w:t xml:space="preserve">Būtiska nozīme ir izveidotajiem daudzpusējiem komunikācijas kanāliem </w:t>
      </w:r>
      <w:r w:rsidR="00796689">
        <w:rPr>
          <w:rFonts w:cstheme="minorHAnsi"/>
        </w:rPr>
        <w:t>–</w:t>
      </w:r>
      <w:r>
        <w:t xml:space="preserve"> no augsta līmeņa stratēģiskajām konsultācijām valsts sekretāra vietnieka vadībā līdz regulārām Projektu uzraudzības padomes sanāksmēm. Šāda pieeja nodrošina tiešu dialogu starp atbildīgās iestādes pārstāvjiem un finansējuma saņēmējiem no dažādām institūcijām, ļaujot operatīvi apzināt projektu īstenošanas izaicinājumus un kolektīvi izstrādāt efektīvus risinājumus.</w:t>
      </w:r>
    </w:p>
    <w:p w14:paraId="5FA542F8" w14:textId="77777777" w:rsidR="0025798F" w:rsidRDefault="0025798F" w:rsidP="00F31966"/>
    <w:p w14:paraId="44030C12" w14:textId="77777777" w:rsidR="0025798F" w:rsidRDefault="0025798F" w:rsidP="00F31966"/>
    <w:p w14:paraId="58200A8A" w14:textId="77777777" w:rsidR="0025798F" w:rsidRDefault="0025798F" w:rsidP="00F31966">
      <w:pPr>
        <w:rPr>
          <w:bCs/>
        </w:rPr>
      </w:pPr>
    </w:p>
    <w:p w14:paraId="100C71B0" w14:textId="77777777" w:rsidR="00143135" w:rsidRPr="008F64A0" w:rsidRDefault="00143135" w:rsidP="00BF4167">
      <w:pPr>
        <w:pStyle w:val="Sarakstarindkopa"/>
        <w:numPr>
          <w:ilvl w:val="2"/>
          <w:numId w:val="42"/>
        </w:numPr>
        <w:rPr>
          <w:b/>
        </w:rPr>
      </w:pPr>
      <w:r w:rsidRPr="008F64A0">
        <w:rPr>
          <w:b/>
        </w:rPr>
        <w:lastRenderedPageBreak/>
        <w:t>Kritērijs “Atbilstība”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5C134289" w14:textId="77777777" w:rsidTr="00D40533">
        <w:tc>
          <w:tcPr>
            <w:tcW w:w="10252" w:type="dxa"/>
            <w:tcBorders>
              <w:bottom w:val="single" w:sz="4" w:space="0" w:color="auto"/>
            </w:tcBorders>
            <w:shd w:val="clear" w:color="auto" w:fill="82009B" w:themeFill="accent6"/>
          </w:tcPr>
          <w:p w14:paraId="48721819" w14:textId="77777777" w:rsidR="00143135" w:rsidRPr="008F64A0" w:rsidRDefault="00143135" w:rsidP="00A239D8">
            <w:pPr>
              <w:rPr>
                <w:b/>
              </w:rPr>
            </w:pPr>
            <w:r w:rsidRPr="008F64A0">
              <w:rPr>
                <w:b/>
              </w:rPr>
              <w:t xml:space="preserve">Izvērtēšanas kritērija jautājums: </w:t>
            </w:r>
            <w:r w:rsidRPr="008F64A0">
              <w:rPr>
                <w:bCs/>
              </w:rPr>
              <w:t>Vai fonda finansēto pasākumu mērķi atbilda aktuālajām vajadzībām?</w:t>
            </w:r>
          </w:p>
        </w:tc>
      </w:tr>
    </w:tbl>
    <w:p w14:paraId="1EA531A9" w14:textId="78F731EA" w:rsidR="00B12729" w:rsidRDefault="009C0533" w:rsidP="000E5858">
      <w:pPr>
        <w:rPr>
          <w:rFonts w:cstheme="minorHAnsi"/>
        </w:rPr>
      </w:pPr>
      <w:r>
        <w:t>Veiktās izvērtēšanas rezultāti apliecina fonda finansēto pasākumu atbilstību nozares aktuālajām prioritātēm</w:t>
      </w:r>
      <w:r>
        <w:rPr>
          <w:rFonts w:cstheme="minorHAnsi"/>
        </w:rPr>
        <w:t xml:space="preserve"> Finansējuma saņēmēju vērtējumā</w:t>
      </w:r>
      <w:r w:rsidR="000E5858">
        <w:rPr>
          <w:rFonts w:cstheme="minorHAnsi"/>
        </w:rPr>
        <w:t xml:space="preserve"> fonda finansēto pasākumu mērķi pilnībā atbilda aktuālajām vajadzībām, turklāt sniedza iespēju īstenot nozīmīgas un nepieciešamas aktivitātes, kurām finansējums no valsts budžeta līdzekļiem vai citiem ārējiem finanšu avotiem, ir ierobežots. Šādas aktivitātes ietvēra, piemēram, </w:t>
      </w:r>
      <w:r w:rsidR="000B11F0">
        <w:rPr>
          <w:rFonts w:cstheme="minorHAnsi"/>
        </w:rPr>
        <w:t xml:space="preserve">REIS modernizācijas pasākumus, nepieciešamā aprīkojuma nodrošināšanu EUROSUR prasību izpildei, </w:t>
      </w:r>
      <w:r w:rsidR="00665E21">
        <w:rPr>
          <w:rFonts w:cstheme="minorHAnsi"/>
        </w:rPr>
        <w:t>k</w:t>
      </w:r>
      <w:r w:rsidR="00665E21" w:rsidRPr="00665E21">
        <w:rPr>
          <w:rFonts w:cstheme="minorHAnsi"/>
        </w:rPr>
        <w:t>onsulāro amatperson</w:t>
      </w:r>
      <w:r w:rsidR="00665E21">
        <w:rPr>
          <w:rFonts w:cstheme="minorHAnsi"/>
        </w:rPr>
        <w:t>u</w:t>
      </w:r>
      <w:r w:rsidR="00665E21" w:rsidRPr="00665E21">
        <w:rPr>
          <w:rFonts w:cstheme="minorHAnsi"/>
        </w:rPr>
        <w:t xml:space="preserve"> apmācību nodrošināšan</w:t>
      </w:r>
      <w:r>
        <w:rPr>
          <w:rFonts w:cstheme="minorHAnsi"/>
        </w:rPr>
        <w:t>u</w:t>
      </w:r>
      <w:r w:rsidR="00665E21" w:rsidRPr="00665E21">
        <w:rPr>
          <w:rFonts w:cstheme="minorHAnsi"/>
        </w:rPr>
        <w:t xml:space="preserve"> par ES vienoto vīzu izsniegšanas politiku</w:t>
      </w:r>
      <w:r w:rsidR="00665E21">
        <w:rPr>
          <w:rFonts w:cstheme="minorHAnsi"/>
        </w:rPr>
        <w:t xml:space="preserve"> u.c. aktivitātes. </w:t>
      </w:r>
    </w:p>
    <w:p w14:paraId="0688DBAE" w14:textId="0A58475B" w:rsidR="00C66683" w:rsidRDefault="002912EB" w:rsidP="000E5858">
      <w:pPr>
        <w:rPr>
          <w:rFonts w:cstheme="minorHAnsi"/>
        </w:rPr>
      </w:pPr>
      <w:r>
        <w:rPr>
          <w:rFonts w:cstheme="minorHAnsi"/>
        </w:rPr>
        <w:t xml:space="preserve">Turklāt vairākas aktivitātes nodrošināja iespēju </w:t>
      </w:r>
      <w:r w:rsidR="00370720">
        <w:rPr>
          <w:rFonts w:cstheme="minorHAnsi"/>
        </w:rPr>
        <w:t>pielāgoties ES standartiem un prasībām, kā piemēram, projekta</w:t>
      </w:r>
      <w:r w:rsidR="00150E81" w:rsidRPr="00150E81">
        <w:t xml:space="preserve"> </w:t>
      </w:r>
      <w:r w:rsidR="00150E81" w:rsidRPr="00150E81">
        <w:rPr>
          <w:rFonts w:cstheme="minorHAnsi"/>
        </w:rPr>
        <w:t>Nr. VRS/IDF/2016/6</w:t>
      </w:r>
      <w:r w:rsidR="00150E81">
        <w:rPr>
          <w:rFonts w:cstheme="minorHAnsi"/>
        </w:rPr>
        <w:t xml:space="preserve"> “</w:t>
      </w:r>
      <w:r w:rsidR="00150E81" w:rsidRPr="00150E81">
        <w:rPr>
          <w:rFonts w:cstheme="minorHAnsi"/>
        </w:rPr>
        <w:t xml:space="preserve">Robežuzraudzības un kontroles sistēmas infrastruktūras turpmāka pilnveidošana atbilstoši EUROSUR prasībām (3. un 4.posma realizācija) un Nr. VRS/IDF/2019/2 “Nacionālā (kopējā) situācijas attēla izveidošana” </w:t>
      </w:r>
      <w:r w:rsidR="00150E81">
        <w:rPr>
          <w:rFonts w:cstheme="minorHAnsi"/>
        </w:rPr>
        <w:t xml:space="preserve">bija vērsta uz EUROSUR prasību ieviešanu, savukārt </w:t>
      </w:r>
      <w:r w:rsidR="00B12729">
        <w:rPr>
          <w:rFonts w:cstheme="minorHAnsi"/>
        </w:rPr>
        <w:t xml:space="preserve">projekts </w:t>
      </w:r>
      <w:r w:rsidR="00B12729" w:rsidRPr="00B12729">
        <w:rPr>
          <w:rFonts w:cstheme="minorHAnsi"/>
        </w:rPr>
        <w:t>Nr. IC/IDF/2020/6</w:t>
      </w:r>
      <w:r w:rsidR="00B12729">
        <w:rPr>
          <w:rFonts w:cstheme="minorHAnsi"/>
        </w:rPr>
        <w:t xml:space="preserve"> </w:t>
      </w:r>
      <w:r w:rsidR="00B12729" w:rsidRPr="00B12729">
        <w:rPr>
          <w:rFonts w:cstheme="minorHAnsi"/>
        </w:rPr>
        <w:t xml:space="preserve"> “Ieceļošanas / Izceļošanas sistēmas un ETIAS ieviešana”</w:t>
      </w:r>
      <w:r w:rsidR="00B12729">
        <w:rPr>
          <w:rFonts w:cstheme="minorHAnsi"/>
        </w:rPr>
        <w:t xml:space="preserve"> nodrošināja </w:t>
      </w:r>
      <w:r w:rsidR="00AC6189">
        <w:rPr>
          <w:rFonts w:cstheme="minorHAnsi"/>
        </w:rPr>
        <w:t>ES saistību izpildi attiecībā uz datu apmaiņas nodrošināšanu un savienojumu izveidi ar IIS un ETIAS.</w:t>
      </w:r>
    </w:p>
    <w:p w14:paraId="7898D20B" w14:textId="674FB0F5" w:rsidR="00E9798C" w:rsidRPr="00E9798C" w:rsidRDefault="00E9798C" w:rsidP="000E5858">
      <w:pPr>
        <w:rPr>
          <w:rFonts w:cstheme="minorHAnsi"/>
        </w:rPr>
      </w:pPr>
      <w:r>
        <w:rPr>
          <w:rFonts w:cstheme="minorHAnsi"/>
        </w:rPr>
        <w:t xml:space="preserve">Arī ekspertu paneļa un UK pārstāvji intervijās </w:t>
      </w:r>
      <w:r w:rsidR="005D1920">
        <w:rPr>
          <w:rFonts w:cstheme="minorHAnsi"/>
        </w:rPr>
        <w:t>uz</w:t>
      </w:r>
      <w:r w:rsidR="00F01454">
        <w:rPr>
          <w:rFonts w:cstheme="minorHAnsi"/>
        </w:rPr>
        <w:t>svēra</w:t>
      </w:r>
      <w:r>
        <w:rPr>
          <w:rFonts w:cstheme="minorHAnsi"/>
        </w:rPr>
        <w:t xml:space="preserve">, ka IDF ietvaros sniegtais atbalsts bija atbilstošs nozares vajadzībām. </w:t>
      </w:r>
      <w:r w:rsidR="0094797B" w:rsidRPr="0094797B">
        <w:rPr>
          <w:rFonts w:cstheme="minorHAnsi"/>
        </w:rPr>
        <w:t xml:space="preserve">Vienlaikus tiek norādīts, ka nozares esošās vajadzības ir ļoti plašas, īpaši ņemot vērā izmaiņas ģeopolitiskajā situācijā, kas paaugstina ārējās robežas drošības riskus. Ievērojot pieejamo resursu ierobežojumus, ir būtiski sadarbībā </w:t>
      </w:r>
      <w:r w:rsidR="0094797B">
        <w:rPr>
          <w:rFonts w:cstheme="minorHAnsi"/>
        </w:rPr>
        <w:t xml:space="preserve">ar </w:t>
      </w:r>
      <w:r w:rsidR="0094797B" w:rsidRPr="0094797B">
        <w:rPr>
          <w:rFonts w:cstheme="minorHAnsi"/>
        </w:rPr>
        <w:t>IeM gan kā nozares atbildīgo iestādi, gan kā fondu atbildīgo iestādi, mērķtiecīgi strādāt, lai identificētu optimālus risinājumus pēc iespējas plašāka vajadzību loka apmierināšanai.</w:t>
      </w:r>
    </w:p>
    <w:p w14:paraId="16FF959C" w14:textId="7540F59C" w:rsidR="003424D1" w:rsidRDefault="003424D1" w:rsidP="003424D1">
      <w:pPr>
        <w:rPr>
          <w:rFonts w:cstheme="minorHAnsi"/>
        </w:rPr>
      </w:pPr>
      <w:r>
        <w:rPr>
          <w:rFonts w:cstheme="minorHAnsi"/>
        </w:rPr>
        <w:t xml:space="preserve">Attiecībā uz programmas elastību un spēju adaptēties mainīgajām vajadzībām </w:t>
      </w:r>
      <w:r w:rsidR="00265111">
        <w:rPr>
          <w:rFonts w:cstheme="minorHAnsi"/>
        </w:rPr>
        <w:t xml:space="preserve">lielākā daļa jeb </w:t>
      </w:r>
      <w:r>
        <w:rPr>
          <w:rFonts w:cstheme="minorHAnsi"/>
        </w:rPr>
        <w:t xml:space="preserve"> </w:t>
      </w:r>
      <w:r w:rsidR="00265111">
        <w:rPr>
          <w:rFonts w:cstheme="minorHAnsi"/>
        </w:rPr>
        <w:t>58</w:t>
      </w:r>
      <w:r w:rsidRPr="00587838">
        <w:rPr>
          <w:rFonts w:cstheme="minorHAnsi"/>
        </w:rPr>
        <w:t> %</w:t>
      </w:r>
      <w:r>
        <w:rPr>
          <w:rFonts w:cstheme="minorHAnsi"/>
        </w:rPr>
        <w:t xml:space="preserve"> respondentu jaunu aktivitāšu pievienošanu projektos vērtē kā </w:t>
      </w:r>
      <w:r w:rsidRPr="00587838">
        <w:rPr>
          <w:rFonts w:cstheme="minorHAnsi"/>
        </w:rPr>
        <w:t xml:space="preserve">drīzāk </w:t>
      </w:r>
      <w:r w:rsidR="00AA54B1">
        <w:rPr>
          <w:rFonts w:cstheme="minorHAnsi"/>
        </w:rPr>
        <w:t>vieglu</w:t>
      </w:r>
      <w:r>
        <w:rPr>
          <w:rFonts w:cstheme="minorHAnsi"/>
        </w:rPr>
        <w:t xml:space="preserve"> procesu</w:t>
      </w:r>
      <w:r w:rsidRPr="00587838">
        <w:rPr>
          <w:rFonts w:cstheme="minorHAnsi"/>
        </w:rPr>
        <w:t xml:space="preserve">, </w:t>
      </w:r>
      <w:r w:rsidR="00AA54B1">
        <w:rPr>
          <w:rFonts w:cstheme="minorHAnsi"/>
        </w:rPr>
        <w:t>savukārt</w:t>
      </w:r>
      <w:r>
        <w:rPr>
          <w:rFonts w:cstheme="minorHAnsi"/>
        </w:rPr>
        <w:t xml:space="preserve"> </w:t>
      </w:r>
      <w:r w:rsidRPr="00587838">
        <w:rPr>
          <w:rFonts w:cstheme="minorHAnsi"/>
        </w:rPr>
        <w:t>3</w:t>
      </w:r>
      <w:r w:rsidR="000F4555">
        <w:rPr>
          <w:rFonts w:cstheme="minorHAnsi"/>
        </w:rPr>
        <w:t>3</w:t>
      </w:r>
      <w:r w:rsidRPr="00587838">
        <w:rPr>
          <w:rFonts w:cstheme="minorHAnsi"/>
        </w:rPr>
        <w:t> %</w:t>
      </w:r>
      <w:r>
        <w:rPr>
          <w:rFonts w:cstheme="minorHAnsi"/>
        </w:rPr>
        <w:t xml:space="preserve"> to </w:t>
      </w:r>
      <w:r w:rsidR="000F4555">
        <w:rPr>
          <w:rFonts w:cstheme="minorHAnsi"/>
        </w:rPr>
        <w:t>vērtē</w:t>
      </w:r>
      <w:r>
        <w:rPr>
          <w:rFonts w:cstheme="minorHAnsi"/>
        </w:rPr>
        <w:t xml:space="preserve"> </w:t>
      </w:r>
      <w:r w:rsidRPr="00587838">
        <w:rPr>
          <w:rFonts w:cstheme="minorHAnsi"/>
        </w:rPr>
        <w:t>k</w:t>
      </w:r>
      <w:r>
        <w:rPr>
          <w:rFonts w:cstheme="minorHAnsi"/>
        </w:rPr>
        <w:t>ā</w:t>
      </w:r>
      <w:r w:rsidRPr="00587838">
        <w:rPr>
          <w:rFonts w:cstheme="minorHAnsi"/>
        </w:rPr>
        <w:t xml:space="preserve"> drīzāk </w:t>
      </w:r>
      <w:r w:rsidR="0055241B">
        <w:rPr>
          <w:rFonts w:cstheme="minorHAnsi"/>
        </w:rPr>
        <w:t>sarežģītu</w:t>
      </w:r>
      <w:r w:rsidRPr="00587838">
        <w:rPr>
          <w:rFonts w:cstheme="minorHAnsi"/>
        </w:rPr>
        <w:t xml:space="preserve"> (</w:t>
      </w:r>
      <w:r w:rsidR="0055241B">
        <w:rPr>
          <w:rFonts w:cstheme="minorHAnsi"/>
        </w:rPr>
        <w:fldChar w:fldCharType="begin"/>
      </w:r>
      <w:r w:rsidR="0055241B">
        <w:rPr>
          <w:rFonts w:cstheme="minorHAnsi"/>
        </w:rPr>
        <w:instrText xml:space="preserve"> REF _Ref190872257 \h </w:instrText>
      </w:r>
      <w:r w:rsidR="0055241B">
        <w:rPr>
          <w:rFonts w:cstheme="minorHAnsi"/>
        </w:rPr>
      </w:r>
      <w:r w:rsidR="0055241B">
        <w:rPr>
          <w:rFonts w:cstheme="minorHAnsi"/>
        </w:rPr>
        <w:fldChar w:fldCharType="separate"/>
      </w:r>
      <w:r w:rsidR="000523B6">
        <w:t xml:space="preserve">Attēls </w:t>
      </w:r>
      <w:r w:rsidR="000523B6">
        <w:rPr>
          <w:noProof/>
        </w:rPr>
        <w:t>24</w:t>
      </w:r>
      <w:r w:rsidR="0055241B">
        <w:rPr>
          <w:rFonts w:cstheme="minorHAnsi"/>
        </w:rPr>
        <w:fldChar w:fldCharType="end"/>
      </w:r>
      <w:r w:rsidRPr="00587838">
        <w:rPr>
          <w:rFonts w:cstheme="minorHAnsi"/>
        </w:rPr>
        <w:t xml:space="preserve">). </w:t>
      </w:r>
    </w:p>
    <w:p w14:paraId="7361FB41" w14:textId="42DCBADE" w:rsidR="00E013A9" w:rsidRDefault="00E013A9" w:rsidP="00E013A9">
      <w:pPr>
        <w:pStyle w:val="GraphTitle"/>
      </w:pPr>
      <w:bookmarkStart w:id="76" w:name="_Ref190872257"/>
      <w:bookmarkStart w:id="77" w:name="_Ref191388631"/>
      <w:r>
        <w:t xml:space="preserve">Attēls </w:t>
      </w:r>
      <w:r w:rsidR="00C47EA2">
        <w:fldChar w:fldCharType="begin"/>
      </w:r>
      <w:r w:rsidR="00C47EA2">
        <w:instrText xml:space="preserve"> SEQ Attēls \* ARABIC </w:instrText>
      </w:r>
      <w:r w:rsidR="00C47EA2">
        <w:fldChar w:fldCharType="separate"/>
      </w:r>
      <w:r w:rsidR="000523B6">
        <w:t>24</w:t>
      </w:r>
      <w:r w:rsidR="00C47EA2">
        <w:fldChar w:fldCharType="end"/>
      </w:r>
      <w:bookmarkEnd w:id="76"/>
      <w:r>
        <w:t xml:space="preserve">. </w:t>
      </w:r>
      <w:r w:rsidRPr="002276C5">
        <w:t>Finansējuma saņēmēju vērtējums par jaunu aktivitāšu pievienošanu projektā/-os</w:t>
      </w:r>
      <w:bookmarkEnd w:id="77"/>
    </w:p>
    <w:p w14:paraId="5BF17B98" w14:textId="7A07EA12" w:rsidR="002B4896" w:rsidRPr="00587838" w:rsidRDefault="00090D32" w:rsidP="003424D1">
      <w:pPr>
        <w:rPr>
          <w:rFonts w:cstheme="minorHAnsi"/>
        </w:rPr>
      </w:pPr>
      <w:r>
        <w:rPr>
          <w:noProof/>
        </w:rPr>
        <w:drawing>
          <wp:inline distT="0" distB="0" distL="0" distR="0" wp14:anchorId="1CABB0C6" wp14:editId="6D474AA9">
            <wp:extent cx="6508750" cy="1536700"/>
            <wp:effectExtent l="0" t="0" r="6350" b="6350"/>
            <wp:docPr id="665742623" name="Chart 1">
              <a:extLst xmlns:a="http://schemas.openxmlformats.org/drawingml/2006/main">
                <a:ext uri="{FF2B5EF4-FFF2-40B4-BE49-F238E27FC236}">
                  <a16:creationId xmlns:a16="http://schemas.microsoft.com/office/drawing/2014/main" id="{7C1A21E2-C475-43F6-81AF-FF1A9ED30B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DDB9ACC" w14:textId="544C7861" w:rsidR="00AA6301" w:rsidRPr="00785D09" w:rsidRDefault="00AA6301" w:rsidP="00AA6301">
      <w:pPr>
        <w:jc w:val="right"/>
        <w:rPr>
          <w:rStyle w:val="Izsmalcintsizclums"/>
        </w:rPr>
      </w:pPr>
      <w:r w:rsidRPr="00785D09">
        <w:rPr>
          <w:rStyle w:val="Izsmalcintsizclums"/>
        </w:rPr>
        <w:t>Avots: Finansējuma saņēmēju aptauja, n=12</w:t>
      </w:r>
    </w:p>
    <w:p w14:paraId="666868C7" w14:textId="581B6A91" w:rsidR="00821A95" w:rsidRDefault="00821A95" w:rsidP="00821A95">
      <w:pPr>
        <w:rPr>
          <w:rFonts w:cstheme="minorHAnsi"/>
        </w:rPr>
      </w:pPr>
      <w:r>
        <w:t xml:space="preserve">Analizējot šķēršļus projektu pielāgošanai mainīgajām vajadzībām, identificēti vairāki izaicinājumi. </w:t>
      </w:r>
      <w:r>
        <w:rPr>
          <w:rFonts w:cstheme="minorHAnsi"/>
        </w:rPr>
        <w:t>F</w:t>
      </w:r>
      <w:r w:rsidRPr="007765F4">
        <w:rPr>
          <w:rFonts w:cstheme="minorHAnsi"/>
        </w:rPr>
        <w:t>inansējuma saņēmēji</w:t>
      </w:r>
      <w:r w:rsidR="00045A6A">
        <w:rPr>
          <w:rFonts w:cstheme="minorHAnsi"/>
        </w:rPr>
        <w:t>, kuru vērtējumā process bija sarežģīts, kā galvenos iemeslus</w:t>
      </w:r>
      <w:r>
        <w:rPr>
          <w:rFonts w:cstheme="minorHAnsi"/>
        </w:rPr>
        <w:t xml:space="preserve"> norāda</w:t>
      </w:r>
      <w:r w:rsidR="00045A6A">
        <w:rPr>
          <w:rFonts w:cstheme="minorHAnsi"/>
        </w:rPr>
        <w:t xml:space="preserve"> ilgu </w:t>
      </w:r>
      <w:r w:rsidR="00AE3FF8">
        <w:rPr>
          <w:rFonts w:cstheme="minorHAnsi"/>
        </w:rPr>
        <w:t>grozīj</w:t>
      </w:r>
      <w:r w:rsidR="00BC16C1">
        <w:rPr>
          <w:rFonts w:cstheme="minorHAnsi"/>
        </w:rPr>
        <w:t>umu saskaņošanas proce</w:t>
      </w:r>
      <w:r w:rsidR="00045A6A">
        <w:rPr>
          <w:rFonts w:cstheme="minorHAnsi"/>
        </w:rPr>
        <w:t xml:space="preserve">su un </w:t>
      </w:r>
      <w:r w:rsidR="002B395E">
        <w:rPr>
          <w:rFonts w:cstheme="minorHAnsi"/>
        </w:rPr>
        <w:t>nepietiekam</w:t>
      </w:r>
      <w:r w:rsidR="00045A6A">
        <w:rPr>
          <w:rFonts w:cstheme="minorHAnsi"/>
        </w:rPr>
        <w:t>us</w:t>
      </w:r>
      <w:r w:rsidR="002B395E">
        <w:rPr>
          <w:rFonts w:cstheme="minorHAnsi"/>
        </w:rPr>
        <w:t xml:space="preserve"> administratīv</w:t>
      </w:r>
      <w:r w:rsidR="00045A6A">
        <w:rPr>
          <w:rFonts w:cstheme="minorHAnsi"/>
        </w:rPr>
        <w:t>os</w:t>
      </w:r>
      <w:r w:rsidR="002B395E">
        <w:rPr>
          <w:rFonts w:cstheme="minorHAnsi"/>
        </w:rPr>
        <w:t xml:space="preserve"> </w:t>
      </w:r>
      <w:r w:rsidR="00045A6A">
        <w:rPr>
          <w:rFonts w:cstheme="minorHAnsi"/>
        </w:rPr>
        <w:t xml:space="preserve">resursus </w:t>
      </w:r>
      <w:r>
        <w:rPr>
          <w:rFonts w:cstheme="minorHAnsi"/>
        </w:rPr>
        <w:t>(</w:t>
      </w:r>
      <w:r w:rsidR="000038FD">
        <w:rPr>
          <w:rFonts w:cstheme="minorHAnsi"/>
        </w:rPr>
        <w:fldChar w:fldCharType="begin"/>
      </w:r>
      <w:r w:rsidR="000038FD">
        <w:rPr>
          <w:rFonts w:cstheme="minorHAnsi"/>
        </w:rPr>
        <w:instrText xml:space="preserve"> REF _Ref190872327 \h </w:instrText>
      </w:r>
      <w:r w:rsidR="000038FD">
        <w:rPr>
          <w:rFonts w:cstheme="minorHAnsi"/>
        </w:rPr>
      </w:r>
      <w:r w:rsidR="000038FD">
        <w:rPr>
          <w:rFonts w:cstheme="minorHAnsi"/>
        </w:rPr>
        <w:fldChar w:fldCharType="separate"/>
      </w:r>
      <w:r w:rsidR="000523B6">
        <w:t xml:space="preserve">Attēls </w:t>
      </w:r>
      <w:r w:rsidR="000523B6">
        <w:rPr>
          <w:noProof/>
        </w:rPr>
        <w:t>25</w:t>
      </w:r>
      <w:r w:rsidR="000038FD">
        <w:rPr>
          <w:rFonts w:cstheme="minorHAnsi"/>
        </w:rPr>
        <w:fldChar w:fldCharType="end"/>
      </w:r>
      <w:r>
        <w:rPr>
          <w:rFonts w:cstheme="minorHAnsi"/>
        </w:rPr>
        <w:t xml:space="preserve">). </w:t>
      </w:r>
    </w:p>
    <w:p w14:paraId="6A7ADE4C" w14:textId="77777777" w:rsidR="00EB3297" w:rsidRDefault="00EB3297" w:rsidP="00821A95">
      <w:pPr>
        <w:rPr>
          <w:rFonts w:cstheme="minorHAnsi"/>
        </w:rPr>
      </w:pPr>
    </w:p>
    <w:p w14:paraId="48E05DC8" w14:textId="77777777" w:rsidR="00EB3297" w:rsidRDefault="00EB3297" w:rsidP="00821A95">
      <w:pPr>
        <w:rPr>
          <w:rFonts w:cstheme="minorHAnsi"/>
        </w:rPr>
      </w:pPr>
    </w:p>
    <w:p w14:paraId="6AFEE13A" w14:textId="77777777" w:rsidR="00EB3297" w:rsidRDefault="00EB3297" w:rsidP="00821A95">
      <w:pPr>
        <w:rPr>
          <w:rFonts w:cstheme="minorHAnsi"/>
        </w:rPr>
      </w:pPr>
    </w:p>
    <w:p w14:paraId="4C16E8BB" w14:textId="2FC69A13" w:rsidR="000038FD" w:rsidRDefault="000038FD" w:rsidP="000038FD">
      <w:pPr>
        <w:pStyle w:val="GraphTitle"/>
      </w:pPr>
      <w:bookmarkStart w:id="78" w:name="_Ref190872327"/>
      <w:bookmarkStart w:id="79" w:name="_Ref191388632"/>
      <w:r>
        <w:lastRenderedPageBreak/>
        <w:t xml:space="preserve">Attēls </w:t>
      </w:r>
      <w:r w:rsidR="00C47EA2">
        <w:fldChar w:fldCharType="begin"/>
      </w:r>
      <w:r w:rsidR="00C47EA2">
        <w:instrText xml:space="preserve"> SEQ Attēls \* ARABIC </w:instrText>
      </w:r>
      <w:r w:rsidR="00C47EA2">
        <w:fldChar w:fldCharType="separate"/>
      </w:r>
      <w:r w:rsidR="000523B6">
        <w:t>25</w:t>
      </w:r>
      <w:r w:rsidR="00C47EA2">
        <w:fldChar w:fldCharType="end"/>
      </w:r>
      <w:bookmarkEnd w:id="78"/>
      <w:r>
        <w:t xml:space="preserve">. </w:t>
      </w:r>
      <w:r w:rsidRPr="005E1D48">
        <w:t>Finansējuma saņēmēju vērtējums par izaicinājumi jaunu aktivitāšu iekļaušanai projektā/-os</w:t>
      </w:r>
      <w:bookmarkEnd w:id="79"/>
    </w:p>
    <w:p w14:paraId="4F764A42" w14:textId="7A57A642" w:rsidR="00E034ED" w:rsidRDefault="00EB7C33" w:rsidP="00821A95">
      <w:pPr>
        <w:rPr>
          <w:rFonts w:cstheme="minorHAnsi"/>
        </w:rPr>
      </w:pPr>
      <w:r>
        <w:rPr>
          <w:noProof/>
        </w:rPr>
        <w:drawing>
          <wp:inline distT="0" distB="0" distL="0" distR="0" wp14:anchorId="0F923A46" wp14:editId="630827E2">
            <wp:extent cx="6502400" cy="1905000"/>
            <wp:effectExtent l="0" t="0" r="0" b="0"/>
            <wp:docPr id="1727847131" name="Chart 1">
              <a:extLst xmlns:a="http://schemas.openxmlformats.org/drawingml/2006/main">
                <a:ext uri="{FF2B5EF4-FFF2-40B4-BE49-F238E27FC236}">
                  <a16:creationId xmlns:a16="http://schemas.microsoft.com/office/drawing/2014/main" id="{6E94BC38-9D40-42A5-A513-9BECD2E7F3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075C852" w14:textId="7415FF61" w:rsidR="00EB7C33" w:rsidRPr="00785D09" w:rsidRDefault="00EB7C33" w:rsidP="00EB7C33">
      <w:pPr>
        <w:jc w:val="right"/>
        <w:rPr>
          <w:rStyle w:val="Izsmalcintsizclums"/>
        </w:rPr>
      </w:pPr>
      <w:r w:rsidRPr="00785D09">
        <w:rPr>
          <w:rStyle w:val="Izsmalcintsizclums"/>
        </w:rPr>
        <w:t>Avots: Finansējuma saņēmēju aptauja, n=4</w:t>
      </w:r>
    </w:p>
    <w:p w14:paraId="69EC583C" w14:textId="1B84F86B" w:rsidR="00143135" w:rsidRPr="0093531A" w:rsidRDefault="000E5858" w:rsidP="00143135">
      <w:r>
        <w:rPr>
          <w:rFonts w:cstheme="minorHAnsi"/>
        </w:rPr>
        <w:t>Finansējuma saņēmēji</w:t>
      </w:r>
      <w:r w:rsidR="00AC6189">
        <w:rPr>
          <w:rFonts w:cstheme="minorHAnsi"/>
        </w:rPr>
        <w:t xml:space="preserve"> kopumā ļoti pozitīvi vērtē Programmu elastību,</w:t>
      </w:r>
      <w:r>
        <w:rPr>
          <w:rFonts w:cstheme="minorHAnsi"/>
        </w:rPr>
        <w:t xml:space="preserve"> ļaujot pielāgot projektu aktivitātes pēc nepieciešamības, tai skaitā,</w:t>
      </w:r>
      <w:r w:rsidR="00E608B5">
        <w:rPr>
          <w:rFonts w:cstheme="minorHAnsi"/>
        </w:rPr>
        <w:t xml:space="preserve"> mainot sākotnēji plānotās vai ieplānojot jaunas aktivitātes, </w:t>
      </w:r>
      <w:r w:rsidR="002E7FF2">
        <w:rPr>
          <w:rFonts w:cstheme="minorHAnsi"/>
        </w:rPr>
        <w:t xml:space="preserve">vai </w:t>
      </w:r>
      <w:r>
        <w:rPr>
          <w:rFonts w:cstheme="minorHAnsi"/>
        </w:rPr>
        <w:t>rodot papildu finanšu līdzekļus</w:t>
      </w:r>
      <w:r w:rsidR="00E608B5">
        <w:rPr>
          <w:rFonts w:cstheme="minorHAnsi"/>
        </w:rPr>
        <w:t>, ja tas bija nepieciešams</w:t>
      </w:r>
      <w:r>
        <w:rPr>
          <w:rFonts w:cstheme="minorHAnsi"/>
        </w:rPr>
        <w:t>.</w:t>
      </w:r>
      <w:r w:rsidR="003C157D">
        <w:rPr>
          <w:rFonts w:cstheme="minorHAnsi"/>
        </w:rPr>
        <w:t xml:space="preserve"> Atbildīgā iestāde ir demonstrējusi atsaucību attiecībā uz ārējiem apstākļiem, kas ietekmējuši projektu īstenošanas gaitu, kā arī </w:t>
      </w:r>
      <w:r w:rsidR="00C74425">
        <w:rPr>
          <w:rFonts w:cstheme="minorHAnsi"/>
        </w:rPr>
        <w:t>iesaistījusies problēmsituāciju risinājumu izstrādē</w:t>
      </w:r>
      <w:r w:rsidR="00E608B5">
        <w:rPr>
          <w:rFonts w:cstheme="minorHAnsi"/>
        </w:rPr>
        <w:t>, lai tiktu nodrošināta projektu mērķu sasniegšana</w:t>
      </w:r>
      <w:r w:rsidR="00C74425">
        <w:rPr>
          <w:rFonts w:cstheme="minorHAnsi"/>
        </w:rPr>
        <w:t xml:space="preserve">. </w:t>
      </w:r>
      <w:r w:rsidR="002E7FF2">
        <w:rPr>
          <w:rFonts w:cstheme="minorHAnsi"/>
        </w:rPr>
        <w:t xml:space="preserve">Vienlaikus </w:t>
      </w:r>
      <w:r w:rsidR="003C157D" w:rsidRPr="0081041D">
        <w:t>tika norādīts, ka komunikācija par izmaiņām, īpaši termiņu pagarinājumiem, varē</w:t>
      </w:r>
      <w:r w:rsidR="002E7FF2">
        <w:t>ja</w:t>
      </w:r>
      <w:r w:rsidR="003C157D" w:rsidRPr="0081041D">
        <w:t xml:space="preserve"> būt savlaicīgāka, lai </w:t>
      </w:r>
      <w:r w:rsidR="00E608B5">
        <w:t xml:space="preserve">sekmētu </w:t>
      </w:r>
      <w:r w:rsidR="003C157D" w:rsidRPr="0081041D">
        <w:t>efektīvāku projektu plānošanu un īstenošanu.</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030E0948" w14:textId="77777777" w:rsidTr="00E26047">
        <w:tc>
          <w:tcPr>
            <w:tcW w:w="10252" w:type="dxa"/>
            <w:shd w:val="clear" w:color="auto" w:fill="F3B8FF" w:themeFill="accent6" w:themeFillTint="33"/>
          </w:tcPr>
          <w:p w14:paraId="2B01E72A" w14:textId="77777777" w:rsidR="00143135" w:rsidRPr="008F64A0" w:rsidRDefault="00143135" w:rsidP="00A239D8">
            <w:pPr>
              <w:rPr>
                <w:i/>
                <w:iCs/>
                <w:color w:val="5A5A5A" w:themeColor="accent1" w:themeTint="BF"/>
              </w:rPr>
            </w:pPr>
            <w:r w:rsidRPr="008F64A0">
              <w:rPr>
                <w:i/>
                <w:iCs/>
                <w:color w:val="5A5A5A" w:themeColor="accent1" w:themeTint="BF"/>
              </w:rPr>
              <w:t>Apakšjautājums: Vai dalībvalsts valsts programmā izvirzītie mērķi atbilda apzinātajām vajadzībām?</w:t>
            </w:r>
          </w:p>
        </w:tc>
      </w:tr>
    </w:tbl>
    <w:p w14:paraId="38DCEA49" w14:textId="77777777" w:rsidR="0085221F" w:rsidRDefault="0085221F" w:rsidP="00B76001">
      <w:pPr>
        <w:rPr>
          <w:rFonts w:cstheme="minorHAnsi"/>
        </w:rPr>
      </w:pPr>
      <w:r>
        <w:rPr>
          <w:rFonts w:cstheme="minorHAnsi"/>
        </w:rPr>
        <w:t xml:space="preserve">Nacionālā programmā izvirzītie mērķi un to sasniegšanai definētās aktivitātes ir balstītas esošās situācijas analīzē. </w:t>
      </w:r>
      <w:r w:rsidRPr="004018A8">
        <w:rPr>
          <w:rFonts w:cstheme="minorHAnsi"/>
        </w:rPr>
        <w:t>Nacionālās programmas izstrādes proces</w:t>
      </w:r>
      <w:r>
        <w:rPr>
          <w:rFonts w:cstheme="minorHAnsi"/>
        </w:rPr>
        <w:t xml:space="preserve">s ietvēra vairākus savstarpēji papildinošus elementus – tā saskaņošanu ar nacionāla līmeņa politikas plānošanas dokumentiem un Iekšlietu nozares politikas stratēģiju, kā arī </w:t>
      </w:r>
      <w:r w:rsidRPr="004018A8">
        <w:rPr>
          <w:rFonts w:cstheme="minorHAnsi"/>
        </w:rPr>
        <w:t>konsultācijas ar nozares kompetento iestāžu pārstāvjiem</w:t>
      </w:r>
      <w:r>
        <w:rPr>
          <w:rFonts w:cstheme="minorHAnsi"/>
        </w:rPr>
        <w:t xml:space="preserve">. </w:t>
      </w:r>
    </w:p>
    <w:p w14:paraId="4C86CC86" w14:textId="5A3CEF6B" w:rsidR="00143135" w:rsidRPr="00426D25" w:rsidRDefault="0085221F" w:rsidP="00143135">
      <w:pPr>
        <w:rPr>
          <w:rFonts w:cstheme="minorHAnsi"/>
        </w:rPr>
      </w:pPr>
      <w:r>
        <w:rPr>
          <w:rFonts w:cstheme="minorHAnsi"/>
        </w:rPr>
        <w:t xml:space="preserve">Īpaša uzmanība tika pievērsta programmas </w:t>
      </w:r>
      <w:r w:rsidRPr="004018A8">
        <w:rPr>
          <w:rFonts w:cstheme="minorHAnsi"/>
        </w:rPr>
        <w:t>prioritā</w:t>
      </w:r>
      <w:r>
        <w:rPr>
          <w:rFonts w:cstheme="minorHAnsi"/>
        </w:rPr>
        <w:t>šu noteikšanai</w:t>
      </w:r>
      <w:r w:rsidRPr="004018A8">
        <w:rPr>
          <w:rFonts w:cstheme="minorHAnsi"/>
        </w:rPr>
        <w:t xml:space="preserve"> </w:t>
      </w:r>
      <w:r w:rsidR="001D43CB">
        <w:rPr>
          <w:rFonts w:cstheme="minorHAnsi"/>
        </w:rPr>
        <w:t>IDF</w:t>
      </w:r>
      <w:r w:rsidR="001D43CB" w:rsidRPr="004018A8">
        <w:rPr>
          <w:rFonts w:cstheme="minorHAnsi"/>
        </w:rPr>
        <w:t xml:space="preserve"> </w:t>
      </w:r>
      <w:r w:rsidRPr="004018A8">
        <w:rPr>
          <w:rFonts w:cstheme="minorHAnsi"/>
        </w:rPr>
        <w:t xml:space="preserve">nacionālās programmas </w:t>
      </w:r>
      <w:r>
        <w:rPr>
          <w:rFonts w:cstheme="minorHAnsi"/>
        </w:rPr>
        <w:t xml:space="preserve">kontekstā, šo procesu koordinējot </w:t>
      </w:r>
      <w:r w:rsidRPr="004018A8">
        <w:rPr>
          <w:rFonts w:cstheme="minorHAnsi"/>
        </w:rPr>
        <w:t>IeM valsts sekretāra līmenī</w:t>
      </w:r>
      <w:r>
        <w:rPr>
          <w:rFonts w:cstheme="minorHAnsi"/>
        </w:rPr>
        <w:t>. Šāda augsta līmeņa koordinācija</w:t>
      </w:r>
      <w:r w:rsidRPr="004018A8">
        <w:rPr>
          <w:rFonts w:cstheme="minorHAnsi"/>
        </w:rPr>
        <w:t xml:space="preserve"> nodrošinā</w:t>
      </w:r>
      <w:r>
        <w:rPr>
          <w:rFonts w:cstheme="minorHAnsi"/>
        </w:rPr>
        <w:t>ja programmas ciešu sasaisti ar</w:t>
      </w:r>
      <w:r w:rsidRPr="004018A8">
        <w:rPr>
          <w:rFonts w:cstheme="minorHAnsi"/>
        </w:rPr>
        <w:t xml:space="preserve"> kopēj</w:t>
      </w:r>
      <w:r>
        <w:rPr>
          <w:rFonts w:cstheme="minorHAnsi"/>
        </w:rPr>
        <w:t>o</w:t>
      </w:r>
      <w:r w:rsidRPr="004018A8">
        <w:rPr>
          <w:rFonts w:cstheme="minorHAnsi"/>
        </w:rPr>
        <w:t xml:space="preserve"> nozares attīstības virzien</w:t>
      </w:r>
      <w:r>
        <w:rPr>
          <w:rFonts w:cstheme="minorHAnsi"/>
        </w:rPr>
        <w:t>u</w:t>
      </w:r>
      <w:r w:rsidRPr="004018A8">
        <w:rPr>
          <w:rFonts w:cstheme="minorHAnsi"/>
        </w:rPr>
        <w:t xml:space="preserve"> un </w:t>
      </w:r>
      <w:r>
        <w:rPr>
          <w:rFonts w:cstheme="minorHAnsi"/>
        </w:rPr>
        <w:t xml:space="preserve">stratēģiskajām </w:t>
      </w:r>
      <w:r w:rsidRPr="004018A8">
        <w:rPr>
          <w:rFonts w:cstheme="minorHAnsi"/>
        </w:rPr>
        <w:t>prioritātēm.</w:t>
      </w:r>
      <w:r>
        <w:rPr>
          <w:rFonts w:cstheme="minorHAnsi"/>
        </w:rPr>
        <w:t xml:space="preserve">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2681A8A4" w14:textId="77777777" w:rsidTr="00E26047">
        <w:tc>
          <w:tcPr>
            <w:tcW w:w="10252" w:type="dxa"/>
            <w:shd w:val="clear" w:color="auto" w:fill="F3B8FF" w:themeFill="accent6" w:themeFillTint="33"/>
          </w:tcPr>
          <w:p w14:paraId="6A610174" w14:textId="77777777" w:rsidR="00143135" w:rsidRPr="008F64A0" w:rsidRDefault="00143135" w:rsidP="00A239D8">
            <w:pPr>
              <w:rPr>
                <w:i/>
                <w:iCs/>
                <w:color w:val="5A5A5A" w:themeColor="accent1" w:themeTint="BF"/>
              </w:rPr>
            </w:pPr>
            <w:r w:rsidRPr="008F64A0">
              <w:rPr>
                <w:i/>
                <w:iCs/>
                <w:color w:val="5A5A5A" w:themeColor="accent1" w:themeTint="BF"/>
              </w:rPr>
              <w:t>Apakšjautājums: Vai gada darba programmā (Savienības darbības) izvirzītie mērķi pievērsās aktuālajām vajadzībām?</w:t>
            </w:r>
          </w:p>
        </w:tc>
      </w:tr>
    </w:tbl>
    <w:p w14:paraId="572F6BD3" w14:textId="0D8263A9" w:rsidR="00143135" w:rsidRDefault="00F448E4" w:rsidP="00143135">
      <w:pPr>
        <w:rPr>
          <w:bCs/>
        </w:rPr>
      </w:pPr>
      <w:r>
        <w:rPr>
          <w:bCs/>
        </w:rPr>
        <w:t>Latvijas iestā</w:t>
      </w:r>
      <w:r w:rsidR="00905F3E">
        <w:rPr>
          <w:bCs/>
        </w:rPr>
        <w:t>des 2014. – 2020.gada plānoša</w:t>
      </w:r>
      <w:r w:rsidR="009E65D6">
        <w:rPr>
          <w:bCs/>
        </w:rPr>
        <w:t>nas periodā IDF vīzām un robežām Sadarbības darbību gada programm</w:t>
      </w:r>
      <w:r w:rsidR="0004290E">
        <w:rPr>
          <w:bCs/>
        </w:rPr>
        <w:t>u ietvaros pieejamo finansējumu izmantoja, lai ieviestu atsevišķus projektus. Viens no šiem projektiem bija VRS īstenotais projekts “</w:t>
      </w:r>
      <w:r w:rsidR="007A10BE" w:rsidRPr="007A10BE">
        <w:rPr>
          <w:bCs/>
        </w:rPr>
        <w:t>Baltijas valstu informācijas apmaiņas mehānisma attīstība</w:t>
      </w:r>
      <w:r w:rsidR="0004290E">
        <w:rPr>
          <w:bCs/>
        </w:rPr>
        <w:t>”</w:t>
      </w:r>
      <w:r w:rsidR="007A10BE">
        <w:rPr>
          <w:bCs/>
        </w:rPr>
        <w:t>, k</w:t>
      </w:r>
      <w:r w:rsidR="002A217C">
        <w:rPr>
          <w:bCs/>
        </w:rPr>
        <w:t xml:space="preserve">ura </w:t>
      </w:r>
      <w:r w:rsidR="007A10BE">
        <w:rPr>
          <w:bCs/>
        </w:rPr>
        <w:t xml:space="preserve">mērķis bija </w:t>
      </w:r>
      <w:r w:rsidR="00E95A30">
        <w:rPr>
          <w:bCs/>
        </w:rPr>
        <w:t xml:space="preserve">veicināt </w:t>
      </w:r>
      <w:r w:rsidR="00E95A30" w:rsidRPr="00E95A30">
        <w:rPr>
          <w:bCs/>
        </w:rPr>
        <w:t>Baltijas valstu robežsardzes operatīvo efektivitāti, ieviešot tiešas komunikācijas iespējas starp Igaunijas, Latvijas un Lietuvas robežsardzes vietējām un reģionālajām vienībām, vienlaikus uzlabojot to reaģēšanas laiku uz robežpārkāpumiem.</w:t>
      </w:r>
      <w:r w:rsidR="00E95A30">
        <w:rPr>
          <w:rStyle w:val="Vresatsauce"/>
          <w:bCs/>
        </w:rPr>
        <w:footnoteReference w:id="42"/>
      </w:r>
      <w:r w:rsidR="0024256F">
        <w:rPr>
          <w:bCs/>
        </w:rPr>
        <w:t xml:space="preserve"> </w:t>
      </w:r>
      <w:r w:rsidR="00EF5FD9">
        <w:rPr>
          <w:bCs/>
        </w:rPr>
        <w:t xml:space="preserve">Projekts tika īstenots atbilstoši 2016.gada Savienības darbību gada programmā definētajai prioritātei </w:t>
      </w:r>
      <w:r w:rsidR="0024256F">
        <w:rPr>
          <w:bCs/>
        </w:rPr>
        <w:t xml:space="preserve"> </w:t>
      </w:r>
      <w:r w:rsidR="00D62A5D" w:rsidRPr="00D62A5D">
        <w:rPr>
          <w:bCs/>
        </w:rPr>
        <w:t xml:space="preserve">robežuzraudzības uzlabošanas atbalstam, </w:t>
      </w:r>
      <w:r w:rsidR="00D62A5D" w:rsidRPr="00D62A5D">
        <w:rPr>
          <w:bCs/>
        </w:rPr>
        <w:lastRenderedPageBreak/>
        <w:t>stiprinot dalībvalstu sadarbību EUROSUR ietvaros, tostarp, kad vien tas ir lietderīgi, sadarbību ar trešajām valstīm (īpaši kaimiņvalstīm).</w:t>
      </w:r>
      <w:r w:rsidR="00D62A5D">
        <w:rPr>
          <w:rStyle w:val="Vresatsauce"/>
          <w:bCs/>
        </w:rPr>
        <w:footnoteReference w:id="43"/>
      </w:r>
    </w:p>
    <w:p w14:paraId="59AF1FBD" w14:textId="6D7A0FB8" w:rsidR="00056AB4" w:rsidRDefault="00167B9B" w:rsidP="00143135">
      <w:pPr>
        <w:rPr>
          <w:bCs/>
        </w:rPr>
      </w:pPr>
      <w:r>
        <w:rPr>
          <w:bCs/>
        </w:rPr>
        <w:t>Papildu tam VRS iesaistījās arī projekta “</w:t>
      </w:r>
      <w:r w:rsidR="00A63CE3" w:rsidRPr="00A63CE3">
        <w:rPr>
          <w:bCs/>
        </w:rPr>
        <w:t>Imigrācijas sakaru virsnieku darbības uzlabošana Vjetnamā/EURLO Vjetnamā</w:t>
      </w:r>
      <w:r>
        <w:rPr>
          <w:bCs/>
        </w:rPr>
        <w:t>”</w:t>
      </w:r>
      <w:r w:rsidR="00A63CE3">
        <w:rPr>
          <w:bCs/>
        </w:rPr>
        <w:t xml:space="preserve"> aktivitātēs, </w:t>
      </w:r>
      <w:r w:rsidR="00CE414A">
        <w:rPr>
          <w:bCs/>
        </w:rPr>
        <w:t xml:space="preserve">kura mērķis bija </w:t>
      </w:r>
      <w:r w:rsidR="003B6356" w:rsidRPr="003B6356">
        <w:rPr>
          <w:bCs/>
        </w:rPr>
        <w:t>atbalstīt ES Imigrācijas sadarbības koordinatoru, kuri darbojas Vjetnamā, kapacitātes stiprināšanu, uzlabojot sadarbību ar Vjetnamas Imigrācijas departamentu un tā kvalifikāciju.</w:t>
      </w:r>
      <w:r w:rsidR="003B6356">
        <w:rPr>
          <w:rStyle w:val="Vresatsauce"/>
          <w:bCs/>
        </w:rPr>
        <w:footnoteReference w:id="44"/>
      </w:r>
      <w:r w:rsidR="00D330FA">
        <w:rPr>
          <w:bCs/>
        </w:rPr>
        <w:t xml:space="preserve"> Šis projekts tika ieviests Savienības darbību </w:t>
      </w:r>
      <w:r w:rsidR="00DD55C7">
        <w:rPr>
          <w:bCs/>
        </w:rPr>
        <w:t xml:space="preserve">2020.gada programmas ietvaros, kas paredzēja atbalstu </w:t>
      </w:r>
      <w:r w:rsidR="00E9487F" w:rsidRPr="00E9487F">
        <w:rPr>
          <w:bCs/>
        </w:rPr>
        <w:t>Eiropas Imigrācijas sadarbības koordinatoru tīkl</w:t>
      </w:r>
      <w:r w:rsidR="00E9487F">
        <w:rPr>
          <w:bCs/>
        </w:rPr>
        <w:t>am.</w:t>
      </w:r>
      <w:r w:rsidR="00E9487F">
        <w:rPr>
          <w:rStyle w:val="Vresatsauce"/>
          <w:bCs/>
        </w:rPr>
        <w:footnoteReference w:id="45"/>
      </w:r>
      <w:r w:rsidR="00E9487F">
        <w:rPr>
          <w:bCs/>
        </w:rPr>
        <w:t xml:space="preserve"> </w:t>
      </w:r>
    </w:p>
    <w:p w14:paraId="2128D9FA" w14:textId="6BAC0CB3" w:rsidR="005B48BA" w:rsidRPr="00E9487F" w:rsidRDefault="005B48BA" w:rsidP="00143135">
      <w:pPr>
        <w:rPr>
          <w:bCs/>
        </w:rPr>
      </w:pPr>
      <w:r>
        <w:rPr>
          <w:bCs/>
        </w:rPr>
        <w:t>Tādējādi secināms, ka, lai gan Latvija</w:t>
      </w:r>
      <w:r w:rsidR="00D76A21">
        <w:rPr>
          <w:bCs/>
        </w:rPr>
        <w:t>s iestā</w:t>
      </w:r>
      <w:r w:rsidR="00B474F5">
        <w:rPr>
          <w:bCs/>
        </w:rPr>
        <w:t xml:space="preserve">žu iesaiste Savienības darbību </w:t>
      </w:r>
      <w:r w:rsidR="00C42650">
        <w:rPr>
          <w:bCs/>
        </w:rPr>
        <w:t>gada programmās definēto mērķu un prioritāšu sasniegšanai</w:t>
      </w:r>
      <w:r w:rsidR="00CC1E4C">
        <w:rPr>
          <w:bCs/>
        </w:rPr>
        <w:t xml:space="preserve"> </w:t>
      </w:r>
      <w:r w:rsidR="00E247F9">
        <w:rPr>
          <w:bCs/>
        </w:rPr>
        <w:t xml:space="preserve">bijusi ierobežota, tomēr </w:t>
      </w:r>
      <w:r w:rsidR="009265CB">
        <w:rPr>
          <w:bCs/>
        </w:rPr>
        <w:t>realizētie projekti</w:t>
      </w:r>
      <w:r w:rsidR="00E247F9">
        <w:rPr>
          <w:bCs/>
        </w:rPr>
        <w:t xml:space="preserve"> apliecina to atbilstību aktuālajām </w:t>
      </w:r>
      <w:r w:rsidR="009265CB">
        <w:rPr>
          <w:bCs/>
        </w:rPr>
        <w:t>vajadzībām</w:t>
      </w:r>
      <w:r w:rsidR="00E247F9">
        <w:rPr>
          <w:bCs/>
        </w:rPr>
        <w:t xml:space="preserve">.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6267CAE1" w14:textId="77777777" w:rsidTr="00E26047">
        <w:tc>
          <w:tcPr>
            <w:tcW w:w="10252" w:type="dxa"/>
            <w:shd w:val="clear" w:color="auto" w:fill="F3B8FF" w:themeFill="accent6" w:themeFillTint="33"/>
          </w:tcPr>
          <w:p w14:paraId="51486C19" w14:textId="77777777" w:rsidR="00143135" w:rsidRPr="008F64A0" w:rsidRDefault="00143135" w:rsidP="00A239D8">
            <w:pPr>
              <w:rPr>
                <w:i/>
                <w:iCs/>
                <w:color w:val="5A5A5A" w:themeColor="accent1" w:themeTint="BF"/>
              </w:rPr>
            </w:pPr>
            <w:r w:rsidRPr="008F64A0">
              <w:rPr>
                <w:i/>
                <w:iCs/>
                <w:color w:val="5A5A5A" w:themeColor="accent1" w:themeTint="BF"/>
              </w:rPr>
              <w:t>Apakšjautājums: Vai gada darba programmā (ārkārtas palīdzība) izvirzītie mērķi pievērsās aktuālajām vajadzībām?</w:t>
            </w:r>
          </w:p>
        </w:tc>
      </w:tr>
    </w:tbl>
    <w:p w14:paraId="08A7A9E1" w14:textId="23F37AFC" w:rsidR="00656070" w:rsidRPr="002D15F8" w:rsidRDefault="00656070" w:rsidP="00656070">
      <w:pPr>
        <w:rPr>
          <w:rFonts w:cstheme="minorHAnsi"/>
        </w:rPr>
      </w:pPr>
      <w:r>
        <w:rPr>
          <w:rFonts w:cstheme="minorHAnsi"/>
        </w:rPr>
        <w:t>Saskaņā ar atbildīgās iestādes sniegto informāciju, 2014.-2020.</w:t>
      </w:r>
      <w:r w:rsidR="00F74281">
        <w:rPr>
          <w:rFonts w:cstheme="minorHAnsi"/>
        </w:rPr>
        <w:t xml:space="preserve"> </w:t>
      </w:r>
      <w:r>
        <w:rPr>
          <w:rFonts w:cstheme="minorHAnsi"/>
        </w:rPr>
        <w:t>gada plānošanas periodā Latvijas finansējuma saņēmēji papildu aktivitāšu ieviešanai nav piesaistījuši ārkārtas palīdzības līdzekļus.</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351EC90A" w14:textId="77777777" w:rsidTr="00E26047">
        <w:tc>
          <w:tcPr>
            <w:tcW w:w="10252" w:type="dxa"/>
            <w:tcBorders>
              <w:bottom w:val="single" w:sz="4" w:space="0" w:color="auto"/>
            </w:tcBorders>
            <w:shd w:val="clear" w:color="auto" w:fill="F3B8FF" w:themeFill="accent6" w:themeFillTint="33"/>
          </w:tcPr>
          <w:p w14:paraId="00C588D3" w14:textId="77777777" w:rsidR="00143135" w:rsidRPr="008F64A0" w:rsidRDefault="00143135" w:rsidP="00A239D8">
            <w:pPr>
              <w:rPr>
                <w:i/>
                <w:iCs/>
                <w:color w:val="5A5A5A" w:themeColor="accent1" w:themeTint="BF"/>
              </w:rPr>
            </w:pPr>
            <w:r w:rsidRPr="008F64A0">
              <w:rPr>
                <w:i/>
                <w:iCs/>
                <w:color w:val="5A5A5A" w:themeColor="accent1" w:themeTint="BF"/>
              </w:rPr>
              <w:t>Apakšjautājums: Kādus pasākumus dalībvalsts veica, lai risinātu mainīgās vajadzības?</w:t>
            </w:r>
          </w:p>
        </w:tc>
      </w:tr>
    </w:tbl>
    <w:p w14:paraId="6CE1E8FF" w14:textId="0E1AAA36" w:rsidR="002A7D70" w:rsidRDefault="002A7D70" w:rsidP="002A7D70">
      <w:r>
        <w:t>Skalā no 1 līdz 5, kur 1 nozīmē, ka Programmas ir neelastīgas, bet 5 — ļoti elastīgas, vidējais finansējuma saņēmēju vērtējums par  Programmu spēju pielāgoties projekta/-u mainīgajām vajadzībām ir 3,</w:t>
      </w:r>
      <w:r w:rsidR="00F63ACE">
        <w:t>5</w:t>
      </w:r>
      <w:r>
        <w:t xml:space="preserve">. Tas nozīmē, ka kopumā finansējuma saņēmēji Programmas vērtē kā drīzāk elastīgas. </w:t>
      </w:r>
    </w:p>
    <w:p w14:paraId="6FE3F0A2" w14:textId="74FADBD0" w:rsidR="007D4F33" w:rsidRDefault="007D4F33" w:rsidP="000E5858">
      <w:r w:rsidRPr="007D4F33">
        <w:t xml:space="preserve">Latvija īstenoja virkni mērķtiecīgu pasākumu, lai efektīvi reaģētu uz mainīgajām vajadzībām </w:t>
      </w:r>
      <w:r w:rsidR="006A6EC7">
        <w:t xml:space="preserve">IDF </w:t>
      </w:r>
      <w:r w:rsidRPr="007D4F33">
        <w:t xml:space="preserve">programmas īstenošanas laikā. </w:t>
      </w:r>
    </w:p>
    <w:p w14:paraId="43D4D538" w14:textId="6C591863" w:rsidR="007D4F33" w:rsidRDefault="007D4F33" w:rsidP="000E5858">
      <w:r w:rsidRPr="007D4F33">
        <w:t>Būtiska uzmanība tika pievērsta finanšu resursu pārplānošanai, kas ietvēra</w:t>
      </w:r>
      <w:r w:rsidR="00BA2FF6">
        <w:t xml:space="preserve"> tādus pasākumus kā </w:t>
      </w:r>
      <w:r w:rsidRPr="007D4F33">
        <w:t>finansējuma samazināšanu atsevišķām aktivitātēm, piemēram, NVIS programmatūras pilnveidošanai par 302</w:t>
      </w:r>
      <w:r>
        <w:t xml:space="preserve"> </w:t>
      </w:r>
      <w:r w:rsidRPr="007D4F33">
        <w:t xml:space="preserve">500 </w:t>
      </w:r>
      <w:r>
        <w:rPr>
          <w:i/>
          <w:iCs/>
        </w:rPr>
        <w:t>euro</w:t>
      </w:r>
      <w:r w:rsidR="00153DC4">
        <w:t>.</w:t>
      </w:r>
      <w:r>
        <w:rPr>
          <w:rStyle w:val="Vresatsauce"/>
          <w:i/>
          <w:iCs/>
        </w:rPr>
        <w:footnoteReference w:id="46"/>
      </w:r>
      <w:r w:rsidR="00BA2FF6">
        <w:rPr>
          <w:i/>
          <w:iCs/>
        </w:rPr>
        <w:t xml:space="preserve"> </w:t>
      </w:r>
      <w:r w:rsidRPr="007D4F33">
        <w:t xml:space="preserve">Nozīmīgas izmaiņas tika veiktas, reaģējot uz politikas izmaiņām Šengenas zonas vīzu izsniegšanas jomā, pārstrukturējot konsulāro amatpersonu apmācības un koncentrējot tās Rīgā. </w:t>
      </w:r>
    </w:p>
    <w:p w14:paraId="688C5209" w14:textId="19C6EEE9" w:rsidR="007D4F33" w:rsidRDefault="007D4F33" w:rsidP="000E5858">
      <w:r w:rsidRPr="007D4F33">
        <w:t>Programmas elastību apliecināja arī spēja pielāgoties C</w:t>
      </w:r>
      <w:r w:rsidR="00F74281">
        <w:t>ovid</w:t>
      </w:r>
      <w:r w:rsidRPr="007D4F33">
        <w:t xml:space="preserve">-19 pandēmijas radītajiem izaicinājumiem, veicot risku apkopojumu un ieviešot atbilstošus atvieglojumus projektu īstenošanā, tostarp precizējot virsstundu likmju nosacījumus un pielāgojot mācību norises koncepciju. </w:t>
      </w:r>
    </w:p>
    <w:p w14:paraId="13D2A8B3" w14:textId="2BE9594E" w:rsidR="007D4F33" w:rsidRDefault="007D4F33" w:rsidP="000E5858">
      <w:r w:rsidRPr="007D4F33">
        <w:t>Projektu īstenošana tika pielāgota arī citiem ārējiem apstākļiem, piemēram, risinot jautājumus saistībā ar izmaksu pieaugumu Ukrainas karadarbības ietekmē un pieņemot lēmumus par atsevišķu projektu pārcelšanu uz 2021</w:t>
      </w:r>
      <w:r w:rsidR="00F74281">
        <w:t>.</w:t>
      </w:r>
      <w:r w:rsidRPr="007D4F33">
        <w:t>-2027</w:t>
      </w:r>
      <w:r w:rsidR="00F74281">
        <w:t>. gada</w:t>
      </w:r>
      <w:r w:rsidRPr="007D4F33">
        <w:t xml:space="preserve"> plānošanas periodu. Visu šo izmaiņu efektīvu ieviešanu nodrošināja sistemātiska uzraudzība IDF </w:t>
      </w:r>
      <w:r w:rsidR="00567BE2">
        <w:t>UK</w:t>
      </w:r>
      <w:r w:rsidRPr="007D4F33">
        <w:t xml:space="preserve"> un Projektu uzraudzības padomes sēdēs, kas ļāva operatīvi pieņemt lēmumus par nepieciešamajām izmaiņām un pielāgojumiem.</w:t>
      </w:r>
    </w:p>
    <w:p w14:paraId="1EB05E4F" w14:textId="77777777" w:rsidR="00FD71D1" w:rsidRDefault="00FD71D1" w:rsidP="000E5858"/>
    <w:p w14:paraId="76BA6986" w14:textId="77777777" w:rsidR="00143135" w:rsidRPr="008F64A0" w:rsidRDefault="00143135" w:rsidP="00BF4167">
      <w:pPr>
        <w:pStyle w:val="Sarakstarindkopa"/>
        <w:numPr>
          <w:ilvl w:val="2"/>
          <w:numId w:val="42"/>
        </w:numPr>
        <w:rPr>
          <w:b/>
        </w:rPr>
      </w:pPr>
      <w:r w:rsidRPr="008F64A0">
        <w:rPr>
          <w:b/>
        </w:rPr>
        <w:lastRenderedPageBreak/>
        <w:t>Kritērijs “Saskaņotība”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0E2EE34D" w14:textId="77777777" w:rsidTr="00D40533">
        <w:tc>
          <w:tcPr>
            <w:tcW w:w="10252" w:type="dxa"/>
            <w:shd w:val="clear" w:color="auto" w:fill="82009B" w:themeFill="accent6"/>
          </w:tcPr>
          <w:p w14:paraId="686F3AC7" w14:textId="77777777" w:rsidR="00143135" w:rsidRPr="008F64A0" w:rsidRDefault="00143135" w:rsidP="00A239D8">
            <w:pPr>
              <w:rPr>
                <w:b/>
              </w:rPr>
            </w:pPr>
            <w:r w:rsidRPr="008F64A0">
              <w:rPr>
                <w:b/>
              </w:rPr>
              <w:t xml:space="preserve">Izvērtēšanas kritērija jautājums: </w:t>
            </w:r>
            <w:r w:rsidRPr="008F64A0">
              <w:rPr>
                <w:bCs/>
              </w:rPr>
              <w:t>Vai fonda valsts programmā izvirzītie mērķi saskanēja ar citās no ES līdzekļiem finansētajās programmās izvirzītajiem mērķiem un vai tie tika piemēroti līdzīgās darba jomās? Vai saskaņotība tika nodrošināta arī fonda īstenošanas laikā?</w:t>
            </w:r>
          </w:p>
        </w:tc>
      </w:tr>
    </w:tbl>
    <w:p w14:paraId="2A2A0CC7" w14:textId="43092456" w:rsidR="0063021D" w:rsidRPr="000276B6" w:rsidRDefault="0063021D" w:rsidP="0063021D">
      <w:r>
        <w:t xml:space="preserve">IDF nacionālās programmas mērķi un to saskaņotība ar citām ES finansētām programmām tika nodrošināta vairākos līmeņos. Galvenais koordinācijas mehānisms ir </w:t>
      </w:r>
      <w:r w:rsidR="00567BE2">
        <w:t>UK</w:t>
      </w:r>
      <w:r>
        <w:t xml:space="preserve">, kas nodrošina visu būtisko institūciju </w:t>
      </w:r>
      <w:r w:rsidR="00574824">
        <w:t xml:space="preserve">un citu nozaru ministriju </w:t>
      </w:r>
      <w:r>
        <w:t>iesaisti lēmumu pieņemšanā</w:t>
      </w:r>
      <w:r w:rsidR="00574824">
        <w:t xml:space="preserve"> un uzraudzībā</w:t>
      </w:r>
      <w:r>
        <w:t>. UK lēmumu saskaņošanas procesā tiek sistemātiski izvērtēta finansējuma nepārklāšanās starp dažādām programmām.</w:t>
      </w:r>
    </w:p>
    <w:p w14:paraId="6BF468BE" w14:textId="600F910C" w:rsidR="004C5502" w:rsidRDefault="00574824" w:rsidP="0063021D">
      <w:r>
        <w:t xml:space="preserve">IDF vīzām un robežām ir identificējama savstarpējā saskaņotība ar citām programmām. Piemēram, </w:t>
      </w:r>
      <w:r w:rsidR="001C438D">
        <w:t>Latvijas-Krievijas pārrobežu sadarbības programmā</w:t>
      </w:r>
      <w:r w:rsidR="00B6396E">
        <w:t xml:space="preserve"> 2014</w:t>
      </w:r>
      <w:r w:rsidR="00F74281">
        <w:t>.</w:t>
      </w:r>
      <w:r w:rsidR="00B6396E">
        <w:t>-2020.</w:t>
      </w:r>
      <w:r w:rsidR="00F74281">
        <w:t xml:space="preserve"> </w:t>
      </w:r>
      <w:r w:rsidR="00B6396E">
        <w:t>gadam viens no izvirzītajiem mērķiem bija “</w:t>
      </w:r>
      <w:r w:rsidR="007D22FE" w:rsidRPr="007D22FE">
        <w:t>Robežu pārvaldības un robežu drošības, mobilitātes un migrācijas pārvaldības veicināšana</w:t>
      </w:r>
      <w:r w:rsidR="00B6396E">
        <w:t>”</w:t>
      </w:r>
      <w:r w:rsidR="009D6A13">
        <w:rPr>
          <w:rStyle w:val="Vresatsauce"/>
        </w:rPr>
        <w:footnoteReference w:id="47"/>
      </w:r>
      <w:r w:rsidR="00A226E2">
        <w:t xml:space="preserve">, kā ietvaros tikusi veikta </w:t>
      </w:r>
      <w:r w:rsidR="001C438D">
        <w:t xml:space="preserve"> </w:t>
      </w:r>
      <w:r w:rsidR="00A226E2">
        <w:t>robežšķērsošanas vietas "Terehova-Burachki" modernizācija. Vienlaikus arī</w:t>
      </w:r>
      <w:r w:rsidR="001C438D">
        <w:t xml:space="preserve"> Latvijas-Lietuvas-Baltkrievijas programmā</w:t>
      </w:r>
      <w:r w:rsidR="0027425F">
        <w:t xml:space="preserve"> 2014</w:t>
      </w:r>
      <w:r w:rsidR="00F74281">
        <w:t>.</w:t>
      </w:r>
      <w:r w:rsidR="0027425F">
        <w:t>-2020.</w:t>
      </w:r>
      <w:r w:rsidR="00F74281">
        <w:t xml:space="preserve"> </w:t>
      </w:r>
      <w:r w:rsidR="0027425F">
        <w:t>gadam</w:t>
      </w:r>
      <w:r w:rsidR="001C438D">
        <w:t xml:space="preserve"> </w:t>
      </w:r>
      <w:r w:rsidR="00526A8A">
        <w:t>kā viens no izvirzīts “Robežu pārvaldības un drošības veicināšana”</w:t>
      </w:r>
      <w:r w:rsidR="00526A8A">
        <w:rPr>
          <w:rStyle w:val="Vresatsauce"/>
        </w:rPr>
        <w:footnoteReference w:id="48"/>
      </w:r>
      <w:r w:rsidR="00526A8A">
        <w:t xml:space="preserve">. </w:t>
      </w:r>
      <w:r w:rsidR="0027425F">
        <w:t>Tās ietvaros tika</w:t>
      </w:r>
      <w:r w:rsidR="0063021D">
        <w:t xml:space="preserve"> realizēti divi lieli infrastruktūras projekti </w:t>
      </w:r>
      <w:r w:rsidR="00612F97">
        <w:rPr>
          <w:rFonts w:cstheme="minorHAnsi"/>
        </w:rPr>
        <w:t>–</w:t>
      </w:r>
      <w:r w:rsidR="0063021D">
        <w:t xml:space="preserve"> "Pāternieki-Grigorovščina" robežšķērsošanas punkta uzlabošana un </w:t>
      </w:r>
      <w:r w:rsidR="0027425F">
        <w:t>“</w:t>
      </w:r>
      <w:r w:rsidR="0063021D">
        <w:t>Silenes-Urbani</w:t>
      </w:r>
      <w:r w:rsidR="0027425F">
        <w:t>”</w:t>
      </w:r>
      <w:r w:rsidR="0063021D">
        <w:t xml:space="preserve"> modernizācija. </w:t>
      </w:r>
      <w:r w:rsidR="0027425F">
        <w:t>L</w:t>
      </w:r>
      <w:r w:rsidR="0063021D">
        <w:t>ai gan</w:t>
      </w:r>
      <w:r w:rsidR="0027425F">
        <w:t xml:space="preserve"> šie projekti</w:t>
      </w:r>
      <w:r w:rsidR="0063021D">
        <w:t xml:space="preserve"> īstenošanas periodā nepārklāj</w:t>
      </w:r>
      <w:r w:rsidR="0027425F">
        <w:t>ā</w:t>
      </w:r>
      <w:r w:rsidR="0063021D">
        <w:t>s</w:t>
      </w:r>
      <w:r w:rsidR="00E00A99">
        <w:t xml:space="preserve"> ar IDF ietvaros īstenotajām aktivitātēm</w:t>
      </w:r>
      <w:r w:rsidR="0063021D">
        <w:t>, tomēr veiksmīgi papildina viens otru kopējo mērķu sasniegšanai.</w:t>
      </w:r>
    </w:p>
    <w:p w14:paraId="0FDF0E1A" w14:textId="28EFA1C9" w:rsidR="0087570C" w:rsidRDefault="0087570C" w:rsidP="0063021D">
      <w:r>
        <w:t xml:space="preserve">Vienlaikus savstarpējās saskaņotības elementi IDF robežām un vīzām ir identificējami arī </w:t>
      </w:r>
      <w:r w:rsidR="00CC7FB1">
        <w:t>EEZ</w:t>
      </w:r>
      <w:r w:rsidRPr="0087570C">
        <w:t xml:space="preserve"> finanšu instrumenta  2014.-2021.</w:t>
      </w:r>
      <w:r w:rsidR="00F74281">
        <w:t xml:space="preserve"> </w:t>
      </w:r>
      <w:r w:rsidRPr="0087570C">
        <w:t>gada perioda līdzfinansēt</w:t>
      </w:r>
      <w:r w:rsidR="000E7712">
        <w:t>o</w:t>
      </w:r>
      <w:r w:rsidRPr="0087570C">
        <w:t xml:space="preserve"> programm</w:t>
      </w:r>
      <w:r w:rsidR="000E7712">
        <w:t>u</w:t>
      </w:r>
      <w:r w:rsidRPr="0087570C">
        <w:t xml:space="preserve"> “Starptautiskā policijas sadarbība un noziedzības apkarošana”</w:t>
      </w:r>
      <w:r w:rsidR="00E67741">
        <w:t>. Lai arī tās mērķis “</w:t>
      </w:r>
      <w:r w:rsidR="00E67741" w:rsidRPr="00E67741">
        <w:t> stiprināt tiesībsargājoši iestāžu sadarbību ekonomisko noziegumu novēršanā un apkarošanā Latvijā</w:t>
      </w:r>
      <w:r w:rsidR="00E67741">
        <w:t>”</w:t>
      </w:r>
      <w:r w:rsidR="002C1579">
        <w:rPr>
          <w:rStyle w:val="Vresatsauce"/>
        </w:rPr>
        <w:footnoteReference w:id="49"/>
      </w:r>
      <w:r w:rsidR="00E67741">
        <w:t xml:space="preserve"> kopumā ir vairāk saskanīgs ar IDF policijai, noziedzībai krīzēm</w:t>
      </w:r>
      <w:r w:rsidR="00360884">
        <w:t xml:space="preserve"> </w:t>
      </w:r>
      <w:r w:rsidR="000E201B">
        <w:t>finansiāla atbalsta instrumentu</w:t>
      </w:r>
      <w:r w:rsidR="00E67741">
        <w:t xml:space="preserve">, </w:t>
      </w:r>
      <w:r w:rsidR="00FF26A1">
        <w:t>tās ietvaros ir īstenoti</w:t>
      </w:r>
      <w:r w:rsidR="00360884">
        <w:t xml:space="preserve"> </w:t>
      </w:r>
      <w:r w:rsidR="00406D00">
        <w:t xml:space="preserve">pasākumi </w:t>
      </w:r>
      <w:r w:rsidR="00406D00" w:rsidRPr="00406D00">
        <w:t>ekonomisko noziegumu novēršanas un apkarošanas efektivitāt</w:t>
      </w:r>
      <w:r w:rsidR="00406D00">
        <w:t>es uzlabošanai</w:t>
      </w:r>
      <w:r w:rsidR="00406D00" w:rsidRPr="00406D00">
        <w:t xml:space="preserve"> robežšķērsošanas vietā “Terehova”</w:t>
      </w:r>
      <w:r w:rsidR="00406D00">
        <w:rPr>
          <w:rStyle w:val="Vresatsauce"/>
        </w:rPr>
        <w:footnoteReference w:id="50"/>
      </w:r>
      <w:r w:rsidR="009C7169">
        <w:t xml:space="preserve">, tādējādi stiprinot robežas pārvaldības kapacitāti.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5382E6D6" w14:textId="77777777" w:rsidTr="00E26047">
        <w:tc>
          <w:tcPr>
            <w:tcW w:w="10252" w:type="dxa"/>
            <w:shd w:val="clear" w:color="auto" w:fill="F3B8FF" w:themeFill="accent6" w:themeFillTint="33"/>
          </w:tcPr>
          <w:p w14:paraId="28B21957" w14:textId="77777777" w:rsidR="00143135" w:rsidRPr="008F64A0" w:rsidRDefault="00143135" w:rsidP="00A239D8">
            <w:pPr>
              <w:rPr>
                <w:i/>
                <w:iCs/>
                <w:color w:val="5A5A5A" w:themeColor="accent1" w:themeTint="BF"/>
              </w:rPr>
            </w:pPr>
            <w:r w:rsidRPr="008F64A0">
              <w:rPr>
                <w:i/>
                <w:iCs/>
                <w:color w:val="5A5A5A" w:themeColor="accent1" w:themeTint="BF"/>
              </w:rPr>
              <w:t>Apakšjautājums: Vai programmu veidošanas laikā tika veikta un ņemta vērā citu pasākumu izvērtēšana, kuru mērķis bija līdzīgs?</w:t>
            </w:r>
          </w:p>
        </w:tc>
      </w:tr>
    </w:tbl>
    <w:p w14:paraId="20983906" w14:textId="40C78F19" w:rsidR="00FF1FDB" w:rsidRDefault="00FF1FDB" w:rsidP="00FF1FDB">
      <w:r>
        <w:t xml:space="preserve">IDF </w:t>
      </w:r>
      <w:r w:rsidR="00F62CF4" w:rsidRPr="003A3BB3">
        <w:t xml:space="preserve">nacionālās programmas </w:t>
      </w:r>
      <w:r w:rsidR="00F62CF4">
        <w:t>satura saskaņošana</w:t>
      </w:r>
      <w:r w:rsidR="00F62CF4" w:rsidRPr="003A3BB3">
        <w:t xml:space="preserve"> tika nodrošināta</w:t>
      </w:r>
      <w:r w:rsidR="00F62CF4">
        <w:t xml:space="preserve"> IeM</w:t>
      </w:r>
      <w:r w:rsidR="00F62CF4" w:rsidRPr="003A3BB3">
        <w:t xml:space="preserve"> valsts sekretāra līmenī, kas ļāva </w:t>
      </w:r>
      <w:r w:rsidR="00F62CF4">
        <w:t xml:space="preserve">ne tikai </w:t>
      </w:r>
      <w:r w:rsidR="00F62CF4" w:rsidRPr="003A3BB3">
        <w:t>pārliecināties par programmas atbilstību kopējam nozares attīstības virzienam un prioritātēm</w:t>
      </w:r>
      <w:r w:rsidR="00F62CF4">
        <w:t>, bet arī</w:t>
      </w:r>
      <w:r w:rsidR="00F62CF4" w:rsidRPr="003A3BB3">
        <w:t xml:space="preserve"> izvērtēt </w:t>
      </w:r>
      <w:r w:rsidR="00F62CF4">
        <w:t>tā</w:t>
      </w:r>
      <w:r w:rsidR="00F62CF4" w:rsidRPr="003A3BB3">
        <w:t>s saskaņotīb</w:t>
      </w:r>
      <w:r w:rsidR="00F62CF4">
        <w:t>u</w:t>
      </w:r>
      <w:r w:rsidR="00F62CF4" w:rsidRPr="003A3BB3">
        <w:t xml:space="preserve"> ar citām līdzīgām iniciatīvām un pasākumiem nozarē.</w:t>
      </w:r>
    </w:p>
    <w:p w14:paraId="0AD06E0E" w14:textId="57C42706" w:rsidR="00FF1FDB" w:rsidRDefault="00FF1FDB" w:rsidP="00FF1FDB">
      <w:r>
        <w:t xml:space="preserve">Lai nodrošinātu dažādu pasākumu savstarpējo saskaņotību </w:t>
      </w:r>
      <w:r w:rsidR="00567BE2">
        <w:t>UK</w:t>
      </w:r>
      <w:r>
        <w:t xml:space="preserve"> līdzdarbojās pārstāvji no Finanšu ministrijas, Labklājības ministrijas un citām ministrijām, </w:t>
      </w:r>
      <w:r w:rsidR="005564CD">
        <w:t>kā arī iesaistītajām iestādēm — IeM IC, VRS, PMLP, VP un citām. T</w:t>
      </w:r>
      <w:r>
        <w:t xml:space="preserve">as deva iespēju identificēt citus īstenotos pasākumus, kuru mērķis ir bijis līdzīgs. </w:t>
      </w:r>
    </w:p>
    <w:p w14:paraId="5FDE7D7A" w14:textId="32C0F043" w:rsidR="00143135" w:rsidRPr="00FF1FDB" w:rsidRDefault="00FF1FDB" w:rsidP="00143135">
      <w:r>
        <w:t xml:space="preserve">Vienlaikus projektu iesniegumu formās finansējuma saņēmējiem bija jāiekļauj informācija par citiem finansējuma saņēmēju īstenotajiem projektiem. Tas kalpoja kā mehānisms citu īstenoto aktivitāšu identificēšanai, kā arī dažādu </w:t>
      </w:r>
      <w:r w:rsidRPr="00F25358">
        <w:t>finansējuma</w:t>
      </w:r>
      <w:r>
        <w:t xml:space="preserve"> avotu</w:t>
      </w:r>
      <w:r w:rsidRPr="00F25358">
        <w:t xml:space="preserve"> un</w:t>
      </w:r>
      <w:r>
        <w:t xml:space="preserve"> īstenoto</w:t>
      </w:r>
      <w:r w:rsidRPr="00F25358">
        <w:t xml:space="preserve"> projektu nepārklāšanās</w:t>
      </w:r>
      <w:r>
        <w:t xml:space="preserve"> pārbaudei.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60BD862D" w14:textId="77777777" w:rsidTr="00220E0C">
        <w:tc>
          <w:tcPr>
            <w:tcW w:w="10252" w:type="dxa"/>
            <w:shd w:val="clear" w:color="auto" w:fill="F3B8FF" w:themeFill="accent6" w:themeFillTint="33"/>
          </w:tcPr>
          <w:p w14:paraId="75809413" w14:textId="77777777" w:rsidR="00143135" w:rsidRPr="008F64A0" w:rsidRDefault="00143135" w:rsidP="00A239D8">
            <w:pPr>
              <w:rPr>
                <w:i/>
                <w:iCs/>
                <w:color w:val="5A5A5A" w:themeColor="accent1" w:themeTint="BF"/>
              </w:rPr>
            </w:pPr>
            <w:r w:rsidRPr="008F64A0">
              <w:rPr>
                <w:i/>
                <w:iCs/>
                <w:color w:val="5A5A5A" w:themeColor="accent1" w:themeTint="BF"/>
              </w:rPr>
              <w:lastRenderedPageBreak/>
              <w:t>Apakšjautājums: Vai uz īstenošanas laiku starp fondu un citiem pasākumiem, kuru mērķis bija līdzīgs, tika izveidoti koordinācijas mehānismi?</w:t>
            </w:r>
          </w:p>
        </w:tc>
      </w:tr>
    </w:tbl>
    <w:p w14:paraId="3D870300" w14:textId="77777777" w:rsidR="00F55674" w:rsidRDefault="00F55674" w:rsidP="00B76001">
      <w:pPr>
        <w:rPr>
          <w:rFonts w:cstheme="minorHAnsi"/>
        </w:rPr>
      </w:pPr>
      <w:r>
        <w:rPr>
          <w:rFonts w:cstheme="minorHAnsi"/>
        </w:rPr>
        <w:t>Kā norāda atbildīgā iestāde, iekšlietu sektora iestādēm ir jāiesniedz informāciju par visiem projektu konkursiem, kuros tās plāno iesniegt pieteikumus, tai skaitā, norādot plānotās aktivitātes. Tas sniedz iespēju nozares ietvaros uzraudzīt, piemēram, lai vairākas iestādes neplāno vienādas aktivitātes un izvērtēt, vai tās optimālāk būtu īstenot vienoti vairākām iestādēm, kā arī, vai ir plānotas kādas savstarpēji papildinošas vai tieši otrādi — pretēji vērstas aktivitātes. Tādējādi tika nodrošināta vienota pārraudzība un veicināta saskaņotība dažādu finanšu instrumentu un īstenoto aktivitāšu starpā.</w:t>
      </w:r>
    </w:p>
    <w:p w14:paraId="7F8AF329" w14:textId="6069D0F9" w:rsidR="00F55674" w:rsidRDefault="00F55674" w:rsidP="00F55674">
      <w:pPr>
        <w:rPr>
          <w:rFonts w:cstheme="minorHAnsi"/>
        </w:rPr>
      </w:pPr>
      <w:r>
        <w:rPr>
          <w:rFonts w:cstheme="minorHAnsi"/>
        </w:rPr>
        <w:t xml:space="preserve">Papildu tam, tika izveidoti arī divi institucionāli uzraudzības un koordinācijas mehānismi — </w:t>
      </w:r>
      <w:r w:rsidR="00567BE2">
        <w:rPr>
          <w:rFonts w:cstheme="minorHAnsi"/>
        </w:rPr>
        <w:t>UK</w:t>
      </w:r>
      <w:r>
        <w:rPr>
          <w:rFonts w:cstheme="minorHAnsi"/>
        </w:rPr>
        <w:t xml:space="preserve"> un Projektu uzraudzības padome. </w:t>
      </w:r>
      <w:r w:rsidR="00567BE2">
        <w:rPr>
          <w:rFonts w:cstheme="minorHAnsi"/>
        </w:rPr>
        <w:t>UK</w:t>
      </w:r>
      <w:r>
        <w:rPr>
          <w:rFonts w:cstheme="minorHAnsi"/>
        </w:rPr>
        <w:t xml:space="preserve">, kas ietvēra pārstāvjus arī no citu nozaru ministrijām kalpoja par mehānismu stratēģiskajai pārraudzībai, nodrošinot dažādu aktivitāšu nepārklāšanos. Savukārt Projektu uzraudzības padome kalpoja kā mehānisms, lai </w:t>
      </w:r>
      <w:r w:rsidRPr="00BC69C6">
        <w:rPr>
          <w:rFonts w:cstheme="minorHAnsi"/>
        </w:rPr>
        <w:t xml:space="preserve">nodrošinātu Latvijas iekšlietu nozares attīstībai stratēģiski nozīmīgu projektu uzraudzību </w:t>
      </w:r>
      <w:r>
        <w:rPr>
          <w:rFonts w:cstheme="minorHAnsi"/>
        </w:rPr>
        <w:t>ES</w:t>
      </w:r>
      <w:r w:rsidRPr="00BC69C6">
        <w:rPr>
          <w:rFonts w:cstheme="minorHAnsi"/>
        </w:rPr>
        <w:t xml:space="preserve"> fondu, Attīstības sadarbības programmas, divpusējo un daudzpusējo finanšu instrumentu ietvaros</w:t>
      </w:r>
      <w:r>
        <w:rPr>
          <w:rFonts w:cstheme="minorHAnsi"/>
        </w:rPr>
        <w:t xml:space="preserve">. Tās ietvaros tika pārrunāti iekšlietu nozares ietvaros īstenoto projektu progress, tai skaitā, to potenciālā saskanība vai papildinātība ar citiem instrumentiem.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1AEDF0F9" w14:textId="77777777" w:rsidTr="00220E0C">
        <w:tc>
          <w:tcPr>
            <w:tcW w:w="10252" w:type="dxa"/>
            <w:shd w:val="clear" w:color="auto" w:fill="F3B8FF" w:themeFill="accent6" w:themeFillTint="33"/>
          </w:tcPr>
          <w:p w14:paraId="35AF2367" w14:textId="77777777" w:rsidR="00143135" w:rsidRPr="008F64A0" w:rsidRDefault="00143135" w:rsidP="00A239D8">
            <w:pPr>
              <w:rPr>
                <w:i/>
                <w:iCs/>
                <w:color w:val="5A5A5A" w:themeColor="accent1" w:themeTint="BF"/>
              </w:rPr>
            </w:pPr>
            <w:r w:rsidRPr="008F64A0">
              <w:rPr>
                <w:i/>
                <w:iCs/>
                <w:color w:val="5A5A5A" w:themeColor="accent1" w:themeTint="BF"/>
              </w:rPr>
              <w:t>Apakšjautājums: Vai ar fonda palīdzību īstenotās darbības bija saskanīgas ar citiem pasākumiem, kuru mērķis bija līdzīgs, un vai tās nebija pretrunīgas?</w:t>
            </w:r>
          </w:p>
        </w:tc>
      </w:tr>
    </w:tbl>
    <w:p w14:paraId="67F1B47B" w14:textId="2940C2FD" w:rsidR="00150166" w:rsidRDefault="00A421C5" w:rsidP="00143135">
      <w:pPr>
        <w:rPr>
          <w:bCs/>
        </w:rPr>
      </w:pPr>
      <w:r>
        <w:rPr>
          <w:bCs/>
        </w:rPr>
        <w:t xml:space="preserve">Finansējuma saņēmēji norāda, ka aktivitātes un pasākumi, kas pārklātos ar projektu ietvaros īstenotajiem pasākumiem nav tikuši ieviesti, taču ir īstenotas aktivitātes, kas papildina </w:t>
      </w:r>
      <w:r w:rsidR="00150166">
        <w:rPr>
          <w:bCs/>
        </w:rPr>
        <w:t xml:space="preserve">IDF ietvaros definēto mērķu sasniegšanu un ir savstarpēji saskaņotas. </w:t>
      </w:r>
    </w:p>
    <w:p w14:paraId="738F73A9" w14:textId="0E41BB1B" w:rsidR="00150166" w:rsidRDefault="00150166" w:rsidP="00143135">
      <w:pPr>
        <w:rPr>
          <w:bCs/>
        </w:rPr>
      </w:pPr>
      <w:r>
        <w:rPr>
          <w:bCs/>
        </w:rPr>
        <w:t>Piemēram, Ie</w:t>
      </w:r>
      <w:r w:rsidR="004B3E69">
        <w:rPr>
          <w:bCs/>
        </w:rPr>
        <w:t>M</w:t>
      </w:r>
      <w:r>
        <w:rPr>
          <w:bCs/>
        </w:rPr>
        <w:t xml:space="preserve"> IC norāda, ka dažādu projektu ietvaros tiek attīstītas atšķirīgas</w:t>
      </w:r>
      <w:r w:rsidR="00F55674">
        <w:rPr>
          <w:bCs/>
        </w:rPr>
        <w:t>, tomēr savstarpēji saistītas</w:t>
      </w:r>
      <w:r>
        <w:rPr>
          <w:bCs/>
        </w:rPr>
        <w:t xml:space="preserve"> </w:t>
      </w:r>
      <w:r w:rsidR="001B7FB1">
        <w:rPr>
          <w:bCs/>
        </w:rPr>
        <w:t>IS</w:t>
      </w:r>
      <w:r>
        <w:rPr>
          <w:bCs/>
        </w:rPr>
        <w:t xml:space="preserve">. </w:t>
      </w:r>
      <w:r w:rsidR="00F55674">
        <w:rPr>
          <w:bCs/>
        </w:rPr>
        <w:t>Tas nozīmē, ka primāri veicot uzlabojumus vienā no sistēmām, nepieciešams atbilstoši pielāgot arī citas saistītās sistēmas</w:t>
      </w:r>
      <w:r w:rsidR="00E226E6">
        <w:rPr>
          <w:bCs/>
        </w:rPr>
        <w:t xml:space="preserve">. Tādejādi, plānojot </w:t>
      </w:r>
      <w:r w:rsidR="00C811E1">
        <w:rPr>
          <w:bCs/>
        </w:rPr>
        <w:t xml:space="preserve">dažādos projektos īstenojamos pasākumus, tiek sistemātiski uzraudzīta to savstarpējā saskaņotība, lai nodrošinātu </w:t>
      </w:r>
      <w:r w:rsidR="003B3508">
        <w:rPr>
          <w:bCs/>
        </w:rPr>
        <w:t xml:space="preserve">atbilstošu IT sistēmu darbību. </w:t>
      </w:r>
    </w:p>
    <w:p w14:paraId="118FE4B4" w14:textId="5E6A35E4" w:rsidR="003B3508" w:rsidRDefault="003B3508" w:rsidP="00143135">
      <w:pPr>
        <w:rPr>
          <w:bCs/>
        </w:rPr>
      </w:pPr>
      <w:r>
        <w:rPr>
          <w:bCs/>
        </w:rPr>
        <w:t xml:space="preserve">Vienlaikus arī VRS norāda, ka citu finanšu instrumentu ietvaros ir īstenoti projekti, kas ir saskanīgi ar IDF ietveros īstenotajiem pasākumiem. Piemēram, </w:t>
      </w:r>
      <w:r w:rsidR="00380C24" w:rsidRPr="00380C24">
        <w:rPr>
          <w:bCs/>
        </w:rPr>
        <w:t>Latvijas-Lietuvas pārrobežu sadarbības programmas 2014.-2020. gadam</w:t>
      </w:r>
      <w:r w:rsidR="00380C24">
        <w:rPr>
          <w:bCs/>
        </w:rPr>
        <w:t xml:space="preserve"> ietvaros ir īstenots projekts </w:t>
      </w:r>
      <w:r w:rsidR="00675B93">
        <w:rPr>
          <w:bCs/>
        </w:rPr>
        <w:t>“</w:t>
      </w:r>
      <w:r w:rsidR="00675B93" w:rsidRPr="00675B93">
        <w:rPr>
          <w:bCs/>
        </w:rPr>
        <w:t>Sinerģiskas drošības platformas izveide Austrumlatvijas un Lietuvas pierobežā</w:t>
      </w:r>
      <w:r w:rsidR="00675B93">
        <w:rPr>
          <w:bCs/>
        </w:rPr>
        <w:t xml:space="preserve">”. Projekta gaitā tika īstenotas aktivitātes, lai </w:t>
      </w:r>
      <w:r w:rsidR="007435C8">
        <w:rPr>
          <w:bCs/>
        </w:rPr>
        <w:t>u</w:t>
      </w:r>
      <w:r w:rsidR="007435C8" w:rsidRPr="007435C8">
        <w:rPr>
          <w:bCs/>
        </w:rPr>
        <w:t>zlabot transportlīdzekļu kustības kontroli un nelegālās migrācijas kontroli, izveidojot intelektuālu video novērošanas sistēmu (platformu) kopīgai izmantošanai/lietošanai pārrobežas reģionos Austrumlatvijā un Lietuvā.</w:t>
      </w:r>
      <w:r w:rsidR="007435C8">
        <w:rPr>
          <w:rStyle w:val="Vresatsauce"/>
          <w:bCs/>
        </w:rPr>
        <w:footnoteReference w:id="51"/>
      </w:r>
    </w:p>
    <w:p w14:paraId="342EE8B5" w14:textId="6AA60C4A" w:rsidR="00EB3E63" w:rsidRDefault="00EB3E63" w:rsidP="00143135">
      <w:pPr>
        <w:rPr>
          <w:bCs/>
        </w:rPr>
      </w:pPr>
      <w:r>
        <w:rPr>
          <w:bCs/>
        </w:rPr>
        <w:t xml:space="preserve">Tāpat </w:t>
      </w:r>
      <w:r w:rsidR="00F74281">
        <w:rPr>
          <w:bCs/>
        </w:rPr>
        <w:t>“</w:t>
      </w:r>
      <w:r w:rsidR="008833FE">
        <w:rPr>
          <w:bCs/>
        </w:rPr>
        <w:t>Apvārsnis 2020</w:t>
      </w:r>
      <w:r w:rsidR="00F74281">
        <w:rPr>
          <w:bCs/>
        </w:rPr>
        <w:t>”</w:t>
      </w:r>
      <w:r w:rsidR="00880558">
        <w:rPr>
          <w:bCs/>
        </w:rPr>
        <w:t xml:space="preserve"> programmas ietvaros </w:t>
      </w:r>
      <w:r w:rsidR="004B3E69">
        <w:rPr>
          <w:bCs/>
        </w:rPr>
        <w:t xml:space="preserve">VRS </w:t>
      </w:r>
      <w:r>
        <w:rPr>
          <w:bCs/>
        </w:rPr>
        <w:t>ir īstenojis projektu, k</w:t>
      </w:r>
      <w:r w:rsidR="00880558">
        <w:rPr>
          <w:bCs/>
        </w:rPr>
        <w:t>ura mērķis bijis i</w:t>
      </w:r>
      <w:r w:rsidR="00880558" w:rsidRPr="00880558">
        <w:rPr>
          <w:bCs/>
        </w:rPr>
        <w:t xml:space="preserve">zstrādāt jaunu, ātrāku un rūpīgāku robežkontroles pārbaudes tehnoloģiju sistēmu </w:t>
      </w:r>
      <w:r w:rsidR="00D44FCB">
        <w:rPr>
          <w:bCs/>
        </w:rPr>
        <w:t>TVP</w:t>
      </w:r>
      <w:r w:rsidR="00880558" w:rsidRPr="00880558">
        <w:rPr>
          <w:bCs/>
        </w:rPr>
        <w:t>, kuri vēlas šķērsot ES robežu</w:t>
      </w:r>
      <w:r w:rsidR="004B3E69">
        <w:rPr>
          <w:rStyle w:val="Vresatsauce"/>
          <w:bCs/>
        </w:rPr>
        <w:footnoteReference w:id="52"/>
      </w:r>
      <w:r w:rsidR="00880558" w:rsidRPr="00880558">
        <w:rPr>
          <w:bCs/>
        </w:rPr>
        <w:t>.</w:t>
      </w:r>
      <w:r w:rsidR="00880558">
        <w:rPr>
          <w:bCs/>
        </w:rPr>
        <w:t xml:space="preserve"> Savukārt, </w:t>
      </w:r>
      <w:r w:rsidR="00706D21" w:rsidRPr="00706D21">
        <w:rPr>
          <w:bCs/>
        </w:rPr>
        <w:t>Starptautiskās Migrācijas politikas attīstības centra programma</w:t>
      </w:r>
      <w:r w:rsidR="00706D21">
        <w:rPr>
          <w:bCs/>
        </w:rPr>
        <w:t>s ietvaros ir īstenoti pasākumi starptautiskās sadarbības veicināšanai ar Gruziju un Moldovu.</w:t>
      </w:r>
      <w:r w:rsidR="00A47E61">
        <w:rPr>
          <w:rStyle w:val="Vresatsauce"/>
          <w:bCs/>
        </w:rPr>
        <w:footnoteReference w:id="53"/>
      </w:r>
      <w:r w:rsidR="00706D21">
        <w:rPr>
          <w:bCs/>
        </w:rPr>
        <w:t xml:space="preserve"> </w:t>
      </w:r>
    </w:p>
    <w:p w14:paraId="0B768A41" w14:textId="18B39AEF" w:rsidR="00282C3A" w:rsidRDefault="00B57FB6" w:rsidP="00143135">
      <w:pPr>
        <w:rPr>
          <w:bCs/>
        </w:rPr>
      </w:pPr>
      <w:r>
        <w:rPr>
          <w:bCs/>
        </w:rPr>
        <w:t>Tādējādi var secināt, ka ir īstenot</w:t>
      </w:r>
      <w:r w:rsidR="004B3E69">
        <w:rPr>
          <w:bCs/>
        </w:rPr>
        <w:t>as</w:t>
      </w:r>
      <w:r>
        <w:rPr>
          <w:bCs/>
        </w:rPr>
        <w:t xml:space="preserve"> ar IDF vīzām un robežām mērķiem un īstenotajiem pa</w:t>
      </w:r>
      <w:r w:rsidR="004B3E69">
        <w:rPr>
          <w:bCs/>
        </w:rPr>
        <w:t xml:space="preserve">sākumiem saskanīgas aktivitātes. </w:t>
      </w:r>
      <w:r w:rsidR="00C45905" w:rsidRPr="00EA56C6">
        <w:rPr>
          <w:bCs/>
        </w:rPr>
        <w:t xml:space="preserve">Izvērtējuma ietvaros nav gūti </w:t>
      </w:r>
      <w:r w:rsidR="00C45905">
        <w:rPr>
          <w:bCs/>
        </w:rPr>
        <w:t xml:space="preserve">pierādījumi par pretrunīgu pasākumu īstenošanu ne fonda ietvaros, ne attiecībā uz citiem pasākumiem. </w:t>
      </w:r>
    </w:p>
    <w:p w14:paraId="43FD6B8D" w14:textId="77777777" w:rsidR="00FD71D1" w:rsidRPr="006465F7" w:rsidRDefault="00FD71D1" w:rsidP="00143135">
      <w:pPr>
        <w:rPr>
          <w:bCs/>
        </w:rPr>
      </w:pPr>
    </w:p>
    <w:p w14:paraId="4C051900" w14:textId="77777777" w:rsidR="00143135" w:rsidRPr="008F64A0" w:rsidRDefault="00143135" w:rsidP="00BF4167">
      <w:pPr>
        <w:pStyle w:val="Sarakstarindkopa"/>
        <w:numPr>
          <w:ilvl w:val="2"/>
          <w:numId w:val="42"/>
        </w:numPr>
        <w:rPr>
          <w:b/>
        </w:rPr>
      </w:pPr>
      <w:r w:rsidRPr="008F64A0">
        <w:rPr>
          <w:b/>
        </w:rPr>
        <w:lastRenderedPageBreak/>
        <w:t>Kritērijs “Papildināmība”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6FD1734E" w14:textId="77777777" w:rsidTr="00D40533">
        <w:tc>
          <w:tcPr>
            <w:tcW w:w="10252" w:type="dxa"/>
            <w:shd w:val="clear" w:color="auto" w:fill="82009B" w:themeFill="accent6"/>
          </w:tcPr>
          <w:p w14:paraId="7A9CE386" w14:textId="77777777" w:rsidR="00143135" w:rsidRPr="008F64A0" w:rsidRDefault="00143135" w:rsidP="00A239D8">
            <w:pPr>
              <w:rPr>
                <w:b/>
              </w:rPr>
            </w:pPr>
            <w:r w:rsidRPr="008F64A0">
              <w:rPr>
                <w:b/>
              </w:rPr>
              <w:t xml:space="preserve">Izvērtēšanas kritērija jautājums: </w:t>
            </w:r>
            <w:r w:rsidRPr="008F64A0">
              <w:rPr>
                <w:bCs/>
              </w:rPr>
              <w:t>Vai valsts programmā izvirzītie mērķi un atbilstīgās īstenošanas darbības papildināja tās, kas bija aizvirzītas citu politikas jomu satvarā, jo īpaši tās, kuras bija izvirzījusi dalībvalsts?</w:t>
            </w:r>
          </w:p>
        </w:tc>
      </w:tr>
    </w:tbl>
    <w:p w14:paraId="36724274" w14:textId="03EF64D8" w:rsidR="00066200" w:rsidRPr="00130909" w:rsidRDefault="00933F46" w:rsidP="00066200">
      <w:r>
        <w:t>IDF vīzām un robežām nacionāl</w:t>
      </w:r>
      <w:r w:rsidR="00EA586B">
        <w:t>ajā</w:t>
      </w:r>
      <w:r>
        <w:t xml:space="preserve"> programmā izvirzītie mērķi un īstenošanas darbības bija papildinošas ar citām politikas jomām valsts līmenī. Šo saskaņotību apliecina </w:t>
      </w:r>
      <w:r w:rsidR="00C92383">
        <w:t xml:space="preserve">plānoto pasākumu savstarpējā sasaiste ar </w:t>
      </w:r>
      <w:r>
        <w:t>vairākiem stratēģiskiem</w:t>
      </w:r>
      <w:r w:rsidR="00C92383">
        <w:t xml:space="preserve"> politikas plānošanas</w:t>
      </w:r>
      <w:r>
        <w:t xml:space="preserve"> dokumentiem</w:t>
      </w:r>
      <w:r w:rsidR="00C92383">
        <w:t xml:space="preserve">. </w:t>
      </w:r>
    </w:p>
    <w:p w14:paraId="586C3527" w14:textId="6CDE941A" w:rsidR="00066200" w:rsidRPr="00130909" w:rsidRDefault="00066200" w:rsidP="00066200">
      <w:r w:rsidRPr="00BC07AE">
        <w:t>Iekšlietu nozares s</w:t>
      </w:r>
      <w:r w:rsidRPr="00130909">
        <w:t xml:space="preserve">tratēģiskās attīstības līmenī </w:t>
      </w:r>
      <w:r w:rsidR="00214582">
        <w:t>IDF</w:t>
      </w:r>
      <w:r w:rsidRPr="00130909">
        <w:t xml:space="preserve"> papildina </w:t>
      </w:r>
      <w:r w:rsidR="00207C65">
        <w:t>IeM</w:t>
      </w:r>
      <w:r w:rsidRPr="00130909">
        <w:t xml:space="preserve"> darbības stratēģijas, kas secīgi aptver periodus 2017.-2019., 2020.-2022. un 2023.-2027. gadam. </w:t>
      </w:r>
      <w:r w:rsidR="00A76F0D">
        <w:t>Būtiski, ka šajā</w:t>
      </w:r>
      <w:r w:rsidR="008742A4">
        <w:t>s</w:t>
      </w:r>
      <w:r w:rsidR="00A76F0D">
        <w:t xml:space="preserve"> stratēģijā</w:t>
      </w:r>
      <w:r w:rsidR="008742A4">
        <w:t>s</w:t>
      </w:r>
      <w:r w:rsidR="00A76F0D">
        <w:t xml:space="preserve"> definētie rīcības virzieni tika tieši sasaistīti ar IDF nacionālās programmas plānotajām aktivitātēm.</w:t>
      </w:r>
    </w:p>
    <w:p w14:paraId="4A401147" w14:textId="038FA3B1" w:rsidR="00066200" w:rsidRPr="00130909" w:rsidRDefault="008742A4" w:rsidP="00066200">
      <w:r>
        <w:t>IDF vīzām un robežām</w:t>
      </w:r>
      <w:r w:rsidR="00066200" w:rsidRPr="00130909">
        <w:t xml:space="preserve"> nacionālā programma papildina arī</w:t>
      </w:r>
      <w:r w:rsidR="00066200" w:rsidRPr="00BC07AE">
        <w:t xml:space="preserve"> pasākumu</w:t>
      </w:r>
      <w:r w:rsidR="00066200" w:rsidRPr="00130909">
        <w:t xml:space="preserve"> īstenošanā iesaistīto iestāžu stratēģiskās attīstības plānus, </w:t>
      </w:r>
      <w:r w:rsidR="00066200" w:rsidRPr="00BC07AE">
        <w:t>piemēram,</w:t>
      </w:r>
      <w:r w:rsidR="00066200" w:rsidRPr="00130909">
        <w:t xml:space="preserve"> </w:t>
      </w:r>
      <w:r w:rsidR="0063083B">
        <w:t>VRS</w:t>
      </w:r>
      <w:r w:rsidR="00066200" w:rsidRPr="00130909">
        <w:t xml:space="preserve"> stratēģij</w:t>
      </w:r>
      <w:r w:rsidR="004D54CD">
        <w:t>u</w:t>
      </w:r>
      <w:r w:rsidR="00066200" w:rsidRPr="00130909">
        <w:t xml:space="preserve"> 2014.-2016. gadam</w:t>
      </w:r>
      <w:r w:rsidR="00A454D1">
        <w:t xml:space="preserve">, </w:t>
      </w:r>
      <w:r w:rsidR="005A37F3">
        <w:t>PMLP</w:t>
      </w:r>
      <w:r w:rsidR="00066200" w:rsidRPr="00130909">
        <w:t xml:space="preserve"> stratēģiju 201</w:t>
      </w:r>
      <w:r w:rsidR="00A454D1">
        <w:t>4</w:t>
      </w:r>
      <w:r w:rsidR="00066200" w:rsidRPr="00130909">
        <w:t>.-201</w:t>
      </w:r>
      <w:r w:rsidR="00A454D1">
        <w:t>6</w:t>
      </w:r>
      <w:r w:rsidR="00066200" w:rsidRPr="00130909">
        <w:t>.</w:t>
      </w:r>
      <w:r w:rsidR="00F74281">
        <w:t xml:space="preserve"> </w:t>
      </w:r>
      <w:r w:rsidR="00066200" w:rsidRPr="00BC07AE">
        <w:t>gadam</w:t>
      </w:r>
      <w:r w:rsidR="00A454D1">
        <w:t xml:space="preserve">, </w:t>
      </w:r>
      <w:r w:rsidR="004D54CD">
        <w:t xml:space="preserve">kā arī </w:t>
      </w:r>
      <w:r w:rsidR="00A454D1">
        <w:t>IeM Info</w:t>
      </w:r>
      <w:r w:rsidR="004D54CD">
        <w:t>r</w:t>
      </w:r>
      <w:r w:rsidR="00A454D1">
        <w:t>mācijas centra stratēģij</w:t>
      </w:r>
      <w:r w:rsidR="004D54CD">
        <w:t>u</w:t>
      </w:r>
      <w:r w:rsidR="00671010">
        <w:t xml:space="preserve"> </w:t>
      </w:r>
      <w:r w:rsidR="004D54CD">
        <w:t>2014</w:t>
      </w:r>
      <w:r w:rsidR="00F74281">
        <w:t>.</w:t>
      </w:r>
      <w:r w:rsidR="004D54CD">
        <w:t>-2016.</w:t>
      </w:r>
      <w:r w:rsidR="00F74281">
        <w:t xml:space="preserve"> </w:t>
      </w:r>
      <w:r w:rsidR="004D54CD">
        <w:t>gadam.</w:t>
      </w:r>
    </w:p>
    <w:p w14:paraId="5B9B4530" w14:textId="11FC6580" w:rsidR="00190592" w:rsidRDefault="00190592" w:rsidP="00190592">
      <w:r w:rsidRPr="00BC07AE">
        <w:t>Arī n</w:t>
      </w:r>
      <w:r w:rsidRPr="00130909">
        <w:t xml:space="preserve">acionālā līmeņa plānošanas dokumentu kontekstā </w:t>
      </w:r>
      <w:r>
        <w:t>IDF</w:t>
      </w:r>
      <w:r w:rsidRPr="00130909">
        <w:t xml:space="preserve"> veicina tajos definēto mērķu sasniegšanu. Tas attiecas</w:t>
      </w:r>
      <w:r w:rsidR="00602416">
        <w:t>, piemēram,</w:t>
      </w:r>
      <w:r w:rsidRPr="00130909">
        <w:t xml:space="preserve"> uz Latvijas Republikas </w:t>
      </w:r>
      <w:r w:rsidR="00671010">
        <w:t>v</w:t>
      </w:r>
      <w:r w:rsidRPr="00130909">
        <w:t xml:space="preserve">alsts robežas integrētās pārvaldības </w:t>
      </w:r>
      <w:r w:rsidR="00B64FEE">
        <w:t>koncepciju</w:t>
      </w:r>
      <w:r w:rsidRPr="00130909">
        <w:t xml:space="preserve"> gan 2013.-2018. gadam, gan</w:t>
      </w:r>
      <w:r w:rsidR="00CF33F4">
        <w:t xml:space="preserve"> plānu</w:t>
      </w:r>
      <w:r w:rsidRPr="00130909">
        <w:t xml:space="preserve"> 2019.-2020. gadam, īpaši </w:t>
      </w:r>
      <w:r w:rsidR="00954FB0">
        <w:t>robežkontroles procesu uzlabošanā</w:t>
      </w:r>
      <w:r w:rsidR="00BC127D">
        <w:t xml:space="preserve"> un </w:t>
      </w:r>
      <w:r w:rsidRPr="00190592">
        <w:t>sadarbīb</w:t>
      </w:r>
      <w:r w:rsidR="00BC127D">
        <w:t>as stiprināšanā</w:t>
      </w:r>
      <w:r w:rsidRPr="00190592">
        <w:t xml:space="preserve"> starp Latvijas dienestiem un ES institūcijām</w:t>
      </w:r>
      <w:r w:rsidRPr="00130909">
        <w:t xml:space="preserve">. </w:t>
      </w:r>
    </w:p>
    <w:p w14:paraId="6B44A126" w14:textId="11DC31CF" w:rsidR="00D91B7D" w:rsidRPr="008705E3" w:rsidRDefault="00190592" w:rsidP="00933F46">
      <w:r w:rsidRPr="00130909">
        <w:t xml:space="preserve">Šī daudzlīmeņu saskaņotība nodrošina, ka </w:t>
      </w:r>
      <w:r>
        <w:t>IDF vīzām un robežām</w:t>
      </w:r>
      <w:r w:rsidRPr="00130909">
        <w:t xml:space="preserve"> aktivitātes papildina un atbalsta citos plānošanas dokumentos noteikto mērķu sasniegšanu, veidojot vienotu un sistemātisku pieeju </w:t>
      </w:r>
      <w:r w:rsidR="00371306">
        <w:t xml:space="preserve">robežu </w:t>
      </w:r>
      <w:r w:rsidR="00D87D7D">
        <w:t xml:space="preserve">un vīzu politikas </w:t>
      </w:r>
      <w:r w:rsidR="00371306">
        <w:t xml:space="preserve">pārvaldības </w:t>
      </w:r>
      <w:r w:rsidR="00D87D7D">
        <w:t>jomā.</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52560E44" w14:textId="77777777" w:rsidTr="00220E0C">
        <w:tc>
          <w:tcPr>
            <w:tcW w:w="10252" w:type="dxa"/>
            <w:shd w:val="clear" w:color="auto" w:fill="F3B8FF" w:themeFill="accent6" w:themeFillTint="33"/>
          </w:tcPr>
          <w:p w14:paraId="530A6F20" w14:textId="77777777" w:rsidR="00143135" w:rsidRPr="008F64A0" w:rsidRDefault="00143135" w:rsidP="00A239D8">
            <w:pPr>
              <w:rPr>
                <w:i/>
                <w:iCs/>
                <w:color w:val="5A5A5A" w:themeColor="accent1" w:themeTint="BF"/>
              </w:rPr>
            </w:pPr>
            <w:r w:rsidRPr="008F64A0">
              <w:rPr>
                <w:i/>
                <w:iCs/>
                <w:color w:val="5A5A5A" w:themeColor="accent1" w:themeTint="BF"/>
              </w:rPr>
              <w:t>Apakšjautājums: Vai programmu veidošanas laikā tika veikta un ņemta vērā citu pasākumu izvērtēšana, kuru mērķi bija papildinoši?</w:t>
            </w:r>
          </w:p>
        </w:tc>
      </w:tr>
    </w:tbl>
    <w:p w14:paraId="00B0E15F" w14:textId="5EB3BF8C" w:rsidR="00AF615F" w:rsidRDefault="00AF615F" w:rsidP="00AF615F">
      <w:r>
        <w:t xml:space="preserve">IDF </w:t>
      </w:r>
      <w:r w:rsidR="003F0CE4" w:rsidRPr="003A3BB3">
        <w:t xml:space="preserve">nacionālās programmas </w:t>
      </w:r>
      <w:r w:rsidR="003F0CE4">
        <w:t>satura izstrādes laikā tikusi ņemta vērā potenciālo pasākumu atbilstība nacionālajos plānošanas dokumentos ietvertajiem mērķiem. Vienlaikus IDF nacionālās programmas saskaņošana</w:t>
      </w:r>
      <w:r w:rsidR="003F0CE4" w:rsidRPr="003A3BB3">
        <w:t xml:space="preserve"> tika nodrošināta</w:t>
      </w:r>
      <w:r w:rsidR="003F0CE4">
        <w:t xml:space="preserve"> IeM</w:t>
      </w:r>
      <w:r w:rsidR="003F0CE4" w:rsidRPr="003A3BB3">
        <w:t xml:space="preserve"> valsts sekretāra līmenī, kas ļāva </w:t>
      </w:r>
      <w:r w:rsidR="003F0CE4">
        <w:t xml:space="preserve">ne tikai </w:t>
      </w:r>
      <w:r w:rsidR="003F0CE4" w:rsidRPr="003A3BB3">
        <w:t>pārliecināties par programmas atbilstību kopējam nozares attīstības virzienam un prioritātēm</w:t>
      </w:r>
      <w:r w:rsidR="003F0CE4">
        <w:t>, bet arī</w:t>
      </w:r>
      <w:r w:rsidR="003F0CE4" w:rsidRPr="003A3BB3">
        <w:t xml:space="preserve"> izvērtēt </w:t>
      </w:r>
      <w:r w:rsidR="003F0CE4">
        <w:t>tā</w:t>
      </w:r>
      <w:r w:rsidR="003F0CE4" w:rsidRPr="003A3BB3">
        <w:t xml:space="preserve">s </w:t>
      </w:r>
      <w:r w:rsidR="003F0CE4">
        <w:t>papildinātību ar citiem pasākumiem un nacionāla līmeņa plānošanas dokumentiem</w:t>
      </w:r>
      <w:r w:rsidR="003F0CE4" w:rsidRPr="003A3BB3">
        <w:t>.</w:t>
      </w:r>
    </w:p>
    <w:p w14:paraId="1CC2B143" w14:textId="61D2EABC" w:rsidR="00AF615F" w:rsidRDefault="00AF615F" w:rsidP="00AF615F">
      <w:r>
        <w:t xml:space="preserve">Lai nodrošinātu dažādu pasākumu savstarpējo papildinātību </w:t>
      </w:r>
      <w:r w:rsidR="00567BE2">
        <w:t>UK</w:t>
      </w:r>
      <w:r>
        <w:t xml:space="preserve"> līdzdarbojās pārstāvji no Finanšu ministrijas, </w:t>
      </w:r>
      <w:r w:rsidR="000E758D">
        <w:t>ĀM</w:t>
      </w:r>
      <w:r>
        <w:t xml:space="preserve"> un citām ministrijām, </w:t>
      </w:r>
      <w:r w:rsidR="001F07D1">
        <w:t>kas deva iespēju identificēt citus īstenotos pasākumus, kuru mērķis ir bijis līdzīgs un novērst aktivitāšu pārklāšanās riskus.</w:t>
      </w:r>
    </w:p>
    <w:p w14:paraId="4A6E3945" w14:textId="54D3CB4C" w:rsidR="00143135" w:rsidRPr="00AF615F" w:rsidRDefault="00AF615F" w:rsidP="00143135">
      <w:r>
        <w:t xml:space="preserve">Vienlaikus projektu iesniegumu formās finansējuma saņēmējiem bija jāiekļauj informācija par citiem finansējuma saņēmēju īstenotajiem projektiem, kā arī plānoto pasākumu atbilstību nacionālā un ES līmeņa plānošanas dokumentiem un normatīvajiem aktiem. Tādējādi projektu vērtēšanā ticis ietverts arī papildinātības aspekts, nodrošinot, ka īstenotie pasākumi ir vērsti uz ieguldījumiem plašāku mērķu sasniegšanā. </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39CC38EE" w14:textId="77777777" w:rsidTr="007B2645">
        <w:tc>
          <w:tcPr>
            <w:tcW w:w="10252" w:type="dxa"/>
            <w:tcBorders>
              <w:bottom w:val="single" w:sz="4" w:space="0" w:color="auto"/>
            </w:tcBorders>
            <w:shd w:val="clear" w:color="auto" w:fill="F3B8FF" w:themeFill="accent6" w:themeFillTint="33"/>
          </w:tcPr>
          <w:p w14:paraId="0197DB7F" w14:textId="77777777" w:rsidR="00143135" w:rsidRPr="008F64A0" w:rsidRDefault="00143135" w:rsidP="00A239D8">
            <w:pPr>
              <w:rPr>
                <w:i/>
                <w:iCs/>
                <w:color w:val="5A5A5A" w:themeColor="accent1" w:themeTint="BF"/>
              </w:rPr>
            </w:pPr>
            <w:r w:rsidRPr="008F64A0">
              <w:rPr>
                <w:i/>
                <w:iCs/>
                <w:color w:val="5A5A5A" w:themeColor="accent1" w:themeTint="BF"/>
              </w:rPr>
              <w:t>Apakšjautājums: Vai starp fondu un citiem pasākumiem, kuru mērķi bija līdzīgi, tika izveidoti koordinācijas mehānismi, lai nodrošinātu to papildināmību īstenošanas periodā?</w:t>
            </w:r>
          </w:p>
        </w:tc>
      </w:tr>
    </w:tbl>
    <w:p w14:paraId="250EC7F9" w14:textId="54CFB0BE" w:rsidR="00522532" w:rsidRDefault="00142ACE" w:rsidP="00522532">
      <w:pPr>
        <w:rPr>
          <w:rFonts w:cstheme="minorHAnsi"/>
        </w:rPr>
      </w:pPr>
      <w:r>
        <w:rPr>
          <w:rFonts w:cstheme="minorHAnsi"/>
        </w:rPr>
        <w:t>Kā norāda atbildīgā iestāde,</w:t>
      </w:r>
      <w:r w:rsidR="00522532">
        <w:rPr>
          <w:rFonts w:cstheme="minorHAnsi"/>
        </w:rPr>
        <w:t xml:space="preserve"> iekšlietu sektora iestādēm ir jāiesniedz informāciju par visiem projektu konkursiem, kuros tās plāno iesniegt pieteikumus, tai skaitā, norādot plānotās aktivitātes. Tas sniedz </w:t>
      </w:r>
      <w:r w:rsidR="00522532">
        <w:rPr>
          <w:rFonts w:cstheme="minorHAnsi"/>
        </w:rPr>
        <w:lastRenderedPageBreak/>
        <w:t xml:space="preserve">iespēju nozares ietvaros uzraudzīt, piemēram, lai vairākas iestādes neplāno vienādas aktivitātes un izvērtēt, vai tās optimālāk būtu īstenot vienoti vairākām iestādēm, kā arī, vai ir plānotas kādas savstarpēji papildinošas vai tieši otrādi — pretēji vērstas aktivitātes. Tādējādi tika nodrošināta vienota pārraudzība un veicināta saskaņotība dažādu finanšu instrumentu un īstenoto aktivitāšu starpā, kā arī uzraudzīti potenciālo aktivitāšu pārklāšanās riski. </w:t>
      </w:r>
    </w:p>
    <w:p w14:paraId="6AB0D93A" w14:textId="7CF87650" w:rsidR="00143135" w:rsidRPr="00142ACE" w:rsidRDefault="00142ACE" w:rsidP="00143135">
      <w:pPr>
        <w:rPr>
          <w:rFonts w:cstheme="minorHAnsi"/>
        </w:rPr>
      </w:pPr>
      <w:r>
        <w:rPr>
          <w:rFonts w:cstheme="minorHAnsi"/>
        </w:rPr>
        <w:t xml:space="preserve">Papildu tam, </w:t>
      </w:r>
      <w:r w:rsidR="001B04E1">
        <w:rPr>
          <w:rFonts w:cstheme="minorHAnsi"/>
        </w:rPr>
        <w:t xml:space="preserve">tika izveidoti arī divi institucionāli uzraudzības un koordinācijas mehānismi — </w:t>
      </w:r>
      <w:r w:rsidR="00567BE2">
        <w:rPr>
          <w:rFonts w:cstheme="minorHAnsi"/>
        </w:rPr>
        <w:t>UK</w:t>
      </w:r>
      <w:r w:rsidR="001B04E1">
        <w:rPr>
          <w:rFonts w:cstheme="minorHAnsi"/>
        </w:rPr>
        <w:t xml:space="preserve"> un Projektu uzraudzības padome. </w:t>
      </w:r>
      <w:r w:rsidR="00567BE2">
        <w:rPr>
          <w:rFonts w:cstheme="minorHAnsi"/>
        </w:rPr>
        <w:t>UK</w:t>
      </w:r>
      <w:r w:rsidR="001B04E1">
        <w:rPr>
          <w:rFonts w:cstheme="minorHAnsi"/>
        </w:rPr>
        <w:t xml:space="preserve">, kas ietvēra pārstāvjus arī no citu nozaru ministrijām kalpoja par mehānismu stratēģiskajai pārraudzībai, nodrošinot dažādu aktivitāšu nepārklāšanās uzraudzību. Savukārt Projektu uzraudzības padome kalpoja kā mehānisms, lai </w:t>
      </w:r>
      <w:r w:rsidR="001B04E1" w:rsidRPr="00BC69C6">
        <w:rPr>
          <w:rFonts w:cstheme="minorHAnsi"/>
        </w:rPr>
        <w:t xml:space="preserve">nodrošinātu Latvijas iekšlietu nozares attīstībai stratēģiski nozīmīgu projektu uzraudzību </w:t>
      </w:r>
      <w:r w:rsidR="001B04E1">
        <w:rPr>
          <w:rFonts w:cstheme="minorHAnsi"/>
        </w:rPr>
        <w:t>ES</w:t>
      </w:r>
      <w:r w:rsidR="001B04E1" w:rsidRPr="00BC69C6">
        <w:rPr>
          <w:rFonts w:cstheme="minorHAnsi"/>
        </w:rPr>
        <w:t xml:space="preserve"> fondu, Attīstības sadarbības programmas, divpusējo un daudzpusējo finanšu instrumentu ietvaros</w:t>
      </w:r>
      <w:r w:rsidR="001B04E1">
        <w:rPr>
          <w:rFonts w:cstheme="minorHAnsi"/>
        </w:rPr>
        <w:t>. Tās ietvaros tika pārrunāti iekšlietu nozares ietvaros īstenoto projektu progress, tai skaitā, to potenciālā saskanība vai papildinātība ar citiem instrumentiem, kas arī deva iespēju savlaicīgi identificēt aktivitāšu pārklāšanās riskus.</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643A3506" w14:textId="77777777" w:rsidTr="009A17EC">
        <w:tc>
          <w:tcPr>
            <w:tcW w:w="10252" w:type="dxa"/>
            <w:tcBorders>
              <w:bottom w:val="single" w:sz="4" w:space="0" w:color="auto"/>
            </w:tcBorders>
            <w:shd w:val="clear" w:color="auto" w:fill="F3B8FF" w:themeFill="accent6" w:themeFillTint="33"/>
          </w:tcPr>
          <w:p w14:paraId="1D8A786A" w14:textId="77777777" w:rsidR="00143135" w:rsidRPr="008F64A0" w:rsidRDefault="00143135" w:rsidP="00A239D8">
            <w:pPr>
              <w:rPr>
                <w:i/>
                <w:iCs/>
                <w:color w:val="5A5A5A" w:themeColor="accent1" w:themeTint="BF"/>
              </w:rPr>
            </w:pPr>
            <w:r w:rsidRPr="008F64A0">
              <w:rPr>
                <w:i/>
                <w:iCs/>
                <w:color w:val="5A5A5A" w:themeColor="accent1" w:themeTint="BF"/>
              </w:rPr>
              <w:t>Apakšjautājums: Vai tika piemēroti mehānismi, tiecoties novērst finanšu instrumentu pārklāšanos?</w:t>
            </w:r>
          </w:p>
        </w:tc>
      </w:tr>
    </w:tbl>
    <w:p w14:paraId="1C49429C" w14:textId="4FB6F7B2" w:rsidR="00320C38" w:rsidRDefault="00320C38" w:rsidP="00320C38">
      <w:r>
        <w:t xml:space="preserve">Projektu pieteikumu dokumentācijā finansējuma saņēmējiem bija jāietver detalizēta informācija par citiem to īstenotajiem projektiem. Šī prasība ļāva projektu izvērtēšanas procesā veikt finansējuma un projektu aktivitāšu savstarpējās nepārklāšanās pārbaudi. Finansējuma saņēmējiem bija jāiesniedz oficiāls apliecinājums par to, ka tie nesaņem un neplāno piesaistīt līdzekļus no citiem finanšu avotiem projekta pieteikumā paredzēto aktivitāšu īstenošanai. Vienlaikus, </w:t>
      </w:r>
      <w:r w:rsidR="00567BE2">
        <w:t>UK</w:t>
      </w:r>
      <w:r>
        <w:t xml:space="preserve"> un Projektu uzraudzības padomes institucionālais ietvars nodrošināja papildu kontroles mehānismu finanšu instrumentu pārklāšanās identificēšanai.</w:t>
      </w:r>
    </w:p>
    <w:p w14:paraId="28112210" w14:textId="185F3002" w:rsidR="00143135" w:rsidRPr="00AE6840" w:rsidRDefault="00AE6840" w:rsidP="00143135">
      <w:pPr>
        <w:rPr>
          <w:bCs/>
        </w:rPr>
      </w:pPr>
      <w:r>
        <w:rPr>
          <w:bCs/>
        </w:rPr>
        <w:t xml:space="preserve">Kā norāda finansējuma saņēmēji, arī no atbildīgās iestādes puses tika nodrošināta pastiprināta uzraudzība attiecībā uz dažādu aktivitāšu </w:t>
      </w:r>
      <w:r w:rsidR="00BC098B">
        <w:rPr>
          <w:bCs/>
        </w:rPr>
        <w:t xml:space="preserve">savstarpējo nepārklāšanos. </w:t>
      </w:r>
      <w:r w:rsidR="00126C90">
        <w:rPr>
          <w:bCs/>
        </w:rPr>
        <w:t xml:space="preserve">Piemēram, IeM IC pārstāvji norāda, </w:t>
      </w:r>
      <w:r w:rsidR="000A5F12">
        <w:rPr>
          <w:bCs/>
        </w:rPr>
        <w:t>atbildīgajai iestādei regulāri jāsniedz</w:t>
      </w:r>
      <w:r w:rsidR="00126C90">
        <w:t xml:space="preserve"> </w:t>
      </w:r>
      <w:r w:rsidR="00126C90" w:rsidRPr="00952D97">
        <w:t>detalizēt</w:t>
      </w:r>
      <w:r w:rsidR="00126C90">
        <w:t>u</w:t>
      </w:r>
      <w:r w:rsidR="00126C90" w:rsidRPr="00952D97">
        <w:t xml:space="preserve"> paskaidrojum</w:t>
      </w:r>
      <w:r w:rsidR="00126C90">
        <w:t>u</w:t>
      </w:r>
      <w:r w:rsidR="00126C90" w:rsidRPr="00952D97">
        <w:t xml:space="preserve"> par īstenotajām aktivitātēm, </w:t>
      </w:r>
      <w:r w:rsidR="00126C90">
        <w:t xml:space="preserve">lai </w:t>
      </w:r>
      <w:r w:rsidR="00126C90" w:rsidRPr="00952D97">
        <w:t>nodrošin</w:t>
      </w:r>
      <w:r w:rsidR="00126C90">
        <w:t>ā</w:t>
      </w:r>
      <w:r w:rsidR="00126C90" w:rsidRPr="00952D97">
        <w:t>t</w:t>
      </w:r>
      <w:r w:rsidR="00126C90">
        <w:t xml:space="preserve">u </w:t>
      </w:r>
      <w:r w:rsidR="00126C90" w:rsidRPr="00952D97">
        <w:t>to savstarpēj</w:t>
      </w:r>
      <w:r w:rsidR="00126C90">
        <w:t>ās</w:t>
      </w:r>
      <w:r w:rsidR="00126C90" w:rsidRPr="00952D97">
        <w:t xml:space="preserve"> nepārklāšan</w:t>
      </w:r>
      <w:r w:rsidR="00126C90">
        <w:t>ā</w:t>
      </w:r>
      <w:r w:rsidR="00126C90" w:rsidRPr="00952D97">
        <w:t>s</w:t>
      </w:r>
      <w:r w:rsidR="00126C90">
        <w:t xml:space="preserve"> verifikāciju</w:t>
      </w:r>
      <w:r w:rsidR="00126C90" w:rsidRPr="00952D97">
        <w:t>. Aktivitāšu progresa un nodalāmības uzraudzībai starp dažādiem finansējuma avotiem tiek izmantotas</w:t>
      </w:r>
      <w:r w:rsidR="00126C90">
        <w:t xml:space="preserve"> arī</w:t>
      </w:r>
      <w:r w:rsidR="00126C90" w:rsidRPr="00952D97">
        <w:t xml:space="preserve"> vizuālās shēmas</w:t>
      </w:r>
      <w:r w:rsidR="00126C90">
        <w:t>, kurās</w:t>
      </w:r>
      <w:r w:rsidR="00126C90" w:rsidRPr="00952D97">
        <w:t xml:space="preserve"> finansējuma saņēmējs strukturēti atspoguļo </w:t>
      </w:r>
      <w:r w:rsidR="001B7FB1">
        <w:t>IS</w:t>
      </w:r>
      <w:r w:rsidR="00126C90" w:rsidRPr="00952D97">
        <w:t xml:space="preserve"> savstarpējās saistības</w:t>
      </w:r>
      <w:r w:rsidR="00126C90">
        <w:t>. T</w:t>
      </w:r>
      <w:r w:rsidR="00126C90" w:rsidRPr="00952D97">
        <w:t xml:space="preserve">ās </w:t>
      </w:r>
      <w:r w:rsidR="00126C90">
        <w:t>tiek papildinātas</w:t>
      </w:r>
      <w:r w:rsidR="00126C90" w:rsidRPr="00952D97">
        <w:t xml:space="preserve"> ar detalizētu pārskatu par katras sistēmas ietvaros veiktajām darbībām no visiem </w:t>
      </w:r>
      <w:r w:rsidR="00126C90">
        <w:t xml:space="preserve">pieejamajiem </w:t>
      </w:r>
      <w:r w:rsidR="00126C90" w:rsidRPr="00952D97">
        <w:t>finansējuma avotiem.</w:t>
      </w:r>
    </w:p>
    <w:p w14:paraId="34549575" w14:textId="77777777" w:rsidR="00143135" w:rsidRPr="008F64A0" w:rsidRDefault="00143135" w:rsidP="00BF4167">
      <w:pPr>
        <w:pStyle w:val="Sarakstarindkopa"/>
        <w:numPr>
          <w:ilvl w:val="2"/>
          <w:numId w:val="42"/>
        </w:numPr>
        <w:rPr>
          <w:b/>
        </w:rPr>
      </w:pPr>
      <w:r w:rsidRPr="008F64A0">
        <w:rPr>
          <w:b/>
        </w:rPr>
        <w:t>Kritērijs “ES pievienotā vērtība”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28E3521F" w14:textId="77777777" w:rsidTr="00D40533">
        <w:tc>
          <w:tcPr>
            <w:tcW w:w="10252" w:type="dxa"/>
            <w:shd w:val="clear" w:color="auto" w:fill="82009B" w:themeFill="accent6"/>
          </w:tcPr>
          <w:p w14:paraId="2BF67495" w14:textId="77777777" w:rsidR="00143135" w:rsidRPr="008F64A0" w:rsidRDefault="00143135" w:rsidP="00A239D8">
            <w:pPr>
              <w:rPr>
                <w:b/>
              </w:rPr>
            </w:pPr>
            <w:r w:rsidRPr="008F64A0">
              <w:rPr>
                <w:b/>
              </w:rPr>
              <w:t xml:space="preserve">Izvērtēšanas kritērija jautājums: </w:t>
            </w:r>
            <w:r w:rsidRPr="008F64A0">
              <w:rPr>
                <w:bCs/>
              </w:rPr>
              <w:t>Vai ES atbalsta rezultātā radās pievienotā vērtība?</w:t>
            </w:r>
          </w:p>
        </w:tc>
      </w:tr>
    </w:tbl>
    <w:p w14:paraId="5C57E9B2" w14:textId="0FA30033" w:rsidR="00C24CEF" w:rsidRPr="000276B6" w:rsidRDefault="00C24CEF" w:rsidP="00C24CEF">
      <w:r>
        <w:t>Ārējās robežas drošības stiprināšana</w:t>
      </w:r>
      <w:r w:rsidRPr="00B80801">
        <w:t xml:space="preserve"> </w:t>
      </w:r>
      <w:r>
        <w:t xml:space="preserve">ir viens no nozīmīgākajiem aspektiem, vērtējot pievienoto vērtību IDF vīzām un robežām sasniegtajiem rezultātiem. Īstenoto projektu ietvaros robežu drošības jomā tika panākti ievērojami uzlabojumi, īpaši uz jūras, kā arī sauszemes robežas ar Baltkrieviju un Krieviju. Tika ieviesta moderna uzraudzības sistēma, kas ļauj reālajā laikā </w:t>
      </w:r>
      <w:r w:rsidR="00320C38">
        <w:t xml:space="preserve">attālināti </w:t>
      </w:r>
      <w:r>
        <w:t xml:space="preserve">novērot situāciju uz robežas, ātri identificēt incidentus un operatīvi uz tiem reaģēt. Būtiski samazinājās tā saucamās "aklās zonas", kas agrāk nebija pārredzamas. Modernā tehnika ļāva optimizēt robežsargu darbu </w:t>
      </w:r>
      <w:r w:rsidR="00295F52">
        <w:rPr>
          <w:rFonts w:cstheme="minorHAnsi"/>
        </w:rPr>
        <w:t>–</w:t>
      </w:r>
      <w:r>
        <w:t xml:space="preserve"> tā vietā, lai fiziski patrulētu gar robežu, ir iespējams koncentrēties uz stratēģiski svarīgām vietām un zināmajiem </w:t>
      </w:r>
      <w:r w:rsidR="00320C38">
        <w:t>robežas</w:t>
      </w:r>
      <w:r>
        <w:t xml:space="preserve"> </w:t>
      </w:r>
      <w:r w:rsidR="00320C38">
        <w:t xml:space="preserve">nelegālās </w:t>
      </w:r>
      <w:r>
        <w:t>šķērsošanas maršrutiem.</w:t>
      </w:r>
    </w:p>
    <w:p w14:paraId="33AD27FC" w14:textId="366BC761" w:rsidR="00C24CEF" w:rsidRDefault="00C24CEF" w:rsidP="00C24CEF">
      <w:r>
        <w:t>IT sistēmu izstrāde un materiāltehniskā nodrošinājuma pilnveide ne tikai uzlaboja iesaistīto iestāžu darbības kapacitāti, bet arī sekmēja atbilstību ES prasībām un standartiem, tai skaitā nodrošin</w:t>
      </w:r>
      <w:r w:rsidR="00320C38">
        <w:t>o</w:t>
      </w:r>
      <w:r>
        <w:t>t efektīvāku informācijas un datu apmaiņu starp dalībvalstīm. Viens no būtiskākajiem elementiem šajā aspektā ir vairāku sadarbspējas sistēmu attīstība, kuru ieviešana turpinās 2021-2027.</w:t>
      </w:r>
      <w:r w:rsidR="000361B2">
        <w:t xml:space="preserve"> </w:t>
      </w:r>
      <w:r>
        <w:t>gada plānošanas periodā.</w:t>
      </w:r>
    </w:p>
    <w:p w14:paraId="14E3AB9E" w14:textId="77777777" w:rsidR="00C24CEF" w:rsidRDefault="00C24CEF" w:rsidP="00C24CEF">
      <w:r>
        <w:lastRenderedPageBreak/>
        <w:t xml:space="preserve">Vienlaikus projekta aktivitāšu īstenošanas rezultāta ir sekmēta starptautiskā un starpinstitucionālā sadarbība. Piemēram, VRS norāda uz ieguvumiem pieredzes apmaiņas braucieniem uz kaimiņvalstīm un citām ES dalībvalstīm, savukārt ĀM, kura īstenoja konsulāro amatpersonu apmācību projektu kā īpaši vērtīgu izceļ gan profesionālas sadarbības izveidi ar </w:t>
      </w:r>
      <w:r w:rsidRPr="000361B2">
        <w:t>Frontex</w:t>
      </w:r>
      <w:r>
        <w:t xml:space="preserve">, kuru plānots attīstīt arī citu aktivitāšu ietvaros. </w:t>
      </w:r>
    </w:p>
    <w:p w14:paraId="33D22882" w14:textId="7D3B814B" w:rsidR="00143135" w:rsidRPr="008F64A0" w:rsidRDefault="00C24CEF" w:rsidP="00C24CEF">
      <w:pPr>
        <w:rPr>
          <w:b/>
        </w:rPr>
      </w:pPr>
      <w:r>
        <w:t>Kopumā ES fondu atbalsts ir bijis izšķirošs šāda veida projektu īstenošanai, jo valsts budžets nodrošina ierobežotas iespējas šāda mēroga projektu realizāciju.</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70A835D9" w14:textId="77777777" w:rsidTr="00220E0C">
        <w:tc>
          <w:tcPr>
            <w:tcW w:w="10252" w:type="dxa"/>
            <w:shd w:val="clear" w:color="auto" w:fill="F3B8FF" w:themeFill="accent6" w:themeFillTint="33"/>
          </w:tcPr>
          <w:p w14:paraId="2068D460" w14:textId="77777777" w:rsidR="00143135" w:rsidRPr="008F64A0" w:rsidRDefault="00143135" w:rsidP="00A239D8">
            <w:pPr>
              <w:rPr>
                <w:i/>
                <w:iCs/>
                <w:color w:val="5A5A5A" w:themeColor="accent1" w:themeTint="BF"/>
              </w:rPr>
            </w:pPr>
            <w:r w:rsidRPr="008F64A0">
              <w:rPr>
                <w:i/>
                <w:iCs/>
                <w:color w:val="5A5A5A" w:themeColor="accent1" w:themeTint="BF"/>
              </w:rPr>
              <w:t>Apakšjautājums: Kādi bija galvenie fonda sniegtā atbalsta rezultātā radušās pievienotās vērtības veidi (apjoms, darbības joma, nozīme, process)?</w:t>
            </w:r>
          </w:p>
        </w:tc>
      </w:tr>
    </w:tbl>
    <w:p w14:paraId="1F02D757" w14:textId="1F521F4B" w:rsidR="00A91559" w:rsidRPr="00A91559" w:rsidRDefault="00A91559" w:rsidP="00A91559">
      <w:pPr>
        <w:rPr>
          <w:bCs/>
        </w:rPr>
      </w:pPr>
      <w:r w:rsidRPr="00A91559">
        <w:rPr>
          <w:bCs/>
        </w:rPr>
        <w:t>ES fonda sniegtā atbalsta rezultātā radās vairāki būtiski pievienotās vērtības veidi</w:t>
      </w:r>
      <w:r>
        <w:rPr>
          <w:bCs/>
        </w:rPr>
        <w:t xml:space="preserve">. Pirmkārt, </w:t>
      </w:r>
      <w:r w:rsidR="00386032">
        <w:rPr>
          <w:bCs/>
        </w:rPr>
        <w:t xml:space="preserve">viens no būtiskākajiem ir </w:t>
      </w:r>
      <w:r w:rsidRPr="00A91559">
        <w:rPr>
          <w:bCs/>
        </w:rPr>
        <w:t>ārējās robežas drošības stiprināšan</w:t>
      </w:r>
      <w:r w:rsidR="00386032">
        <w:rPr>
          <w:bCs/>
        </w:rPr>
        <w:t>a</w:t>
      </w:r>
      <w:r w:rsidRPr="00A91559">
        <w:rPr>
          <w:bCs/>
        </w:rPr>
        <w:t xml:space="preserve">, kas ietvēra gan tehnoloģisko resursu modernizāciju, gan institucionālās kapacitātes celšanu. </w:t>
      </w:r>
      <w:r w:rsidR="00386032">
        <w:rPr>
          <w:bCs/>
        </w:rPr>
        <w:t>VRS</w:t>
      </w:r>
      <w:r w:rsidRPr="00A91559">
        <w:rPr>
          <w:bCs/>
        </w:rPr>
        <w:t xml:space="preserve"> </w:t>
      </w:r>
      <w:r w:rsidR="00386032">
        <w:rPr>
          <w:bCs/>
        </w:rPr>
        <w:t>materiāltehniskā nodrošinājuma</w:t>
      </w:r>
      <w:r w:rsidRPr="00A91559">
        <w:rPr>
          <w:bCs/>
        </w:rPr>
        <w:t xml:space="preserve"> uzlabošana ļāva būtiski optimizēt cilvēkresursus, pārorientējot robežsargus no fiziskās patru</w:t>
      </w:r>
      <w:r w:rsidR="007B044F">
        <w:rPr>
          <w:bCs/>
        </w:rPr>
        <w:t>l</w:t>
      </w:r>
      <w:r w:rsidRPr="00A91559">
        <w:rPr>
          <w:bCs/>
        </w:rPr>
        <w:t>ēšanas uz stratēģisku uzraudzību un operatīvu reaģēšanu.</w:t>
      </w:r>
    </w:p>
    <w:p w14:paraId="4B0BF4B4" w14:textId="5D1D258D" w:rsidR="00A91559" w:rsidRPr="00A91559" w:rsidRDefault="007B044F" w:rsidP="00A91559">
      <w:pPr>
        <w:rPr>
          <w:bCs/>
        </w:rPr>
      </w:pPr>
      <w:r>
        <w:rPr>
          <w:bCs/>
        </w:rPr>
        <w:t>Vienlaikus</w:t>
      </w:r>
      <w:r w:rsidR="00A91559" w:rsidRPr="00A91559">
        <w:rPr>
          <w:bCs/>
        </w:rPr>
        <w:t xml:space="preserve"> starpinstitucionāl</w:t>
      </w:r>
      <w:r>
        <w:rPr>
          <w:bCs/>
        </w:rPr>
        <w:t>ā</w:t>
      </w:r>
      <w:r w:rsidR="00A91559" w:rsidRPr="00A91559">
        <w:rPr>
          <w:bCs/>
        </w:rPr>
        <w:t xml:space="preserve"> un starptautisk</w:t>
      </w:r>
      <w:r>
        <w:rPr>
          <w:bCs/>
        </w:rPr>
        <w:t>ā</w:t>
      </w:r>
      <w:r w:rsidR="00A91559" w:rsidRPr="00A91559">
        <w:rPr>
          <w:bCs/>
        </w:rPr>
        <w:t xml:space="preserve"> sadarbīb</w:t>
      </w:r>
      <w:r>
        <w:rPr>
          <w:bCs/>
        </w:rPr>
        <w:t>a</w:t>
      </w:r>
      <w:r w:rsidR="00A91559" w:rsidRPr="00A91559">
        <w:rPr>
          <w:bCs/>
        </w:rPr>
        <w:t xml:space="preserve"> sekmēj</w:t>
      </w:r>
      <w:r>
        <w:rPr>
          <w:bCs/>
        </w:rPr>
        <w:t>usi</w:t>
      </w:r>
      <w:r w:rsidR="00A91559" w:rsidRPr="00A91559">
        <w:rPr>
          <w:bCs/>
        </w:rPr>
        <w:t xml:space="preserve"> pieredzes apmaiņu, zināšanu pārnesi un vienotu izpratni par migrācijas</w:t>
      </w:r>
      <w:r>
        <w:rPr>
          <w:bCs/>
        </w:rPr>
        <w:t>, vīzu</w:t>
      </w:r>
      <w:r w:rsidR="00A91559" w:rsidRPr="00A91559">
        <w:rPr>
          <w:bCs/>
        </w:rPr>
        <w:t xml:space="preserve"> un robežu drošības jautājumiem. </w:t>
      </w:r>
    </w:p>
    <w:p w14:paraId="24B77DE6" w14:textId="72E4A3D7" w:rsidR="00A91559" w:rsidRPr="00A91559" w:rsidRDefault="007B044F" w:rsidP="00A91559">
      <w:pPr>
        <w:rPr>
          <w:bCs/>
        </w:rPr>
      </w:pPr>
      <w:r>
        <w:rPr>
          <w:bCs/>
        </w:rPr>
        <w:t>ES</w:t>
      </w:r>
      <w:r w:rsidR="00A91559" w:rsidRPr="00A91559">
        <w:rPr>
          <w:bCs/>
        </w:rPr>
        <w:t xml:space="preserve"> atbalsts </w:t>
      </w:r>
      <w:r>
        <w:rPr>
          <w:bCs/>
        </w:rPr>
        <w:t>ir uzlabojis</w:t>
      </w:r>
      <w:r w:rsidR="000B2520">
        <w:rPr>
          <w:bCs/>
        </w:rPr>
        <w:t xml:space="preserve"> arī</w:t>
      </w:r>
      <w:r w:rsidR="00A91559" w:rsidRPr="00A91559">
        <w:rPr>
          <w:bCs/>
        </w:rPr>
        <w:t xml:space="preserve"> datu apmaiņu un informācijas apriti starp ES dalībvalstīm. </w:t>
      </w:r>
      <w:r>
        <w:rPr>
          <w:bCs/>
        </w:rPr>
        <w:t>Modernizēt</w:t>
      </w:r>
      <w:r w:rsidR="000B2520">
        <w:rPr>
          <w:bCs/>
        </w:rPr>
        <w:t xml:space="preserve">a </w:t>
      </w:r>
      <w:r>
        <w:rPr>
          <w:bCs/>
        </w:rPr>
        <w:t xml:space="preserve">IT sistēmu darbība un </w:t>
      </w:r>
      <w:r w:rsidR="00905453">
        <w:rPr>
          <w:bCs/>
        </w:rPr>
        <w:t xml:space="preserve">tehnoloģiskais nodrošinājums </w:t>
      </w:r>
      <w:r w:rsidR="000B2520">
        <w:rPr>
          <w:bCs/>
        </w:rPr>
        <w:t xml:space="preserve">ir </w:t>
      </w:r>
      <w:r w:rsidR="00905453">
        <w:rPr>
          <w:bCs/>
        </w:rPr>
        <w:t>sekmēj</w:t>
      </w:r>
      <w:r w:rsidR="000B2520">
        <w:rPr>
          <w:bCs/>
        </w:rPr>
        <w:t>is</w:t>
      </w:r>
      <w:r w:rsidR="00905453">
        <w:rPr>
          <w:bCs/>
        </w:rPr>
        <w:t xml:space="preserve"> operatīvāku informācijas saņemšanu</w:t>
      </w:r>
      <w:r w:rsidR="00050CDD">
        <w:rPr>
          <w:bCs/>
        </w:rPr>
        <w:t xml:space="preserve"> un apstrādi. </w:t>
      </w:r>
      <w:r w:rsidR="00A91559" w:rsidRPr="00A91559">
        <w:rPr>
          <w:bCs/>
        </w:rPr>
        <w:t xml:space="preserve"> </w:t>
      </w:r>
    </w:p>
    <w:p w14:paraId="38500DA5" w14:textId="3204B979" w:rsidR="0022778E" w:rsidRPr="00F50269" w:rsidRDefault="00A91559" w:rsidP="00A91559">
      <w:pPr>
        <w:rPr>
          <w:bCs/>
        </w:rPr>
      </w:pPr>
      <w:r w:rsidRPr="00A91559">
        <w:rPr>
          <w:bCs/>
        </w:rPr>
        <w:t xml:space="preserve">Kopumā ES fonda atbalsts radīja kompleksu pievienoto vērtību, kas būtiski modernizēja Latvijas robežapsardzes sistēmu, uzlaboja </w:t>
      </w:r>
      <w:r w:rsidR="004B0E48">
        <w:rPr>
          <w:bCs/>
        </w:rPr>
        <w:t xml:space="preserve">vīzu apstrādes procesus, kā arī </w:t>
      </w:r>
      <w:r w:rsidRPr="00A91559">
        <w:rPr>
          <w:bCs/>
        </w:rPr>
        <w:t>paaugstināja kopējo ES ārējās robežas drošības līmeni.</w:t>
      </w:r>
    </w:p>
    <w:tbl>
      <w:tblPr>
        <w:tblStyle w:val="Reatabula"/>
        <w:tblW w:w="0" w:type="auto"/>
        <w:shd w:val="clear" w:color="auto" w:fill="D8FBEB" w:themeFill="accent5" w:themeFillTint="33"/>
        <w:tblLook w:val="04A0" w:firstRow="1" w:lastRow="0" w:firstColumn="1" w:lastColumn="0" w:noHBand="0" w:noVBand="1"/>
      </w:tblPr>
      <w:tblGrid>
        <w:gridCol w:w="10252"/>
      </w:tblGrid>
      <w:tr w:rsidR="00C24CEF" w:rsidRPr="008F64A0" w14:paraId="30EDCB2E" w14:textId="77777777" w:rsidTr="00A239D8">
        <w:tc>
          <w:tcPr>
            <w:tcW w:w="10252" w:type="dxa"/>
            <w:shd w:val="clear" w:color="auto" w:fill="F3B8FF" w:themeFill="accent6" w:themeFillTint="33"/>
          </w:tcPr>
          <w:p w14:paraId="708ECA24" w14:textId="77777777" w:rsidR="00C24CEF" w:rsidRPr="008F64A0" w:rsidRDefault="00C24CEF" w:rsidP="00A239D8">
            <w:pPr>
              <w:rPr>
                <w:i/>
                <w:iCs/>
                <w:color w:val="5A5A5A" w:themeColor="accent1" w:themeTint="BF"/>
              </w:rPr>
            </w:pPr>
            <w:r w:rsidRPr="008F64A0">
              <w:rPr>
                <w:i/>
                <w:iCs/>
                <w:color w:val="5A5A5A" w:themeColor="accent1" w:themeTint="BF"/>
              </w:rPr>
              <w:t>Apakšjautājums: Vai darbības, kas nepieciešamas ES politikas īstenošanai fonda jomās, dalībvalsts būtu varējusi veikt bez fonda finansiālā atbalsta?</w:t>
            </w:r>
          </w:p>
        </w:tc>
      </w:tr>
    </w:tbl>
    <w:p w14:paraId="72E1C9EA" w14:textId="2ED4111F" w:rsidR="000E1209" w:rsidRPr="00952814" w:rsidRDefault="000E1209" w:rsidP="000E1209">
      <w:r w:rsidRPr="0055050C">
        <w:t xml:space="preserve">Finansējuma saņēmēju ieskatā ES atbalsts ir bijis nozīmīgs aktivitāšu īstenošanai. </w:t>
      </w:r>
      <w:r w:rsidR="00010063">
        <w:t>67</w:t>
      </w:r>
      <w:r w:rsidRPr="0055050C">
        <w:t xml:space="preserve"> % finansējuma saņēmēju norāda, ka bez Programmu atbalsta </w:t>
      </w:r>
      <w:r w:rsidR="00952814" w:rsidRPr="0055050C">
        <w:t>iespējams tikai atsevišķas aktivitātes būtu ieviestas</w:t>
      </w:r>
      <w:r w:rsidRPr="0055050C">
        <w:t>, savukārt 3</w:t>
      </w:r>
      <w:r w:rsidR="00DB6415">
        <w:t>3</w:t>
      </w:r>
      <w:r w:rsidRPr="0055050C">
        <w:t xml:space="preserve"> % — ka </w:t>
      </w:r>
      <w:r w:rsidR="00B227DB">
        <w:t xml:space="preserve">bez Programmu atbalsta neviena aktivitāte </w:t>
      </w:r>
      <w:r w:rsidR="00594B3F">
        <w:t>netiktu ieviesta</w:t>
      </w:r>
      <w:r w:rsidRPr="0055050C">
        <w:rPr>
          <w:bCs/>
        </w:rPr>
        <w:t xml:space="preserve"> (</w:t>
      </w:r>
      <w:r w:rsidR="00087AC0">
        <w:rPr>
          <w:bCs/>
        </w:rPr>
        <w:fldChar w:fldCharType="begin"/>
      </w:r>
      <w:r w:rsidR="00087AC0">
        <w:rPr>
          <w:bCs/>
        </w:rPr>
        <w:instrText xml:space="preserve"> REF _Ref190872669 \h </w:instrText>
      </w:r>
      <w:r w:rsidR="00087AC0">
        <w:rPr>
          <w:bCs/>
        </w:rPr>
      </w:r>
      <w:r w:rsidR="00087AC0">
        <w:rPr>
          <w:bCs/>
        </w:rPr>
        <w:fldChar w:fldCharType="separate"/>
      </w:r>
      <w:r w:rsidR="000523B6">
        <w:t xml:space="preserve">Attēls </w:t>
      </w:r>
      <w:r w:rsidR="000523B6">
        <w:rPr>
          <w:noProof/>
        </w:rPr>
        <w:t>26</w:t>
      </w:r>
      <w:r w:rsidR="00087AC0">
        <w:rPr>
          <w:bCs/>
        </w:rPr>
        <w:fldChar w:fldCharType="end"/>
      </w:r>
      <w:r w:rsidRPr="0055050C">
        <w:rPr>
          <w:bCs/>
        </w:rPr>
        <w:t>).</w:t>
      </w:r>
      <w:r>
        <w:rPr>
          <w:bCs/>
        </w:rPr>
        <w:t xml:space="preserve"> </w:t>
      </w:r>
    </w:p>
    <w:p w14:paraId="44D6906D" w14:textId="4F12546D" w:rsidR="00B579FF" w:rsidRDefault="00B579FF" w:rsidP="00B579FF">
      <w:pPr>
        <w:pStyle w:val="GraphTitle"/>
      </w:pPr>
      <w:bookmarkStart w:id="80" w:name="_Ref190872669"/>
      <w:bookmarkStart w:id="81" w:name="_Ref191388634"/>
      <w:r>
        <w:t xml:space="preserve">Attēls </w:t>
      </w:r>
      <w:r w:rsidR="00C47EA2">
        <w:fldChar w:fldCharType="begin"/>
      </w:r>
      <w:r w:rsidR="00C47EA2">
        <w:instrText xml:space="preserve"> SEQ Attēls \* ARABIC </w:instrText>
      </w:r>
      <w:r w:rsidR="00C47EA2">
        <w:fldChar w:fldCharType="separate"/>
      </w:r>
      <w:r w:rsidR="000523B6">
        <w:t>26</w:t>
      </w:r>
      <w:r w:rsidR="00C47EA2">
        <w:fldChar w:fldCharType="end"/>
      </w:r>
      <w:bookmarkEnd w:id="80"/>
      <w:r>
        <w:t xml:space="preserve">. </w:t>
      </w:r>
      <w:r w:rsidRPr="00D9762E">
        <w:t xml:space="preserve">Finansējuma saņēmēju vērtējums par, vai projekta/-u aktivitātes tiktu ieviestas arī bez </w:t>
      </w:r>
      <w:r w:rsidR="00777E7E">
        <w:t>ES</w:t>
      </w:r>
      <w:r w:rsidRPr="00D9762E">
        <w:t xml:space="preserve"> Programmas/-u finansējuma</w:t>
      </w:r>
      <w:bookmarkEnd w:id="81"/>
    </w:p>
    <w:p w14:paraId="67E09BFA" w14:textId="4F9C1C5A" w:rsidR="00B3144F" w:rsidRDefault="00CF49EA" w:rsidP="000E1209">
      <w:pPr>
        <w:rPr>
          <w:bCs/>
        </w:rPr>
      </w:pPr>
      <w:r>
        <w:rPr>
          <w:noProof/>
        </w:rPr>
        <w:drawing>
          <wp:inline distT="0" distB="0" distL="0" distR="0" wp14:anchorId="32F88994" wp14:editId="6049AE20">
            <wp:extent cx="6489700" cy="1514475"/>
            <wp:effectExtent l="0" t="0" r="6350" b="0"/>
            <wp:docPr id="424956244" name="Chart 1">
              <a:extLst xmlns:a="http://schemas.openxmlformats.org/drawingml/2006/main">
                <a:ext uri="{FF2B5EF4-FFF2-40B4-BE49-F238E27FC236}">
                  <a16:creationId xmlns:a16="http://schemas.microsoft.com/office/drawing/2014/main" id="{496E4ED2-91F4-4B39-9980-8AB8F840C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DEE05AE" w14:textId="1AC5930F" w:rsidR="00087AC0" w:rsidRPr="00785D09" w:rsidRDefault="00087AC0" w:rsidP="00087AC0">
      <w:pPr>
        <w:jc w:val="right"/>
        <w:rPr>
          <w:rStyle w:val="Izsmalcintsizclums"/>
        </w:rPr>
      </w:pPr>
      <w:r w:rsidRPr="00785D09">
        <w:rPr>
          <w:rStyle w:val="Izsmalcintsizclums"/>
        </w:rPr>
        <w:t>Avots: Finansējuma saņēmēju aptauja, n=12</w:t>
      </w:r>
    </w:p>
    <w:p w14:paraId="151C5BEE" w14:textId="5D2958FB" w:rsidR="00CC418B" w:rsidRPr="00CC418B" w:rsidRDefault="00CC418B" w:rsidP="00CC418B">
      <w:pPr>
        <w:rPr>
          <w:rFonts w:cstheme="minorHAnsi"/>
        </w:rPr>
      </w:pPr>
      <w:r w:rsidRPr="00CC418B">
        <w:rPr>
          <w:rFonts w:cstheme="minorHAnsi"/>
        </w:rPr>
        <w:t xml:space="preserve">Gan finansējuma saņēmēji, gan atbildīgās iestādes pārstāvji atzīst, ka valsts budžets objektīvi nav spējīgs segt tik apjomīgus modernizācijas projektus kā tie, kurus iespējams īstenot ar Iekšlietu fondu atbalstu. </w:t>
      </w:r>
      <w:r w:rsidRPr="00CC418B">
        <w:rPr>
          <w:rFonts w:cstheme="minorHAnsi"/>
        </w:rPr>
        <w:lastRenderedPageBreak/>
        <w:t>Valsts budžeta līdzekļa varētu nodrošināt iespēju īstenot atsevišķus pasākumus, taču ieguldījumi būtu būtiski ierobežoti un nespētu nodrošināt tik nozīmīgu attīstības potenciālu.</w:t>
      </w:r>
    </w:p>
    <w:p w14:paraId="05658819" w14:textId="701031C3" w:rsidR="00CA4AF9" w:rsidRPr="00CC418B" w:rsidRDefault="00CC418B" w:rsidP="00CC418B">
      <w:pPr>
        <w:rPr>
          <w:rFonts w:cstheme="minorHAnsi"/>
          <w:i/>
          <w:iCs/>
        </w:rPr>
      </w:pPr>
      <w:r w:rsidRPr="00CC418B">
        <w:rPr>
          <w:rFonts w:cstheme="minorHAnsi"/>
        </w:rPr>
        <w:t xml:space="preserve">Arī ĀM, kas īstenoja konsulāro amatpersonu apmācības, uzsver ārvalstu finansējuma kritisko nozīmi šādu aktivitāšu realizācijā. Lai gan periodisku apmācību nodrošināšana vīzu jautājumos ir iekļauta dalībvalstīm noteiktajās prasībās un to īstenošanai būtu jārod līdzekļi, bez papildu finansējuma nebūtu iespējams īstenot apmācības tādā apjomā un regularitātē kā līdz šim. Rezultātā darbinieku vienotās pieejas </w:t>
      </w:r>
      <w:r w:rsidR="000B06CF" w:rsidRPr="00CC418B">
        <w:rPr>
          <w:rFonts w:cstheme="minorHAnsi"/>
        </w:rPr>
        <w:t xml:space="preserve">attīstība </w:t>
      </w:r>
      <w:r w:rsidRPr="00CC418B">
        <w:rPr>
          <w:rFonts w:cstheme="minorHAnsi"/>
        </w:rPr>
        <w:t xml:space="preserve">vīzu apstrādes jautājumos tiktu būtiski ierobežota, salīdzinot ar </w:t>
      </w:r>
      <w:r w:rsidR="000B06CF">
        <w:rPr>
          <w:rFonts w:cstheme="minorHAnsi"/>
        </w:rPr>
        <w:t xml:space="preserve">to </w:t>
      </w:r>
      <w:r w:rsidRPr="00CC418B">
        <w:rPr>
          <w:rFonts w:cstheme="minorHAnsi"/>
        </w:rPr>
        <w:t>līmeni, kas ti</w:t>
      </w:r>
      <w:r w:rsidR="000B06CF">
        <w:rPr>
          <w:rFonts w:cstheme="minorHAnsi"/>
        </w:rPr>
        <w:t>ek</w:t>
      </w:r>
      <w:r w:rsidRPr="00CC418B">
        <w:rPr>
          <w:rFonts w:cstheme="minorHAnsi"/>
        </w:rPr>
        <w:t xml:space="preserve"> nodrošināts ar Iekšlietu fondu atbalstu.</w:t>
      </w:r>
    </w:p>
    <w:tbl>
      <w:tblPr>
        <w:tblStyle w:val="Reatabula"/>
        <w:tblW w:w="0" w:type="auto"/>
        <w:shd w:val="clear" w:color="auto" w:fill="D8FBEB" w:themeFill="accent5" w:themeFillTint="33"/>
        <w:tblLook w:val="04A0" w:firstRow="1" w:lastRow="0" w:firstColumn="1" w:lastColumn="0" w:noHBand="0" w:noVBand="1"/>
      </w:tblPr>
      <w:tblGrid>
        <w:gridCol w:w="10252"/>
      </w:tblGrid>
      <w:tr w:rsidR="00C24CEF" w:rsidRPr="008F64A0" w14:paraId="669A07DE" w14:textId="77777777" w:rsidTr="00A239D8">
        <w:tc>
          <w:tcPr>
            <w:tcW w:w="10252" w:type="dxa"/>
            <w:shd w:val="clear" w:color="auto" w:fill="F3B8FF" w:themeFill="accent6" w:themeFillTint="33"/>
          </w:tcPr>
          <w:p w14:paraId="48A11471" w14:textId="77777777" w:rsidR="00C24CEF" w:rsidRPr="008F64A0" w:rsidRDefault="00C24CEF" w:rsidP="00A239D8">
            <w:pPr>
              <w:rPr>
                <w:i/>
                <w:iCs/>
                <w:color w:val="5A5A5A" w:themeColor="accent1" w:themeTint="BF"/>
              </w:rPr>
            </w:pPr>
            <w:r w:rsidRPr="008F64A0">
              <w:rPr>
                <w:i/>
                <w:iCs/>
                <w:color w:val="5A5A5A" w:themeColor="accent1" w:themeTint="BF"/>
              </w:rPr>
              <w:t>Apakšjautājums: Kādas sekas, visticamāk, izraisītu fonda atbalsta pārtraukšana?</w:t>
            </w:r>
          </w:p>
        </w:tc>
      </w:tr>
    </w:tbl>
    <w:p w14:paraId="5A974E85" w14:textId="35AF1BF9" w:rsidR="000E4EF5" w:rsidRPr="000E4EF5" w:rsidRDefault="00B97984" w:rsidP="000E4EF5">
      <w:pPr>
        <w:rPr>
          <w:rFonts w:cstheme="minorHAnsi"/>
        </w:rPr>
      </w:pPr>
      <w:r>
        <w:rPr>
          <w:rFonts w:cstheme="minorHAnsi"/>
        </w:rPr>
        <w:t xml:space="preserve">Fonda atbalsta pārtraukšana nozīmētu </w:t>
      </w:r>
      <w:r w:rsidR="000E4EF5" w:rsidRPr="000E4EF5">
        <w:rPr>
          <w:rFonts w:cstheme="minorHAnsi"/>
        </w:rPr>
        <w:t xml:space="preserve">būtisku </w:t>
      </w:r>
      <w:r>
        <w:rPr>
          <w:rFonts w:cstheme="minorHAnsi"/>
        </w:rPr>
        <w:t>robežu pārvaldībā un vīzu</w:t>
      </w:r>
      <w:r w:rsidR="00F420A8">
        <w:rPr>
          <w:rFonts w:cstheme="minorHAnsi"/>
        </w:rPr>
        <w:t xml:space="preserve"> </w:t>
      </w:r>
      <w:r w:rsidR="00460ADF">
        <w:rPr>
          <w:rFonts w:cstheme="minorHAnsi"/>
        </w:rPr>
        <w:t xml:space="preserve">politikas īstenošanā </w:t>
      </w:r>
      <w:r w:rsidR="00F420A8">
        <w:rPr>
          <w:rFonts w:cstheme="minorHAnsi"/>
        </w:rPr>
        <w:t>iesaistīto iestāžu</w:t>
      </w:r>
      <w:r w:rsidR="000E4EF5" w:rsidRPr="000E4EF5">
        <w:rPr>
          <w:rFonts w:cstheme="minorHAnsi"/>
        </w:rPr>
        <w:t xml:space="preserve"> modernizācijas ierobežošanu, kas</w:t>
      </w:r>
      <w:r w:rsidR="00F420A8">
        <w:rPr>
          <w:rFonts w:cstheme="minorHAnsi"/>
        </w:rPr>
        <w:t xml:space="preserve"> potenciāli</w:t>
      </w:r>
      <w:r w:rsidR="000E4EF5" w:rsidRPr="000E4EF5">
        <w:rPr>
          <w:rFonts w:cstheme="minorHAnsi"/>
        </w:rPr>
        <w:t xml:space="preserve"> paaugstinātu nelegālās migrācijas un kontrabandas riskus. Bez mūsdienīgām tehnoloģijām un apmācībām samazinātos spēja efektīvi kontrolēt robežu un reaģēt uz jauniem drošības izaicinājumiem.</w:t>
      </w:r>
      <w:r w:rsidR="00E81BD4">
        <w:rPr>
          <w:rFonts w:cstheme="minorHAnsi"/>
        </w:rPr>
        <w:t xml:space="preserve"> Vienlaikus, kā norāda ekspertu paneļa pārstāvji, nozares vajadzības ir ar augšupejošu tendenci. Tā kā jau šobrīd pieejamais atbalsts un finansējums nav pietiekams to segšanai, sagaidāms, ka fondu nozīme nozares attīstībā un spējā reaģēt uz ārējiem izaicinājumiem tikai pieaugs. </w:t>
      </w:r>
    </w:p>
    <w:p w14:paraId="79AC2EDC" w14:textId="57C66579" w:rsidR="000E4EF5" w:rsidRPr="000E4EF5" w:rsidRDefault="00F420A8" w:rsidP="000E4EF5">
      <w:pPr>
        <w:rPr>
          <w:rFonts w:cstheme="minorHAnsi"/>
        </w:rPr>
      </w:pPr>
      <w:r>
        <w:rPr>
          <w:rFonts w:cstheme="minorHAnsi"/>
        </w:rPr>
        <w:t>Fond</w:t>
      </w:r>
      <w:r w:rsidR="00460ADF">
        <w:rPr>
          <w:rFonts w:cstheme="minorHAnsi"/>
        </w:rPr>
        <w:t>a atbalsta pārtraukšana nozīmētu</w:t>
      </w:r>
      <w:r w:rsidR="000E4EF5" w:rsidRPr="000E4EF5">
        <w:rPr>
          <w:rFonts w:cstheme="minorHAnsi"/>
        </w:rPr>
        <w:t xml:space="preserve"> pilnībā pārnest projektu izmaksas uz valsts budžetu, kas ir būtiski ierobežots. </w:t>
      </w:r>
      <w:r w:rsidR="00460ADF">
        <w:rPr>
          <w:rFonts w:cstheme="minorHAnsi"/>
        </w:rPr>
        <w:t>Tā rezultātā tiktu ievērojami</w:t>
      </w:r>
      <w:r w:rsidR="000E4EF5" w:rsidRPr="000E4EF5">
        <w:rPr>
          <w:rFonts w:cstheme="minorHAnsi"/>
        </w:rPr>
        <w:t xml:space="preserve"> samazinātas iespējas īstenot modernizācijas projektus, potenciāli radot augstākas izmaksas ilgtermiņā.</w:t>
      </w:r>
    </w:p>
    <w:p w14:paraId="5D8EB95D" w14:textId="6159FFC5" w:rsidR="000E4EF5" w:rsidRPr="000E4EF5" w:rsidRDefault="00460ADF" w:rsidP="000E4EF5">
      <w:pPr>
        <w:rPr>
          <w:rFonts w:cstheme="minorHAnsi"/>
        </w:rPr>
      </w:pPr>
      <w:r>
        <w:rPr>
          <w:rFonts w:cstheme="minorHAnsi"/>
        </w:rPr>
        <w:t>Vienlaikus i</w:t>
      </w:r>
      <w:r w:rsidR="000E4EF5" w:rsidRPr="000E4EF5">
        <w:rPr>
          <w:rFonts w:cstheme="minorHAnsi"/>
        </w:rPr>
        <w:t xml:space="preserve">nstitucionālā līmenī tiktu kavēta saskaņošana ar ES drošības standartiem, samazināta institucionālā kapacitāte un ierobežotas starptautiskās sadarbības iespējas. Būtībā fonda atbalsta pārtraukšana apdraudētu līdzšinējo progresu </w:t>
      </w:r>
      <w:r>
        <w:rPr>
          <w:rFonts w:cstheme="minorHAnsi"/>
        </w:rPr>
        <w:t xml:space="preserve">robežu pārvaldības un vīzu politikas īstenošanas </w:t>
      </w:r>
      <w:r w:rsidR="000E4EF5" w:rsidRPr="000E4EF5">
        <w:rPr>
          <w:rFonts w:cstheme="minorHAnsi"/>
        </w:rPr>
        <w:t>attīstībā.</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6F12A021" w14:textId="77777777" w:rsidTr="00220E0C">
        <w:tc>
          <w:tcPr>
            <w:tcW w:w="10252" w:type="dxa"/>
            <w:shd w:val="clear" w:color="auto" w:fill="F3B8FF" w:themeFill="accent6" w:themeFillTint="33"/>
          </w:tcPr>
          <w:p w14:paraId="0E2CFDD5" w14:textId="77777777" w:rsidR="00143135" w:rsidRPr="008F64A0" w:rsidRDefault="00143135" w:rsidP="00A239D8">
            <w:pPr>
              <w:rPr>
                <w:i/>
                <w:iCs/>
                <w:color w:val="5A5A5A" w:themeColor="accent1" w:themeTint="BF"/>
              </w:rPr>
            </w:pPr>
            <w:r w:rsidRPr="008F64A0">
              <w:rPr>
                <w:i/>
                <w:iCs/>
                <w:color w:val="5A5A5A" w:themeColor="accent1" w:themeTint="BF"/>
              </w:rPr>
              <w:t>Apakšjautājums: Cik lielā mērā fonda atbalstītās darbības sniedza priekšrocības Savienības līmenī?</w:t>
            </w:r>
          </w:p>
        </w:tc>
      </w:tr>
    </w:tbl>
    <w:p w14:paraId="1F57749C" w14:textId="33D37310" w:rsidR="00E24720" w:rsidRPr="005E104B" w:rsidRDefault="005E104B" w:rsidP="00143135">
      <w:pPr>
        <w:rPr>
          <w:rFonts w:cstheme="minorHAnsi"/>
        </w:rPr>
      </w:pPr>
      <w:r w:rsidRPr="005E104B">
        <w:rPr>
          <w:rFonts w:cstheme="minorHAnsi"/>
        </w:rPr>
        <w:t>UK fokusgrupas intervijas pārstāvji identificējuši divas galvenās priekšrocības ES līmenī. Pirmkārt, finansējums attīstībai sekmē iespējas uzlabot procesu efektivitāti un kvalitāti, tādējādi sniedzot ieguldījumu kopējās drošības uzlabošanā. Vienlaikus īstenotie pasākumi ir ļāvuši veicināt atbilstību ES prasībām un standartiem, kas ļāvis Latvijai attīstīties līdzvērtīgā līmenī ar citām ES dalībvalstīm.</w:t>
      </w:r>
    </w:p>
    <w:p w14:paraId="6E30EB8C" w14:textId="77777777" w:rsidR="00143135" w:rsidRPr="008F64A0" w:rsidRDefault="00143135" w:rsidP="00BF4167">
      <w:pPr>
        <w:pStyle w:val="Sarakstarindkopa"/>
        <w:numPr>
          <w:ilvl w:val="2"/>
          <w:numId w:val="42"/>
        </w:numPr>
        <w:rPr>
          <w:b/>
        </w:rPr>
      </w:pPr>
      <w:r w:rsidRPr="008F64A0">
        <w:rPr>
          <w:b/>
        </w:rPr>
        <w:t>Kritērijs “llgtspēja”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741BBCF9" w14:textId="77777777" w:rsidTr="00D40533">
        <w:tc>
          <w:tcPr>
            <w:tcW w:w="10252" w:type="dxa"/>
            <w:shd w:val="clear" w:color="auto" w:fill="82009B" w:themeFill="accent6"/>
          </w:tcPr>
          <w:p w14:paraId="65C93C50" w14:textId="77777777" w:rsidR="00143135" w:rsidRPr="008F64A0" w:rsidRDefault="00143135" w:rsidP="00A239D8">
            <w:pPr>
              <w:rPr>
                <w:b/>
              </w:rPr>
            </w:pPr>
            <w:r w:rsidRPr="008F64A0">
              <w:rPr>
                <w:b/>
              </w:rPr>
              <w:t xml:space="preserve">Izvērtēšanas kritērija jautājums: </w:t>
            </w:r>
            <w:r w:rsidRPr="008F64A0">
              <w:rPr>
                <w:bCs/>
              </w:rPr>
              <w:t>Vai fonda atbalstīto projektu pozitīvais efekts varētu turpināties arī pēc tam, kad fonda atbalsts beigsies?</w:t>
            </w:r>
          </w:p>
        </w:tc>
      </w:tr>
    </w:tbl>
    <w:p w14:paraId="6168582A" w14:textId="1C94BF28" w:rsidR="00BC14BE" w:rsidRDefault="00BC14BE" w:rsidP="00BC14BE">
      <w:pPr>
        <w:rPr>
          <w:bCs/>
        </w:rPr>
      </w:pPr>
      <w:r w:rsidRPr="006046C3">
        <w:t xml:space="preserve">Finansējuma saņēmēji projektu sasniegto rezultātu noturību vērtē pozitīvi — </w:t>
      </w:r>
      <w:r w:rsidR="003D0B8E">
        <w:rPr>
          <w:bCs/>
        </w:rPr>
        <w:t>25</w:t>
      </w:r>
      <w:r w:rsidRPr="006046C3">
        <w:rPr>
          <w:bCs/>
        </w:rPr>
        <w:t> </w:t>
      </w:r>
      <w:r w:rsidRPr="006046C3">
        <w:t xml:space="preserve">% norāda, ka rezultāti ir ļoti noturīgi, bet </w:t>
      </w:r>
      <w:r w:rsidR="003D0B8E">
        <w:rPr>
          <w:bCs/>
        </w:rPr>
        <w:t>75</w:t>
      </w:r>
      <w:r w:rsidRPr="006046C3">
        <w:rPr>
          <w:bCs/>
        </w:rPr>
        <w:t xml:space="preserve"> </w:t>
      </w:r>
      <w:r w:rsidRPr="006046C3">
        <w:t>% rezultātus novērtējuši kā drīzāk noturīgus</w:t>
      </w:r>
      <w:r>
        <w:rPr>
          <w:bCs/>
        </w:rPr>
        <w:t xml:space="preserve"> (</w:t>
      </w:r>
      <w:r w:rsidR="00EA09EC">
        <w:rPr>
          <w:bCs/>
        </w:rPr>
        <w:fldChar w:fldCharType="begin"/>
      </w:r>
      <w:r w:rsidR="00EA09EC">
        <w:rPr>
          <w:bCs/>
        </w:rPr>
        <w:instrText xml:space="preserve"> REF _Ref190875546 \h </w:instrText>
      </w:r>
      <w:r w:rsidR="00EA09EC">
        <w:rPr>
          <w:bCs/>
        </w:rPr>
      </w:r>
      <w:r w:rsidR="00EA09EC">
        <w:rPr>
          <w:bCs/>
        </w:rPr>
        <w:fldChar w:fldCharType="separate"/>
      </w:r>
      <w:r w:rsidR="000523B6">
        <w:t xml:space="preserve">Attēls </w:t>
      </w:r>
      <w:r w:rsidR="000523B6">
        <w:rPr>
          <w:noProof/>
        </w:rPr>
        <w:t>27</w:t>
      </w:r>
      <w:r w:rsidR="00EA09EC">
        <w:rPr>
          <w:bCs/>
        </w:rPr>
        <w:fldChar w:fldCharType="end"/>
      </w:r>
      <w:r>
        <w:rPr>
          <w:bCs/>
        </w:rPr>
        <w:t>)</w:t>
      </w:r>
      <w:r w:rsidRPr="006046C3">
        <w:rPr>
          <w:bCs/>
        </w:rPr>
        <w:t>.</w:t>
      </w:r>
      <w:r>
        <w:rPr>
          <w:bCs/>
        </w:rPr>
        <w:t xml:space="preserve"> </w:t>
      </w:r>
    </w:p>
    <w:p w14:paraId="630436FE" w14:textId="77777777" w:rsidR="00FD71D1" w:rsidRDefault="00FD71D1" w:rsidP="00BC14BE">
      <w:pPr>
        <w:rPr>
          <w:bCs/>
        </w:rPr>
      </w:pPr>
    </w:p>
    <w:p w14:paraId="31475D63" w14:textId="77777777" w:rsidR="00FD71D1" w:rsidRDefault="00FD71D1" w:rsidP="00BC14BE">
      <w:pPr>
        <w:rPr>
          <w:bCs/>
        </w:rPr>
      </w:pPr>
    </w:p>
    <w:p w14:paraId="4323BC05" w14:textId="77777777" w:rsidR="00FD71D1" w:rsidRDefault="00FD71D1" w:rsidP="00BC14BE">
      <w:pPr>
        <w:rPr>
          <w:bCs/>
        </w:rPr>
      </w:pPr>
    </w:p>
    <w:p w14:paraId="17857D88" w14:textId="77777777" w:rsidR="00FD71D1" w:rsidRDefault="00FD71D1" w:rsidP="00BC14BE">
      <w:pPr>
        <w:rPr>
          <w:bCs/>
        </w:rPr>
      </w:pPr>
    </w:p>
    <w:p w14:paraId="5CE9B790" w14:textId="0438368F" w:rsidR="00A73DEC" w:rsidRDefault="00A73DEC" w:rsidP="003D0B8E">
      <w:pPr>
        <w:pStyle w:val="GraphTitle"/>
      </w:pPr>
      <w:bookmarkStart w:id="82" w:name="_Ref190875546"/>
      <w:bookmarkStart w:id="83" w:name="_Ref191388635"/>
      <w:r>
        <w:lastRenderedPageBreak/>
        <w:t xml:space="preserve">Attēls </w:t>
      </w:r>
      <w:r w:rsidR="00C47EA2">
        <w:fldChar w:fldCharType="begin"/>
      </w:r>
      <w:r w:rsidR="00C47EA2">
        <w:instrText xml:space="preserve"> SEQ Attēls \* ARABIC </w:instrText>
      </w:r>
      <w:r w:rsidR="00C47EA2">
        <w:fldChar w:fldCharType="separate"/>
      </w:r>
      <w:r w:rsidR="000523B6">
        <w:t>27</w:t>
      </w:r>
      <w:r w:rsidR="00C47EA2">
        <w:fldChar w:fldCharType="end"/>
      </w:r>
      <w:bookmarkEnd w:id="82"/>
      <w:r>
        <w:t xml:space="preserve">. </w:t>
      </w:r>
      <w:r w:rsidRPr="008476FE">
        <w:t>Finansējuma saņēmēju vērtējums par īstenoto projektu sasniegto rezultātu noturību turpmāko 5 gadu laikā</w:t>
      </w:r>
      <w:bookmarkEnd w:id="83"/>
    </w:p>
    <w:p w14:paraId="2DEB9224" w14:textId="5BB8EC32" w:rsidR="0083695C" w:rsidRDefault="00A2471D" w:rsidP="00BC14BE">
      <w:pPr>
        <w:rPr>
          <w:bCs/>
        </w:rPr>
      </w:pPr>
      <w:r>
        <w:rPr>
          <w:noProof/>
        </w:rPr>
        <w:drawing>
          <wp:inline distT="0" distB="0" distL="0" distR="0" wp14:anchorId="604A2C21" wp14:editId="4CA9E503">
            <wp:extent cx="6515100" cy="1225550"/>
            <wp:effectExtent l="0" t="0" r="0" b="0"/>
            <wp:docPr id="1579186283" name="Chart 1">
              <a:extLst xmlns:a="http://schemas.openxmlformats.org/drawingml/2006/main">
                <a:ext uri="{FF2B5EF4-FFF2-40B4-BE49-F238E27FC236}">
                  <a16:creationId xmlns:a16="http://schemas.microsoft.com/office/drawing/2014/main" id="{6291D5E6-BD6F-4EAF-8AB7-2688BA2269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19972E1" w14:textId="22D43F54" w:rsidR="00C27AF7" w:rsidRPr="00785D09" w:rsidRDefault="00C27AF7" w:rsidP="00C27AF7">
      <w:pPr>
        <w:jc w:val="right"/>
        <w:rPr>
          <w:rStyle w:val="Izsmalcintsizclums"/>
        </w:rPr>
      </w:pPr>
      <w:r w:rsidRPr="00785D09">
        <w:rPr>
          <w:rStyle w:val="Izsmalcintsizclums"/>
        </w:rPr>
        <w:t>Avots: Finansējuma saņēmēju aptauja, n=12</w:t>
      </w:r>
    </w:p>
    <w:p w14:paraId="1A3854DB" w14:textId="019C86C1" w:rsidR="008266DA" w:rsidRPr="000E39C5" w:rsidRDefault="008266DA" w:rsidP="008266DA">
      <w:r>
        <w:t xml:space="preserve">Analizējot fonda atbalstīto projektu ilgtspējas potenciālu pēc finansējuma beigām, </w:t>
      </w:r>
      <w:r w:rsidR="001A40C2">
        <w:t xml:space="preserve">finansējuma saņēmēji lielākoties to vērtē </w:t>
      </w:r>
      <w:r w:rsidR="001A40C2" w:rsidRPr="000E39C5">
        <w:t>pozitīvi. Piemēram, attiecībā uz IT sistēmām, tām ir raksturīgs ilgs dzīves cikls</w:t>
      </w:r>
      <w:r w:rsidR="00A564F1" w:rsidRPr="000E39C5">
        <w:t>, paredzot vismaz 10 gadu ekspluatācijas periodu. Savukārt t</w:t>
      </w:r>
      <w:r w:rsidR="00A564F1" w:rsidRPr="00AB2B16">
        <w:t>ehniskā aprīkojuma uzturēšanai risks ir minimāls, jo tam</w:t>
      </w:r>
      <w:r w:rsidR="00A564F1" w:rsidRPr="000E39C5">
        <w:t>, īstenojot projektu,</w:t>
      </w:r>
      <w:r w:rsidR="00A564F1" w:rsidRPr="00AB2B16">
        <w:t xml:space="preserve"> ir ieplānots finansējums</w:t>
      </w:r>
      <w:r w:rsidR="000E39C5" w:rsidRPr="000E39C5">
        <w:t xml:space="preserve"> no iestāžu līdzekļiem. </w:t>
      </w:r>
    </w:p>
    <w:p w14:paraId="1C754AFC" w14:textId="18A1A0F0" w:rsidR="00C01131" w:rsidRDefault="00C01131" w:rsidP="00C01131">
      <w:pPr>
        <w:rPr>
          <w:bCs/>
        </w:rPr>
      </w:pPr>
      <w:r w:rsidRPr="004227B5">
        <w:t xml:space="preserve">Galvenie riski, ko finansējuma saņēmēji identificē attiecībā uz rezultātu ilgtspēju un ilgnoturību ietver finanšu </w:t>
      </w:r>
      <w:r w:rsidR="005867D9">
        <w:t xml:space="preserve">resursu </w:t>
      </w:r>
      <w:r w:rsidRPr="004227B5">
        <w:t xml:space="preserve">un </w:t>
      </w:r>
      <w:r w:rsidR="00FA5B20">
        <w:t xml:space="preserve">cilvēkresursu </w:t>
      </w:r>
      <w:r w:rsidR="005867D9" w:rsidRPr="004227B5">
        <w:t xml:space="preserve">trūkumu projektu rezultātu uzturēšanai </w:t>
      </w:r>
      <w:r>
        <w:rPr>
          <w:bCs/>
        </w:rPr>
        <w:t>(</w:t>
      </w:r>
      <w:r w:rsidR="005867D9">
        <w:rPr>
          <w:bCs/>
        </w:rPr>
        <w:fldChar w:fldCharType="begin"/>
      </w:r>
      <w:r w:rsidR="005867D9">
        <w:rPr>
          <w:bCs/>
        </w:rPr>
        <w:instrText xml:space="preserve"> REF _Ref190873007 \h </w:instrText>
      </w:r>
      <w:r w:rsidR="005867D9">
        <w:rPr>
          <w:bCs/>
        </w:rPr>
      </w:r>
      <w:r w:rsidR="005867D9">
        <w:rPr>
          <w:bCs/>
        </w:rPr>
        <w:fldChar w:fldCharType="separate"/>
      </w:r>
      <w:r w:rsidR="000523B6">
        <w:t xml:space="preserve">Attēls </w:t>
      </w:r>
      <w:r w:rsidR="000523B6">
        <w:rPr>
          <w:noProof/>
        </w:rPr>
        <w:t>28</w:t>
      </w:r>
      <w:r w:rsidR="005867D9">
        <w:rPr>
          <w:bCs/>
        </w:rPr>
        <w:fldChar w:fldCharType="end"/>
      </w:r>
      <w:r>
        <w:rPr>
          <w:bCs/>
        </w:rPr>
        <w:t>)</w:t>
      </w:r>
      <w:r w:rsidRPr="004227B5">
        <w:rPr>
          <w:bCs/>
        </w:rPr>
        <w:t>.</w:t>
      </w:r>
      <w:r>
        <w:rPr>
          <w:bCs/>
        </w:rPr>
        <w:t xml:space="preserve"> </w:t>
      </w:r>
    </w:p>
    <w:p w14:paraId="7EE2BB26" w14:textId="625EB505" w:rsidR="00135400" w:rsidRDefault="00135400" w:rsidP="00135400">
      <w:pPr>
        <w:pStyle w:val="GraphTitle"/>
      </w:pPr>
      <w:bookmarkStart w:id="84" w:name="_Ref190873007"/>
      <w:bookmarkStart w:id="85" w:name="_Ref191388636"/>
      <w:r>
        <w:t xml:space="preserve">Attēls </w:t>
      </w:r>
      <w:r w:rsidR="00C47EA2">
        <w:fldChar w:fldCharType="begin"/>
      </w:r>
      <w:r w:rsidR="00C47EA2">
        <w:instrText xml:space="preserve"> SEQ Attēls \* ARABIC </w:instrText>
      </w:r>
      <w:r w:rsidR="00C47EA2">
        <w:fldChar w:fldCharType="separate"/>
      </w:r>
      <w:r w:rsidR="000523B6">
        <w:t>28</w:t>
      </w:r>
      <w:r w:rsidR="00C47EA2">
        <w:fldChar w:fldCharType="end"/>
      </w:r>
      <w:bookmarkEnd w:id="84"/>
      <w:r>
        <w:t xml:space="preserve">. </w:t>
      </w:r>
      <w:r w:rsidRPr="00D9477E">
        <w:t>Finansējuma saņēmēju viedoklis par riskiem, kas apdraud projekta/-u rezultātu ilgtspēju un ilgnoturību</w:t>
      </w:r>
      <w:bookmarkEnd w:id="85"/>
    </w:p>
    <w:p w14:paraId="59B5583E" w14:textId="706CD86B" w:rsidR="00D23B1A" w:rsidRDefault="001E074E" w:rsidP="00C01131">
      <w:pPr>
        <w:rPr>
          <w:bCs/>
        </w:rPr>
      </w:pPr>
      <w:r>
        <w:rPr>
          <w:noProof/>
        </w:rPr>
        <w:drawing>
          <wp:inline distT="0" distB="0" distL="0" distR="0" wp14:anchorId="1AB7851F" wp14:editId="2CC37A7C">
            <wp:extent cx="6578600" cy="2838450"/>
            <wp:effectExtent l="0" t="0" r="0" b="0"/>
            <wp:docPr id="983771185" name="Chart 1">
              <a:extLst xmlns:a="http://schemas.openxmlformats.org/drawingml/2006/main">
                <a:ext uri="{FF2B5EF4-FFF2-40B4-BE49-F238E27FC236}">
                  <a16:creationId xmlns:a16="http://schemas.microsoft.com/office/drawing/2014/main" id="{851D29C9-39A8-4613-B491-22939375A7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2E71A7E" w14:textId="7B787D8B" w:rsidR="006F6399" w:rsidRPr="00785D09" w:rsidRDefault="006F6399" w:rsidP="006F6399">
      <w:pPr>
        <w:jc w:val="right"/>
        <w:rPr>
          <w:rStyle w:val="Izsmalcintsizclums"/>
        </w:rPr>
      </w:pPr>
      <w:r w:rsidRPr="00785D09">
        <w:rPr>
          <w:rStyle w:val="Izsmalcintsizclums"/>
        </w:rPr>
        <w:t>Avots: Finansējuma saņēmēju aptauja, n=12</w:t>
      </w:r>
    </w:p>
    <w:p w14:paraId="7768870E" w14:textId="596E64D7" w:rsidR="000E39C5" w:rsidRPr="00DB751F" w:rsidRDefault="00C01131" w:rsidP="008266DA">
      <w:r>
        <w:t>Savukārt i</w:t>
      </w:r>
      <w:r w:rsidR="00444946">
        <w:t>ntervijās</w:t>
      </w:r>
      <w:r>
        <w:t xml:space="preserve"> kā galvenos riskus </w:t>
      </w:r>
      <w:r w:rsidR="000E39C5">
        <w:t>finansējuma saņēmēji</w:t>
      </w:r>
      <w:r>
        <w:t xml:space="preserve"> identificējuši </w:t>
      </w:r>
      <w:r w:rsidR="00E91452">
        <w:t>tehnoloģiju attīstību</w:t>
      </w:r>
      <w:r w:rsidR="0078416E">
        <w:t xml:space="preserve"> un cilvēkresursu </w:t>
      </w:r>
      <w:r w:rsidR="0078416E" w:rsidRPr="00DB751F">
        <w:t xml:space="preserve">nodrošinājumu. </w:t>
      </w:r>
    </w:p>
    <w:p w14:paraId="1D461EC3" w14:textId="62C1A7E8" w:rsidR="00AB2B16" w:rsidRPr="00AB2B16" w:rsidRDefault="00AB2B16" w:rsidP="00AB2B16">
      <w:r w:rsidRPr="00AB2B16">
        <w:t xml:space="preserve">Straujā tehnoloģiju attīstība, īpaši mākslīgā intelekta jomā, rada izaicinājumus </w:t>
      </w:r>
      <w:r w:rsidR="0078416E" w:rsidRPr="00DB751F">
        <w:t>IT risinājumu</w:t>
      </w:r>
      <w:r w:rsidRPr="00AB2B16">
        <w:t xml:space="preserve"> ilgtermiņa darbība</w:t>
      </w:r>
      <w:r w:rsidR="0078416E" w:rsidRPr="00DB751F">
        <w:t xml:space="preserve">i, kā </w:t>
      </w:r>
      <w:r w:rsidR="00CD2F54" w:rsidRPr="00DB751F">
        <w:t>arī tehnoloģisko iekārtu atbilstībai mainīgajiem standartiem.</w:t>
      </w:r>
      <w:r w:rsidR="00334081" w:rsidRPr="00DB751F">
        <w:t xml:space="preserve"> Piemēram, j</w:t>
      </w:r>
      <w:r w:rsidRPr="00AB2B16">
        <w:t xml:space="preserve">au </w:t>
      </w:r>
      <w:r w:rsidR="00334081" w:rsidRPr="00DB751F">
        <w:t xml:space="preserve">šobrīd </w:t>
      </w:r>
      <w:r w:rsidRPr="00AB2B16">
        <w:t>2020. gadā izstrādātā REIS tehniskā specifikācija saskaras ar mainīgām tehnoloģiju prasībām. Ņemot vērā augstās pielāgošanas izmaksas un ierobežotos finanšu resursus, tas rada bažas par sistēmas spēju pielāgoties nākotnes prasībām.</w:t>
      </w:r>
    </w:p>
    <w:p w14:paraId="3CA7FBAA" w14:textId="0EFE9C1C" w:rsidR="00A353F0" w:rsidRDefault="00334081" w:rsidP="008266DA">
      <w:r w:rsidRPr="00DB751F">
        <w:t xml:space="preserve">Attiecībā uz cilvēkresursiem, lai arī </w:t>
      </w:r>
      <w:r w:rsidR="00B91BB4" w:rsidRPr="00DB751F">
        <w:t xml:space="preserve">projektu īstenošanas un administrēšanas jomā iestādes norāda uz pietiekamu kapacitāti, </w:t>
      </w:r>
      <w:r w:rsidR="00DB751F" w:rsidRPr="00DB751F">
        <w:t>b</w:t>
      </w:r>
      <w:r w:rsidR="00DB751F" w:rsidRPr="00AB2B16">
        <w:t>ūtisks</w:t>
      </w:r>
      <w:r w:rsidR="00AB2B16" w:rsidRPr="00AB2B16">
        <w:t xml:space="preserve"> izaicinājums ir cilvēkresursu pieejamība, īpaši tehniskajā jomā. </w:t>
      </w:r>
      <w:r w:rsidR="00B91BB4" w:rsidRPr="00DB751F">
        <w:t xml:space="preserve">Piemēram, </w:t>
      </w:r>
      <w:r w:rsidR="00525E44">
        <w:lastRenderedPageBreak/>
        <w:t>Ie</w:t>
      </w:r>
      <w:r w:rsidR="00535AAA">
        <w:t>M</w:t>
      </w:r>
      <w:r w:rsidR="00525E44">
        <w:t xml:space="preserve"> IC norāda, ka </w:t>
      </w:r>
      <w:r w:rsidR="00AB2B16" w:rsidRPr="00AB2B16">
        <w:t xml:space="preserve">REIS sistēmas uzturēšanā izveidojusies kritiska situācija, kur atsevišķi darbinieki ir vienīgie speciālisti ar pilnīgu sistēmas pārzināšanu. Jaunu, kvalificētu IT speciālistu piesaisti apgrūtina zemāks atalgojums valsts pārvaldē salīdzinājumā ar privāto sektoru. </w:t>
      </w:r>
      <w:r w:rsidR="00B91BB4" w:rsidRPr="00DB751F">
        <w:t xml:space="preserve">Vienlaikus arī VRS norāda uz līdzīgiem izaicinājumiem </w:t>
      </w:r>
      <w:r w:rsidR="00B91BB4" w:rsidRPr="00AB2B16">
        <w:t xml:space="preserve">kvalificētu speciālistu </w:t>
      </w:r>
      <w:r w:rsidR="00DB751F" w:rsidRPr="00DB751F">
        <w:t>piesaistei</w:t>
      </w:r>
      <w:r w:rsidR="00535AAA">
        <w:t>, jo ir vērojama augsta darbinieku mainība, īpaši tehnisko un IT speciālistu vidū.</w:t>
      </w:r>
    </w:p>
    <w:tbl>
      <w:tblPr>
        <w:tblStyle w:val="Reatabula"/>
        <w:tblW w:w="0" w:type="auto"/>
        <w:shd w:val="clear" w:color="auto" w:fill="D8FBEB" w:themeFill="accent5" w:themeFillTint="33"/>
        <w:tblLook w:val="04A0" w:firstRow="1" w:lastRow="0" w:firstColumn="1" w:lastColumn="0" w:noHBand="0" w:noVBand="1"/>
      </w:tblPr>
      <w:tblGrid>
        <w:gridCol w:w="10252"/>
      </w:tblGrid>
      <w:tr w:rsidR="008266DA" w:rsidRPr="008F64A0" w14:paraId="1659A703" w14:textId="77777777" w:rsidTr="00220E0C">
        <w:tc>
          <w:tcPr>
            <w:tcW w:w="10252" w:type="dxa"/>
            <w:shd w:val="clear" w:color="auto" w:fill="F3B8FF" w:themeFill="accent6" w:themeFillTint="33"/>
          </w:tcPr>
          <w:p w14:paraId="7E1C14DF" w14:textId="77777777" w:rsidR="008266DA" w:rsidRPr="008F64A0" w:rsidRDefault="008266DA" w:rsidP="00A239D8">
            <w:pPr>
              <w:rPr>
                <w:i/>
                <w:iCs/>
                <w:color w:val="5A5A5A" w:themeColor="accent1" w:themeTint="BF"/>
              </w:rPr>
            </w:pPr>
            <w:r w:rsidRPr="008F64A0">
              <w:rPr>
                <w:i/>
                <w:iCs/>
                <w:color w:val="5A5A5A" w:themeColor="accent1" w:themeTint="BF"/>
              </w:rPr>
              <w:t>Apakšjautājums: Kādi bija galvenie dalībvalsts pieņemtie pasākumi, lai nodrošinātu ar fonda atbalstu īstenoto projektu rezultātu ilgtspēju (gan programmu veidošanas, gan īstenošanas posmā)?</w:t>
            </w:r>
          </w:p>
        </w:tc>
      </w:tr>
    </w:tbl>
    <w:p w14:paraId="0868E0DB" w14:textId="50C21337" w:rsidR="008266DA" w:rsidRPr="00E44AC9" w:rsidRDefault="008266DA" w:rsidP="008266DA">
      <w:pPr>
        <w:rPr>
          <w:bCs/>
        </w:rPr>
      </w:pPr>
      <w:r w:rsidRPr="00E44AC9">
        <w:rPr>
          <w:bCs/>
        </w:rPr>
        <w:t>Ilgtspējas nodrošināšanai programmu veidošanas un īstenošanas posmā tika ieviesti vairāki būtiski pasākumi. Primāri tika nodrošināta projektu pēctecība starp plānošanas periodiem, īpaši akcentējot pāreju uz 2021</w:t>
      </w:r>
      <w:r w:rsidR="000361B2">
        <w:rPr>
          <w:bCs/>
        </w:rPr>
        <w:t>.</w:t>
      </w:r>
      <w:r w:rsidRPr="00E44AC9">
        <w:rPr>
          <w:bCs/>
        </w:rPr>
        <w:t>-2027.</w:t>
      </w:r>
      <w:r w:rsidR="000361B2">
        <w:rPr>
          <w:bCs/>
        </w:rPr>
        <w:t xml:space="preserve"> </w:t>
      </w:r>
      <w:r w:rsidRPr="00E44AC9">
        <w:rPr>
          <w:bCs/>
        </w:rPr>
        <w:t>gada plānošanas periodu</w:t>
      </w:r>
      <w:r w:rsidR="00E91452">
        <w:rPr>
          <w:bCs/>
        </w:rPr>
        <w:t xml:space="preserve">, piemēram, pasākumiem, kas saistīti ar IIS un ETIAS sistēmas ieviešanu. </w:t>
      </w:r>
    </w:p>
    <w:p w14:paraId="3A86DEF7" w14:textId="77777777" w:rsidR="008266DA" w:rsidRPr="00E44AC9" w:rsidRDefault="008266DA" w:rsidP="008266DA">
      <w:pPr>
        <w:rPr>
          <w:bCs/>
        </w:rPr>
      </w:pPr>
      <w:r>
        <w:rPr>
          <w:bCs/>
        </w:rPr>
        <w:t>M</w:t>
      </w:r>
      <w:r w:rsidRPr="00E44AC9">
        <w:rPr>
          <w:bCs/>
        </w:rPr>
        <w:t>ateriāltehniskā nodrošinājum</w:t>
      </w:r>
      <w:r>
        <w:rPr>
          <w:bCs/>
        </w:rPr>
        <w:t xml:space="preserve">a ilgtspēja savukārt tie nodrošināta, finansējuma saņēmējiem turpinot ne tikai pastāvīgi izmantot projektos </w:t>
      </w:r>
      <w:r w:rsidRPr="00E44AC9">
        <w:rPr>
          <w:bCs/>
        </w:rPr>
        <w:t>iegādāt</w:t>
      </w:r>
      <w:r>
        <w:rPr>
          <w:bCs/>
        </w:rPr>
        <w:t>o</w:t>
      </w:r>
      <w:r w:rsidRPr="00E44AC9">
        <w:rPr>
          <w:bCs/>
        </w:rPr>
        <w:t xml:space="preserve"> aprīkojum</w:t>
      </w:r>
      <w:r>
        <w:rPr>
          <w:bCs/>
        </w:rPr>
        <w:t xml:space="preserve">u vai izveidoto infrastruktūru, bet </w:t>
      </w:r>
      <w:r w:rsidRPr="00E44AC9">
        <w:rPr>
          <w:bCs/>
        </w:rPr>
        <w:t xml:space="preserve">arī </w:t>
      </w:r>
      <w:r>
        <w:rPr>
          <w:bCs/>
        </w:rPr>
        <w:t>nodrošinot tā</w:t>
      </w:r>
      <w:r w:rsidRPr="00E44AC9">
        <w:rPr>
          <w:bCs/>
        </w:rPr>
        <w:t xml:space="preserve"> regulār</w:t>
      </w:r>
      <w:r>
        <w:rPr>
          <w:bCs/>
        </w:rPr>
        <w:t xml:space="preserve">u </w:t>
      </w:r>
      <w:r w:rsidRPr="00E44AC9">
        <w:rPr>
          <w:bCs/>
        </w:rPr>
        <w:t>uzturēšan</w:t>
      </w:r>
      <w:r>
        <w:rPr>
          <w:bCs/>
        </w:rPr>
        <w:t>u</w:t>
      </w:r>
      <w:r w:rsidRPr="00E44AC9">
        <w:rPr>
          <w:bCs/>
        </w:rPr>
        <w:t>. Papildu tam, izmantojot nākamo projektu līdzekļus, materiāltehniskā bāze tiek mērķtiecīgi atjaunota un papildināta, tādējādi nodrošinot tās ilgtermiņa izmantošanas iespējas.</w:t>
      </w:r>
    </w:p>
    <w:p w14:paraId="0B4584CD" w14:textId="13ADB398" w:rsidR="008266DA" w:rsidRPr="00E44AC9" w:rsidRDefault="008266DA" w:rsidP="008266DA">
      <w:pPr>
        <w:rPr>
          <w:bCs/>
        </w:rPr>
      </w:pPr>
      <w:r>
        <w:rPr>
          <w:bCs/>
        </w:rPr>
        <w:t>Vienlaikus finansējuma saņēmēji norāda arī uz cilvēkresursu kapacitātes celšanu. Vairākas iestādes 2014</w:t>
      </w:r>
      <w:r w:rsidR="000361B2">
        <w:rPr>
          <w:bCs/>
        </w:rPr>
        <w:t>.</w:t>
      </w:r>
      <w:r>
        <w:rPr>
          <w:bCs/>
        </w:rPr>
        <w:t>-2020.</w:t>
      </w:r>
      <w:r w:rsidR="000361B2">
        <w:rPr>
          <w:bCs/>
        </w:rPr>
        <w:t xml:space="preserve"> </w:t>
      </w:r>
      <w:r>
        <w:rPr>
          <w:bCs/>
        </w:rPr>
        <w:t>gada</w:t>
      </w:r>
      <w:r w:rsidR="000361B2">
        <w:rPr>
          <w:bCs/>
        </w:rPr>
        <w:t xml:space="preserve"> plānošanas</w:t>
      </w:r>
      <w:r>
        <w:rPr>
          <w:bCs/>
        </w:rPr>
        <w:t xml:space="preserve"> periodā ir īstenojušas pasākumus</w:t>
      </w:r>
      <w:r w:rsidR="000361B2">
        <w:rPr>
          <w:bCs/>
        </w:rPr>
        <w:t>,</w:t>
      </w:r>
      <w:r>
        <w:rPr>
          <w:bCs/>
        </w:rPr>
        <w:t xml:space="preserve"> lai palielinātu projektu </w:t>
      </w:r>
      <w:r w:rsidR="00525E44">
        <w:rPr>
          <w:bCs/>
        </w:rPr>
        <w:t>ieviešanā</w:t>
      </w:r>
      <w:r>
        <w:rPr>
          <w:bCs/>
        </w:rPr>
        <w:t xml:space="preserve"> iesaistīto cilvēkresursu kapacitāti, tai skaitā palielinot darbinieku skaitu. Turpinot īstenot projektus nākamajā plānošanas periodā, tiek sekmēta </w:t>
      </w:r>
      <w:r w:rsidRPr="00E44AC9">
        <w:rPr>
          <w:bCs/>
        </w:rPr>
        <w:t>augsti kvalificētu speciālistu ar specifiskām zināšanām</w:t>
      </w:r>
      <w:r>
        <w:rPr>
          <w:bCs/>
        </w:rPr>
        <w:t xml:space="preserve"> pieejamība</w:t>
      </w:r>
      <w:r w:rsidRPr="00E44AC9">
        <w:rPr>
          <w:bCs/>
        </w:rPr>
        <w:t>. Tādējādi tiek saglabātas un pilnveidotas uzkrātās zināšanas un profesionālās kompetences.</w:t>
      </w:r>
    </w:p>
    <w:tbl>
      <w:tblPr>
        <w:tblStyle w:val="Reatabula"/>
        <w:tblW w:w="0" w:type="auto"/>
        <w:shd w:val="clear" w:color="auto" w:fill="D8FBEB" w:themeFill="accent5" w:themeFillTint="33"/>
        <w:tblLook w:val="04A0" w:firstRow="1" w:lastRow="0" w:firstColumn="1" w:lastColumn="0" w:noHBand="0" w:noVBand="1"/>
      </w:tblPr>
      <w:tblGrid>
        <w:gridCol w:w="10252"/>
      </w:tblGrid>
      <w:tr w:rsidR="008266DA" w:rsidRPr="008F64A0" w14:paraId="1357C529" w14:textId="77777777" w:rsidTr="00220E0C">
        <w:tc>
          <w:tcPr>
            <w:tcW w:w="10252" w:type="dxa"/>
            <w:shd w:val="clear" w:color="auto" w:fill="F3B8FF" w:themeFill="accent6" w:themeFillTint="33"/>
          </w:tcPr>
          <w:p w14:paraId="05045C5B" w14:textId="77777777" w:rsidR="008266DA" w:rsidRPr="008F64A0" w:rsidRDefault="008266DA" w:rsidP="00A239D8">
            <w:pPr>
              <w:rPr>
                <w:i/>
                <w:iCs/>
                <w:color w:val="5A5A5A" w:themeColor="accent1" w:themeTint="BF"/>
              </w:rPr>
            </w:pPr>
            <w:r w:rsidRPr="008F64A0">
              <w:rPr>
                <w:i/>
                <w:iCs/>
                <w:color w:val="5A5A5A" w:themeColor="accent1" w:themeTint="BF"/>
              </w:rPr>
              <w:t>Apakšjautājums: Kādi pasākumi tika veikti, lai nodrošinātu ilgtspējas pārbaudi programmu veidošanas un īstenošanas posmā?</w:t>
            </w:r>
          </w:p>
        </w:tc>
      </w:tr>
    </w:tbl>
    <w:p w14:paraId="3C9DD4B3" w14:textId="77777777" w:rsidR="0005327B" w:rsidRDefault="0005327B" w:rsidP="00B76001">
      <w:pPr>
        <w:rPr>
          <w:bCs/>
        </w:rPr>
      </w:pPr>
      <w:r>
        <w:rPr>
          <w:bCs/>
        </w:rPr>
        <w:t>Iesniedzot projektu iesniegumu formas, finansējuma saņēmējiem bija jāapraksta sagaidāma projekta ietekme, tai skaitā, ietverot arī projekta rezultātu ilgtspējas aprakstu. Tādējādi ilgtspējas aspekts ir ticis iekļauts projektu iesniegumu vērtēšanas posmā.</w:t>
      </w:r>
    </w:p>
    <w:p w14:paraId="0DF5AF85" w14:textId="77777777" w:rsidR="0005327B" w:rsidRPr="005D6FA8" w:rsidRDefault="0005327B" w:rsidP="00B76001">
      <w:pPr>
        <w:rPr>
          <w:bCs/>
        </w:rPr>
      </w:pPr>
      <w:r>
        <w:rPr>
          <w:bCs/>
        </w:rPr>
        <w:t>Granta līguma noteikumi arī ietver pienākumu nodrošināt projektu rezultātu ilgtspēju. Tie ietver aizliegumu f</w:t>
      </w:r>
      <w:r w:rsidRPr="005D6FA8">
        <w:rPr>
          <w:bCs/>
        </w:rPr>
        <w:t xml:space="preserve">inansējuma saņēmējam pārdot, dāvināt vai kā citādi nodot trešajām personām </w:t>
      </w:r>
      <w:r>
        <w:rPr>
          <w:bCs/>
        </w:rPr>
        <w:t>p</w:t>
      </w:r>
      <w:r w:rsidRPr="005D6FA8">
        <w:rPr>
          <w:bCs/>
        </w:rPr>
        <w:t>rojekt</w:t>
      </w:r>
      <w:r>
        <w:rPr>
          <w:bCs/>
        </w:rPr>
        <w:t>u</w:t>
      </w:r>
      <w:r w:rsidRPr="005D6FA8">
        <w:rPr>
          <w:bCs/>
        </w:rPr>
        <w:t xml:space="preserve"> ietvaros iegādātos un radītos pamatlīdzekļus un nemateriālos ieguldījumus pēc Projekta īstenošanas beigām:</w:t>
      </w:r>
    </w:p>
    <w:p w14:paraId="255B48A6" w14:textId="1B5C1B64" w:rsidR="0005327B" w:rsidRPr="001147E4" w:rsidRDefault="0005327B" w:rsidP="0005327B">
      <w:pPr>
        <w:pStyle w:val="Sarakstarindkopa"/>
        <w:numPr>
          <w:ilvl w:val="0"/>
          <w:numId w:val="29"/>
        </w:numPr>
        <w:rPr>
          <w:bCs/>
        </w:rPr>
      </w:pPr>
      <w:r w:rsidRPr="001147E4">
        <w:rPr>
          <w:bCs/>
        </w:rPr>
        <w:t xml:space="preserve">vismaz 3 gadus attiecībā uz </w:t>
      </w:r>
      <w:r w:rsidR="00A24C07">
        <w:rPr>
          <w:bCs/>
        </w:rPr>
        <w:t>IKT</w:t>
      </w:r>
      <w:r w:rsidRPr="001147E4">
        <w:rPr>
          <w:bCs/>
        </w:rPr>
        <w:t xml:space="preserve"> aprīkojumu (neattiecas uz </w:t>
      </w:r>
      <w:r w:rsidR="00A24C07">
        <w:rPr>
          <w:bCs/>
        </w:rPr>
        <w:t>IKT</w:t>
      </w:r>
      <w:r w:rsidRPr="001147E4">
        <w:rPr>
          <w:bCs/>
        </w:rPr>
        <w:t xml:space="preserve"> aprīkojuma nodošanu </w:t>
      </w:r>
      <w:r w:rsidR="00207C65">
        <w:rPr>
          <w:bCs/>
        </w:rPr>
        <w:t>IeM IC</w:t>
      </w:r>
      <w:r w:rsidRPr="001147E4">
        <w:rPr>
          <w:bCs/>
        </w:rPr>
        <w:t xml:space="preserve"> Iekšlietu ministrijas resora ietvaros);</w:t>
      </w:r>
    </w:p>
    <w:p w14:paraId="39FEDF26" w14:textId="77777777" w:rsidR="0005327B" w:rsidRPr="001147E4" w:rsidRDefault="0005327B" w:rsidP="0005327B">
      <w:pPr>
        <w:pStyle w:val="Sarakstarindkopa"/>
        <w:numPr>
          <w:ilvl w:val="0"/>
          <w:numId w:val="29"/>
        </w:numPr>
        <w:rPr>
          <w:bCs/>
        </w:rPr>
      </w:pPr>
      <w:r w:rsidRPr="001147E4">
        <w:rPr>
          <w:bCs/>
        </w:rPr>
        <w:t>vismaz 5 gadus attiecībā uz citiem aprīkojuma veidiem (piemēram, tehniskais aprīkojums, transportlīdzekļi);</w:t>
      </w:r>
    </w:p>
    <w:p w14:paraId="01C37C4A" w14:textId="77777777" w:rsidR="0005327B" w:rsidRDefault="0005327B" w:rsidP="0005327B">
      <w:pPr>
        <w:pStyle w:val="Sarakstarindkopa"/>
        <w:numPr>
          <w:ilvl w:val="0"/>
          <w:numId w:val="29"/>
        </w:numPr>
        <w:rPr>
          <w:bCs/>
        </w:rPr>
      </w:pPr>
      <w:r w:rsidRPr="001147E4">
        <w:rPr>
          <w:bCs/>
        </w:rPr>
        <w:t>vismaz 10 gadus attiecībā uz ēkām.</w:t>
      </w:r>
    </w:p>
    <w:p w14:paraId="4383E14C" w14:textId="26B29495" w:rsidR="0005327B" w:rsidRPr="00FB16A7" w:rsidRDefault="0005327B" w:rsidP="00B76001">
      <w:pPr>
        <w:rPr>
          <w:bCs/>
        </w:rPr>
      </w:pPr>
      <w:r w:rsidRPr="00FB16A7">
        <w:rPr>
          <w:bCs/>
        </w:rPr>
        <w:t xml:space="preserve">Kā norāda atbildīgās iestādes pārstāvji, papildu pārbaudes, piemēram, pēc projektu īstenošanas </w:t>
      </w:r>
      <w:r w:rsidR="001D43CB">
        <w:rPr>
          <w:bCs/>
        </w:rPr>
        <w:t>pabeigšanas</w:t>
      </w:r>
      <w:r w:rsidR="006D61D0">
        <w:rPr>
          <w:bCs/>
        </w:rPr>
        <w:t>,</w:t>
      </w:r>
      <w:r w:rsidR="001D43CB">
        <w:rPr>
          <w:bCs/>
        </w:rPr>
        <w:t xml:space="preserve"> </w:t>
      </w:r>
      <w:r w:rsidRPr="00FB16A7">
        <w:rPr>
          <w:bCs/>
        </w:rPr>
        <w:t xml:space="preserve">attiecībā uz ilgtspējas nodrošināšanu netiek veiktas, jo finansējuma saņēmējiem ir saistošas granta līgumos ietvertās prasības. Situācijās, kad finansējuma saņēmējiem ir radušās problēmas ar kāda rezultāta ilgtspējas nodrošināšanu, piemēram, iegādātais aprīkojums ticis bojāts, tiek nodrošinātas konsultācijas par to, kā risināt radušos sarežģījumus. </w:t>
      </w:r>
    </w:p>
    <w:p w14:paraId="35670637" w14:textId="0B006FCC" w:rsidR="0005327B" w:rsidRPr="005C1763" w:rsidRDefault="0005327B" w:rsidP="0005327B">
      <w:pPr>
        <w:rPr>
          <w:bCs/>
        </w:rPr>
      </w:pPr>
      <w:r>
        <w:rPr>
          <w:bCs/>
        </w:rPr>
        <w:t>Vienlaikus, vērtējot jaunā 2021</w:t>
      </w:r>
      <w:r w:rsidR="0058163D">
        <w:rPr>
          <w:bCs/>
        </w:rPr>
        <w:t>.</w:t>
      </w:r>
      <w:r>
        <w:rPr>
          <w:bCs/>
        </w:rPr>
        <w:t>-2027.</w:t>
      </w:r>
      <w:r w:rsidR="0058163D">
        <w:rPr>
          <w:bCs/>
        </w:rPr>
        <w:t xml:space="preserve"> </w:t>
      </w:r>
      <w:r>
        <w:rPr>
          <w:bCs/>
        </w:rPr>
        <w:t xml:space="preserve">gada plānošanas perioda projektus, tiek pārbaudīts, vai projektos plānotās darbības neaizstāj tās, kurām vēl nepieciešamas nodrošināt ilgtspējas prasības iepriekš īstenotajos projektos. </w:t>
      </w:r>
    </w:p>
    <w:tbl>
      <w:tblPr>
        <w:tblStyle w:val="Reatabula"/>
        <w:tblW w:w="0" w:type="auto"/>
        <w:shd w:val="clear" w:color="auto" w:fill="D8FBEB" w:themeFill="accent5" w:themeFillTint="33"/>
        <w:tblLook w:val="04A0" w:firstRow="1" w:lastRow="0" w:firstColumn="1" w:lastColumn="0" w:noHBand="0" w:noVBand="1"/>
      </w:tblPr>
      <w:tblGrid>
        <w:gridCol w:w="10252"/>
      </w:tblGrid>
      <w:tr w:rsidR="008266DA" w:rsidRPr="008F64A0" w14:paraId="5A5CE1BC" w14:textId="77777777" w:rsidTr="00220E0C">
        <w:tc>
          <w:tcPr>
            <w:tcW w:w="10252" w:type="dxa"/>
            <w:shd w:val="clear" w:color="auto" w:fill="F3B8FF" w:themeFill="accent6" w:themeFillTint="33"/>
          </w:tcPr>
          <w:p w14:paraId="6E7D5CC5" w14:textId="77777777" w:rsidR="008266DA" w:rsidRPr="008F64A0" w:rsidRDefault="008266DA" w:rsidP="00A239D8">
            <w:pPr>
              <w:rPr>
                <w:i/>
                <w:iCs/>
                <w:color w:val="5A5A5A" w:themeColor="accent1" w:themeTint="BF"/>
              </w:rPr>
            </w:pPr>
            <w:r w:rsidRPr="008F64A0">
              <w:rPr>
                <w:i/>
                <w:iCs/>
                <w:color w:val="5A5A5A" w:themeColor="accent1" w:themeTint="BF"/>
              </w:rPr>
              <w:lastRenderedPageBreak/>
              <w:t>Apakšjautājums: Cik lielā mērā ir sagaidāms, ka fonda atbalstīto darbību rezultāti/priekšrocības pastāvēs pēc atbalsta beigšanās?</w:t>
            </w:r>
          </w:p>
        </w:tc>
      </w:tr>
    </w:tbl>
    <w:p w14:paraId="54EC54C0" w14:textId="77777777" w:rsidR="00AB5F3A" w:rsidRPr="00AB5F3A" w:rsidRDefault="00AB5F3A" w:rsidP="00AB5F3A">
      <w:pPr>
        <w:rPr>
          <w:bCs/>
        </w:rPr>
      </w:pPr>
      <w:r w:rsidRPr="00AB5F3A">
        <w:rPr>
          <w:bCs/>
        </w:rPr>
        <w:t>Projektu pozitīvā efekta turpināšanās pēc fonda atbalsta beigām ir iespējama, un kopumā riski rezultātu vai priekšrocību zudumam ir zemi. Tas skaidrojams ar to, ka fonda ietvaros īstenotās darbības galvenokārt vērstas uz konkrētu, taustāmu rezultātu sasniegšanu – IT sistēmu izstrādi, materiāltehniskā aprīkojuma iegādi un darbinieku apmācību. Šo rezultātu uzturēšana tiek nodrošināta no iestāžu budžeta līdzekļiem.</w:t>
      </w:r>
    </w:p>
    <w:p w14:paraId="4822C341" w14:textId="048BB94B" w:rsidR="00B76730" w:rsidRPr="00EC1C5D" w:rsidRDefault="00AB5F3A" w:rsidP="00AB5F3A">
      <w:pPr>
        <w:rPr>
          <w:bCs/>
        </w:rPr>
      </w:pPr>
      <w:r w:rsidRPr="00AB5F3A">
        <w:rPr>
          <w:bCs/>
        </w:rPr>
        <w:t>Pozitīvi vērtējams, ka 2021</w:t>
      </w:r>
      <w:r w:rsidR="0058163D">
        <w:rPr>
          <w:bCs/>
        </w:rPr>
        <w:t>.</w:t>
      </w:r>
      <w:r w:rsidRPr="00AB5F3A">
        <w:rPr>
          <w:bCs/>
        </w:rPr>
        <w:t xml:space="preserve">-2027. gada </w:t>
      </w:r>
      <w:r w:rsidR="001D43CB">
        <w:rPr>
          <w:bCs/>
        </w:rPr>
        <w:t xml:space="preserve">plānošanas </w:t>
      </w:r>
      <w:r w:rsidRPr="00AB5F3A">
        <w:rPr>
          <w:bCs/>
        </w:rPr>
        <w:t>perioda finansējums tiek izmantots, lai turpinātu attīstīt un paplašināt iepriekš sasniegtos rezultātus, tādējādi nodrošinot to ilgtspēju un pilnveidošanu.</w:t>
      </w:r>
      <w:r w:rsidR="00E81BD4">
        <w:rPr>
          <w:bCs/>
        </w:rPr>
        <w:t xml:space="preserve"> Tas attiecināms gan uz kapacitātes celšanas pasākumiem, piemēram, konsulāro darbinieku apmācībām, gan arī, piemēram, VRS attīstības projektiem, kur 2014.-2020.gada plānošanas perio</w:t>
      </w:r>
      <w:r w:rsidR="00345260">
        <w:rPr>
          <w:bCs/>
        </w:rPr>
        <w:t xml:space="preserve">dā sasniegtie rezultāti, tiek </w:t>
      </w:r>
      <w:r w:rsidR="00FE7F2C">
        <w:rPr>
          <w:bCs/>
        </w:rPr>
        <w:t xml:space="preserve">papildināti un tālāk attīstīti. </w:t>
      </w:r>
      <w:r w:rsidRPr="00AB5F3A">
        <w:rPr>
          <w:bCs/>
        </w:rPr>
        <w:t>Šāda pēctecīga pieeja stiprina projektu ilgtermiņa ietekmi un mazina riskus rezultātu zaudēšanai pēc konkrētā atbalsta perioda beigām.</w:t>
      </w:r>
    </w:p>
    <w:p w14:paraId="5119C21E" w14:textId="77777777" w:rsidR="00143135" w:rsidRPr="008F64A0" w:rsidRDefault="00143135" w:rsidP="00BF4167">
      <w:pPr>
        <w:pStyle w:val="Sarakstarindkopa"/>
        <w:numPr>
          <w:ilvl w:val="2"/>
          <w:numId w:val="42"/>
        </w:numPr>
        <w:rPr>
          <w:b/>
        </w:rPr>
      </w:pPr>
      <w:r w:rsidRPr="008F64A0">
        <w:rPr>
          <w:b/>
        </w:rPr>
        <w:t>Kritērijs “Administratīvā sloga vienkāršošana un samazināšana”</w:t>
      </w:r>
    </w:p>
    <w:tbl>
      <w:tblPr>
        <w:tblStyle w:val="Reatabula"/>
        <w:tblW w:w="0" w:type="auto"/>
        <w:shd w:val="clear" w:color="auto" w:fill="D8FBEB" w:themeFill="accent5" w:themeFillTint="33"/>
        <w:tblLook w:val="04A0" w:firstRow="1" w:lastRow="0" w:firstColumn="1" w:lastColumn="0" w:noHBand="0" w:noVBand="1"/>
      </w:tblPr>
      <w:tblGrid>
        <w:gridCol w:w="10252"/>
      </w:tblGrid>
      <w:tr w:rsidR="00143135" w:rsidRPr="008F64A0" w14:paraId="75101646" w14:textId="77777777" w:rsidTr="00D40533">
        <w:tc>
          <w:tcPr>
            <w:tcW w:w="10252" w:type="dxa"/>
            <w:shd w:val="clear" w:color="auto" w:fill="82009B" w:themeFill="accent6"/>
          </w:tcPr>
          <w:p w14:paraId="6438E0AC" w14:textId="77777777" w:rsidR="00143135" w:rsidRPr="008F64A0" w:rsidRDefault="00143135" w:rsidP="00A239D8">
            <w:pPr>
              <w:rPr>
                <w:b/>
              </w:rPr>
            </w:pPr>
            <w:r w:rsidRPr="008F64A0">
              <w:rPr>
                <w:b/>
              </w:rPr>
              <w:t xml:space="preserve">Izvērtēšanas kritērija jautājums: </w:t>
            </w:r>
            <w:r w:rsidRPr="008F64A0">
              <w:rPr>
                <w:bCs/>
              </w:rPr>
              <w:t>  Vai fonda pārvaldes procedūras tika vienkāršotas un vai saņēmējiem tika samazināts administratīvais slogs?</w:t>
            </w:r>
          </w:p>
        </w:tc>
      </w:tr>
    </w:tbl>
    <w:p w14:paraId="58D83605" w14:textId="03531963" w:rsidR="002E37BC" w:rsidRDefault="002E37BC" w:rsidP="00B76001">
      <w:pPr>
        <w:rPr>
          <w:bCs/>
        </w:rPr>
      </w:pPr>
      <w:r>
        <w:rPr>
          <w:bCs/>
        </w:rPr>
        <w:t xml:space="preserve">Veikto interviju laikā tika identificēti atsevišķi pasākumi Programmu administratīvā sloga mazināšanai </w:t>
      </w:r>
      <w:r w:rsidRPr="00485175">
        <w:rPr>
          <w:bCs/>
        </w:rPr>
        <w:t>2014</w:t>
      </w:r>
      <w:r w:rsidR="0058163D">
        <w:rPr>
          <w:bCs/>
        </w:rPr>
        <w:t>.</w:t>
      </w:r>
      <w:r w:rsidRPr="00485175">
        <w:rPr>
          <w:bCs/>
        </w:rPr>
        <w:t>-2020.</w:t>
      </w:r>
      <w:r w:rsidR="00EE2B9B">
        <w:rPr>
          <w:bCs/>
        </w:rPr>
        <w:t xml:space="preserve"> </w:t>
      </w:r>
      <w:r w:rsidRPr="00485175">
        <w:rPr>
          <w:bCs/>
        </w:rPr>
        <w:t>gada plānošanas perioda ietvaros</w:t>
      </w:r>
      <w:r>
        <w:rPr>
          <w:bCs/>
        </w:rPr>
        <w:t xml:space="preserve">. Tie </w:t>
      </w:r>
      <w:r w:rsidRPr="00485175">
        <w:rPr>
          <w:bCs/>
        </w:rPr>
        <w:t>ir bijuši saistīti ar pāreju uz elektronisko dokumentu apriti,</w:t>
      </w:r>
      <w:r>
        <w:rPr>
          <w:bCs/>
        </w:rPr>
        <w:t xml:space="preserve"> kā arī</w:t>
      </w:r>
      <w:r w:rsidRPr="00485175">
        <w:rPr>
          <w:bCs/>
        </w:rPr>
        <w:t xml:space="preserve"> elastīgāku pieeju oficiālu grozījumu veikšanai, </w:t>
      </w:r>
      <w:r>
        <w:rPr>
          <w:bCs/>
        </w:rPr>
        <w:t xml:space="preserve">piemēram, ļaujot nosūtīt informatīvu vēstuli par izmaiņām personāla sastāvā, neveicot grozījumus projektā. Vienlaikus tikusi nodrošināta </w:t>
      </w:r>
      <w:r w:rsidRPr="00485175">
        <w:rPr>
          <w:bCs/>
        </w:rPr>
        <w:t>iespēj</w:t>
      </w:r>
      <w:r>
        <w:rPr>
          <w:bCs/>
        </w:rPr>
        <w:t>a</w:t>
      </w:r>
      <w:r w:rsidRPr="00485175">
        <w:rPr>
          <w:bCs/>
        </w:rPr>
        <w:t xml:space="preserve"> saskaņot atskaišu saturu</w:t>
      </w:r>
      <w:r>
        <w:rPr>
          <w:bCs/>
        </w:rPr>
        <w:t xml:space="preserve"> pirms to oficiālās iesniegšanas</w:t>
      </w:r>
      <w:r w:rsidRPr="00485175">
        <w:rPr>
          <w:bCs/>
        </w:rPr>
        <w:t>, lai sekmētu ātrāku apstiprināšanas procesu.</w:t>
      </w:r>
    </w:p>
    <w:p w14:paraId="799D4810" w14:textId="2601A75C" w:rsidR="002E37BC" w:rsidRDefault="002E37BC" w:rsidP="002E37BC">
      <w:pPr>
        <w:rPr>
          <w:bCs/>
        </w:rPr>
      </w:pPr>
      <w:r>
        <w:rPr>
          <w:bCs/>
        </w:rPr>
        <w:t>Būtiski uzlabojumi administratīvā sloga mazināšanai</w:t>
      </w:r>
      <w:r w:rsidRPr="00485175">
        <w:rPr>
          <w:bCs/>
        </w:rPr>
        <w:t xml:space="preserve"> ir novēroti 2021</w:t>
      </w:r>
      <w:r>
        <w:rPr>
          <w:bCs/>
        </w:rPr>
        <w:t>.</w:t>
      </w:r>
      <w:r w:rsidRPr="00485175">
        <w:rPr>
          <w:bCs/>
        </w:rPr>
        <w:t>-2027.</w:t>
      </w:r>
      <w:r w:rsidR="00EE2B9B">
        <w:rPr>
          <w:bCs/>
        </w:rPr>
        <w:t xml:space="preserve"> </w:t>
      </w:r>
      <w:r w:rsidRPr="00485175">
        <w:rPr>
          <w:bCs/>
        </w:rPr>
        <w:t xml:space="preserve">gada plānošanas periodā. </w:t>
      </w:r>
      <w:r>
        <w:rPr>
          <w:bCs/>
        </w:rPr>
        <w:t xml:space="preserve">Tie ietver elastīgāku pieeju grozījumu veikšanai, samazinātu pamatojošās dokumentācijas apjomu, platformas nodrošināšanu pamatojošās dokumentācijas augšupielādei, kā arī plašākas konsultāciju iespējas ar uzraugošajām iestādēm projektu īstenošanas laikā. </w:t>
      </w:r>
    </w:p>
    <w:tbl>
      <w:tblPr>
        <w:tblStyle w:val="Reatabula"/>
        <w:tblW w:w="0" w:type="auto"/>
        <w:shd w:val="clear" w:color="auto" w:fill="D8FBEB" w:themeFill="accent5" w:themeFillTint="33"/>
        <w:tblLook w:val="04A0" w:firstRow="1" w:lastRow="0" w:firstColumn="1" w:lastColumn="0" w:noHBand="0" w:noVBand="1"/>
      </w:tblPr>
      <w:tblGrid>
        <w:gridCol w:w="10252"/>
      </w:tblGrid>
      <w:tr w:rsidR="00A01FBE" w:rsidRPr="008F64A0" w14:paraId="3583CE80" w14:textId="77777777" w:rsidTr="00A239D8">
        <w:tc>
          <w:tcPr>
            <w:tcW w:w="10252" w:type="dxa"/>
            <w:tcBorders>
              <w:bottom w:val="single" w:sz="4" w:space="0" w:color="auto"/>
            </w:tcBorders>
            <w:shd w:val="clear" w:color="auto" w:fill="F3B8FF" w:themeFill="accent6" w:themeFillTint="33"/>
          </w:tcPr>
          <w:p w14:paraId="397E18A2" w14:textId="77777777" w:rsidR="00A01FBE" w:rsidRPr="008F64A0" w:rsidRDefault="00A01FBE" w:rsidP="00A239D8">
            <w:pPr>
              <w:rPr>
                <w:i/>
                <w:iCs/>
                <w:color w:val="5A5A5A" w:themeColor="accent1" w:themeTint="BF"/>
              </w:rPr>
            </w:pPr>
            <w:r w:rsidRPr="008F64A0">
              <w:rPr>
                <w:i/>
                <w:iCs/>
                <w:color w:val="5A5A5A" w:themeColor="accent1" w:themeTint="BF"/>
              </w:rPr>
              <w:t>Apakšjautājums: Vai fonda ieviesto inovatīvo procedūru (vienkāršoto izmaksu iespēja, daudzgadu programmas, valsts atbilstības noteikumi, daudzpusīgākas un elastīgākas valsts programmas) rezultātā fonda finansējuma saņēmēji varēja baudīt vienkāršošanas priekšrocības?</w:t>
            </w:r>
          </w:p>
        </w:tc>
      </w:tr>
    </w:tbl>
    <w:p w14:paraId="1C95E190" w14:textId="77777777" w:rsidR="00A01FBE" w:rsidRDefault="00A01FBE" w:rsidP="00A01FBE">
      <w:pPr>
        <w:rPr>
          <w:bCs/>
        </w:rPr>
      </w:pPr>
      <w:r>
        <w:rPr>
          <w:bCs/>
        </w:rPr>
        <w:t xml:space="preserve">Būtiskas priekšrocības Programmas projektu plānošanai un elastīgākai pieejai ir devusi daudzgadu programmas ieviešana. Tas ļāvis ne tikai elastīgāk pielāgot Programmas aktivitātes, bet arī stratēģiskāk plānot projektu īstenošanu, tai skaitā, ļaujot īstenot garākus projektus. </w:t>
      </w:r>
    </w:p>
    <w:p w14:paraId="3CFB1BB8" w14:textId="4D381097" w:rsidR="00A01FBE" w:rsidRPr="00B86AF3" w:rsidRDefault="00A01FBE" w:rsidP="00A01FBE">
      <w:pPr>
        <w:rPr>
          <w:bCs/>
        </w:rPr>
      </w:pPr>
      <w:r>
        <w:rPr>
          <w:bCs/>
        </w:rPr>
        <w:t>Vienlaikus komunikācijā ar finansējuma saņēmējiem netika identificētas inovatīvas procedūras, kas 2014</w:t>
      </w:r>
      <w:r w:rsidR="00EE2B9B">
        <w:rPr>
          <w:bCs/>
        </w:rPr>
        <w:t>.</w:t>
      </w:r>
      <w:r>
        <w:rPr>
          <w:bCs/>
        </w:rPr>
        <w:t>-2020.</w:t>
      </w:r>
      <w:r w:rsidR="00EE2B9B">
        <w:rPr>
          <w:bCs/>
        </w:rPr>
        <w:t xml:space="preserve"> </w:t>
      </w:r>
      <w:r>
        <w:rPr>
          <w:bCs/>
        </w:rPr>
        <w:t xml:space="preserve">gada </w:t>
      </w:r>
      <w:r w:rsidR="00EE2B9B">
        <w:rPr>
          <w:bCs/>
        </w:rPr>
        <w:t xml:space="preserve">plānošanas </w:t>
      </w:r>
      <w:r>
        <w:rPr>
          <w:bCs/>
        </w:rPr>
        <w:t xml:space="preserve">periodā būtu vienkāršojušas administratīvos procesus. </w:t>
      </w:r>
    </w:p>
    <w:p w14:paraId="3C5F16AA" w14:textId="20D11D76" w:rsidR="007C41CD" w:rsidRPr="008F64A0" w:rsidRDefault="007C41CD" w:rsidP="00DB7D54"/>
    <w:p w14:paraId="1163F995" w14:textId="77777777" w:rsidR="007C41CD" w:rsidRPr="008F64A0" w:rsidRDefault="007C41CD">
      <w:pPr>
        <w:spacing w:before="0" w:line="259" w:lineRule="auto"/>
        <w:jc w:val="left"/>
        <w:rPr>
          <w:rFonts w:asciiTheme="majorHAnsi" w:eastAsiaTheme="majorEastAsia" w:hAnsiTheme="majorHAnsi" w:cstheme="majorBidi"/>
          <w:color w:val="1A1A1A" w:themeColor="accent1" w:themeShade="BF"/>
          <w:sz w:val="40"/>
          <w:szCs w:val="32"/>
        </w:rPr>
      </w:pPr>
      <w:r w:rsidRPr="008F64A0">
        <w:br w:type="page"/>
      </w:r>
    </w:p>
    <w:p w14:paraId="07E2E280" w14:textId="306E5B2A" w:rsidR="0049533B" w:rsidRPr="008F64A0" w:rsidRDefault="00EE2B9B" w:rsidP="00BF4167">
      <w:pPr>
        <w:pStyle w:val="Virsraksts1"/>
        <w:numPr>
          <w:ilvl w:val="0"/>
          <w:numId w:val="42"/>
        </w:numPr>
        <w:ind w:left="360" w:hanging="360"/>
      </w:pPr>
      <w:r>
        <w:rPr>
          <w:b/>
          <w:bCs/>
        </w:rPr>
        <w:lastRenderedPageBreak/>
        <w:t xml:space="preserve"> </w:t>
      </w:r>
      <w:bookmarkStart w:id="86" w:name="_Toc193371307"/>
      <w:r w:rsidR="0049533B" w:rsidRPr="008F64A0">
        <w:rPr>
          <w:b/>
          <w:bCs/>
        </w:rPr>
        <w:t>Iekšējā</w:t>
      </w:r>
      <w:r>
        <w:rPr>
          <w:b/>
          <w:bCs/>
        </w:rPr>
        <w:t>s</w:t>
      </w:r>
      <w:r w:rsidR="0049533B" w:rsidRPr="008F64A0">
        <w:rPr>
          <w:b/>
          <w:bCs/>
        </w:rPr>
        <w:t xml:space="preserve"> drošības fonda finansiāl</w:t>
      </w:r>
      <w:r w:rsidR="00D62F7C" w:rsidRPr="008F64A0">
        <w:rPr>
          <w:b/>
          <w:bCs/>
        </w:rPr>
        <w:t>a</w:t>
      </w:r>
      <w:r w:rsidR="0049533B" w:rsidRPr="008F64A0">
        <w:rPr>
          <w:b/>
          <w:bCs/>
        </w:rPr>
        <w:t xml:space="preserve"> atbalsta instruments </w:t>
      </w:r>
      <w:r w:rsidR="005D4DA5" w:rsidRPr="008F64A0">
        <w:rPr>
          <w:b/>
          <w:bCs/>
        </w:rPr>
        <w:t>policijas sadarbībai, noziedzības novēršanai un apkarošanai un krīžu pārvarēšanai</w:t>
      </w:r>
      <w:bookmarkEnd w:id="86"/>
    </w:p>
    <w:p w14:paraId="6EBF2335" w14:textId="3314E2CE" w:rsidR="0049533B" w:rsidRPr="008F64A0" w:rsidRDefault="0049533B" w:rsidP="00BF4167">
      <w:pPr>
        <w:pStyle w:val="Virsraksts2"/>
        <w:numPr>
          <w:ilvl w:val="1"/>
          <w:numId w:val="42"/>
        </w:numPr>
        <w:ind w:left="360" w:hanging="360"/>
      </w:pPr>
      <w:bookmarkStart w:id="87" w:name="_Toc193371308"/>
      <w:r w:rsidRPr="008F64A0">
        <w:t xml:space="preserve">Pārskats par </w:t>
      </w:r>
      <w:r w:rsidRPr="008F64A0">
        <w:rPr>
          <w:b/>
          <w:bCs/>
        </w:rPr>
        <w:t>IDF finansiāl</w:t>
      </w:r>
      <w:r w:rsidR="00D62F7C" w:rsidRPr="008F64A0">
        <w:rPr>
          <w:b/>
          <w:bCs/>
        </w:rPr>
        <w:t>a</w:t>
      </w:r>
      <w:r w:rsidRPr="008F64A0">
        <w:rPr>
          <w:b/>
          <w:bCs/>
        </w:rPr>
        <w:t xml:space="preserve"> atbalsta instrumenta </w:t>
      </w:r>
      <w:r w:rsidR="005D4DA5" w:rsidRPr="008F64A0">
        <w:rPr>
          <w:b/>
          <w:bCs/>
        </w:rPr>
        <w:t>policijas sadarbībai, noziedzības novēršanai un apkarošanai un krīžu pārvarēšanai</w:t>
      </w:r>
      <w:r w:rsidRPr="008F64A0">
        <w:rPr>
          <w:b/>
          <w:bCs/>
        </w:rPr>
        <w:t xml:space="preserve"> ieviešanu</w:t>
      </w:r>
      <w:r w:rsidR="000523B6">
        <w:rPr>
          <w:b/>
          <w:bCs/>
        </w:rPr>
        <w:t xml:space="preserve"> un intervences loģika</w:t>
      </w:r>
      <w:bookmarkEnd w:id="87"/>
    </w:p>
    <w:p w14:paraId="2D0303AB" w14:textId="18991C93" w:rsidR="00735791" w:rsidRPr="008F64A0" w:rsidRDefault="00735791" w:rsidP="00735791">
      <w:r w:rsidRPr="008F64A0">
        <w:t>IDF</w:t>
      </w:r>
      <w:r w:rsidRPr="008F64A0">
        <w:rPr>
          <w:b/>
          <w:bCs/>
        </w:rPr>
        <w:t xml:space="preserve"> </w:t>
      </w:r>
      <w:r w:rsidRPr="008F64A0">
        <w:t>finansiāla atbalsta instruments policijas sadarbībai, noziedzības novēršanai un apkarošanai un krīžu pārvarēšanai ir izveidots atbilstoši ES Regulai Nr. 51</w:t>
      </w:r>
      <w:r w:rsidR="00D209FB" w:rsidRPr="008F64A0">
        <w:t>3</w:t>
      </w:r>
      <w:r w:rsidRPr="008F64A0">
        <w:t>/2014, un tā vispārīgais mērķis</w:t>
      </w:r>
      <w:r w:rsidR="00D209FB" w:rsidRPr="008F64A0">
        <w:t xml:space="preserve"> ir</w:t>
      </w:r>
      <w:r w:rsidRPr="008F64A0">
        <w:t xml:space="preserve"> </w:t>
      </w:r>
      <w:r w:rsidR="00D209FB" w:rsidRPr="008F64A0">
        <w:t>veicināt augsta drošības līmeņa nodrošināšanu Savienībā</w:t>
      </w:r>
      <w:r w:rsidRPr="008F64A0">
        <w:t>. Vienlaikus regulā ir izvirzīti divi specifiskie mērķi</w:t>
      </w:r>
      <w:r w:rsidR="006226A7">
        <w:t xml:space="preserve"> (</w:t>
      </w:r>
      <w:r w:rsidRPr="008F64A0">
        <w:fldChar w:fldCharType="begin"/>
      </w:r>
      <w:r w:rsidRPr="008F64A0">
        <w:instrText xml:space="preserve"> REF _Ref189690978 \h </w:instrText>
      </w:r>
      <w:r w:rsidRPr="008F64A0">
        <w:fldChar w:fldCharType="separate"/>
      </w:r>
      <w:r w:rsidR="000523B6" w:rsidRPr="008F64A0">
        <w:t xml:space="preserve">Tabula </w:t>
      </w:r>
      <w:r w:rsidR="000523B6">
        <w:rPr>
          <w:noProof/>
        </w:rPr>
        <w:t>5</w:t>
      </w:r>
      <w:r w:rsidRPr="008F64A0">
        <w:fldChar w:fldCharType="end"/>
      </w:r>
      <w:r w:rsidR="006226A7">
        <w:t>)</w:t>
      </w:r>
      <w:r w:rsidRPr="008F64A0">
        <w:t xml:space="preserve">. </w:t>
      </w:r>
    </w:p>
    <w:p w14:paraId="67B0832C" w14:textId="68338342" w:rsidR="00735791" w:rsidRPr="008F64A0" w:rsidRDefault="00735791" w:rsidP="00735791">
      <w:r w:rsidRPr="008F64A0">
        <w:t>Atbilstoši ES Regulas Nr. 51</w:t>
      </w:r>
      <w:r w:rsidR="00770C36" w:rsidRPr="008F64A0">
        <w:t>3</w:t>
      </w:r>
      <w:r w:rsidRPr="008F64A0">
        <w:t xml:space="preserve">/2014 </w:t>
      </w:r>
      <w:r w:rsidR="00770C36" w:rsidRPr="008F64A0">
        <w:t>7</w:t>
      </w:r>
      <w:r w:rsidRPr="008F64A0">
        <w:t>.pantam un ES Regulas Nr. 514/2014 14.</w:t>
      </w:r>
      <w:r w:rsidR="00EE2B9B">
        <w:t xml:space="preserve"> </w:t>
      </w:r>
      <w:r w:rsidRPr="008F64A0">
        <w:t xml:space="preserve">pantam, tika izstrādāta </w:t>
      </w:r>
      <w:r w:rsidR="00E21F41">
        <w:t>IDF</w:t>
      </w:r>
      <w:r w:rsidRPr="008F64A0">
        <w:t xml:space="preserve"> nacionālā programma, kuras sākotnējo versiju </w:t>
      </w:r>
      <w:r w:rsidR="00777E7E">
        <w:t>EK</w:t>
      </w:r>
      <w:r w:rsidRPr="008F64A0">
        <w:t xml:space="preserve"> apstiprināja 2015. gada 17. decembrī.</w:t>
      </w:r>
      <w:r w:rsidRPr="008F64A0">
        <w:rPr>
          <w:rStyle w:val="Vresatsauce"/>
        </w:rPr>
        <w:footnoteReference w:id="54"/>
      </w:r>
      <w:r w:rsidRPr="008F64A0">
        <w:t xml:space="preserve"> IDF nacionālajā programmā ir ietverti plānotie pasākumi gan finansiāla atbalsta instrumenta ārējām robežām un vīzām ietvaros, gan finansiāla atbalsta instrumenta policijas sadarbībai, noziedzības novēršanai un apkarošanai un krīžu pārvarēšanai ietvaros. </w:t>
      </w:r>
    </w:p>
    <w:p w14:paraId="79A516D5" w14:textId="62E9E4B5" w:rsidR="00735791" w:rsidRPr="008F64A0" w:rsidRDefault="00735791" w:rsidP="00735791">
      <w:r w:rsidRPr="008F64A0">
        <w:t>IDF nacionālajā programmā atbilstoši ES Regulas Nr. 51</w:t>
      </w:r>
      <w:r w:rsidR="00770C36" w:rsidRPr="008F64A0">
        <w:t>3</w:t>
      </w:r>
      <w:r w:rsidRPr="008F64A0">
        <w:t>/2014 noteiktajiem specifiskajiem mērķiem tika definētas konkrētas aktivitātes šo mērķu sasniegšanai (</w:t>
      </w:r>
      <w:r w:rsidRPr="008F64A0">
        <w:fldChar w:fldCharType="begin"/>
      </w:r>
      <w:r w:rsidRPr="008F64A0">
        <w:instrText xml:space="preserve"> REF _Ref189690978 \h </w:instrText>
      </w:r>
      <w:r w:rsidRPr="008F64A0">
        <w:fldChar w:fldCharType="separate"/>
      </w:r>
      <w:r w:rsidR="000523B6" w:rsidRPr="008F64A0">
        <w:t xml:space="preserve">Tabula </w:t>
      </w:r>
      <w:r w:rsidR="000523B6">
        <w:rPr>
          <w:noProof/>
        </w:rPr>
        <w:t>5</w:t>
      </w:r>
      <w:r w:rsidRPr="008F64A0">
        <w:fldChar w:fldCharType="end"/>
      </w:r>
      <w:r w:rsidRPr="008F64A0">
        <w:t xml:space="preserve">). Programmas īstenošanas gaitā IDF nacionālā programmā sešas reizes tikuši veikti grozījumi, t.sk. mainot sākotnēji plānotās aktivitātes un paredzēto budžetu un tā sadalījumu. </w:t>
      </w:r>
      <w:r w:rsidR="00B63BF5">
        <w:fldChar w:fldCharType="begin"/>
      </w:r>
      <w:r w:rsidR="00B63BF5">
        <w:instrText xml:space="preserve"> REF _Ref190334393 \h </w:instrText>
      </w:r>
      <w:r w:rsidR="00B63BF5">
        <w:fldChar w:fldCharType="separate"/>
      </w:r>
      <w:r w:rsidR="000523B6" w:rsidRPr="008F64A0">
        <w:t>Tabul</w:t>
      </w:r>
      <w:r w:rsidR="0043701B">
        <w:t>ā .</w:t>
      </w:r>
      <w:r w:rsidR="000523B6" w:rsidRPr="008F64A0">
        <w:t xml:space="preserve"> </w:t>
      </w:r>
      <w:r w:rsidR="000523B6">
        <w:rPr>
          <w:noProof/>
        </w:rPr>
        <w:t>5</w:t>
      </w:r>
      <w:r w:rsidR="000523B6" w:rsidRPr="008F64A0">
        <w:t xml:space="preserve"> Nacionālajā programmā paredzētās aktivitātes atbilstoši PMIF specifiskajiem mērķiem</w:t>
      </w:r>
      <w:r w:rsidR="00B63BF5">
        <w:fldChar w:fldCharType="end"/>
      </w:r>
      <w:r w:rsidR="00B63BF5">
        <w:t xml:space="preserve"> ietvertā informācija atbilst IDF nacionālās programmas pēdējai aktuālajai versijai.</w:t>
      </w:r>
    </w:p>
    <w:p w14:paraId="4D69E024" w14:textId="5EA97CFB" w:rsidR="00735791" w:rsidRPr="008F64A0" w:rsidRDefault="00735791" w:rsidP="00735791">
      <w:pPr>
        <w:pStyle w:val="TableTitle"/>
      </w:pPr>
      <w:bookmarkStart w:id="88" w:name="_Ref189690978"/>
      <w:bookmarkStart w:id="89" w:name="_Ref190334393"/>
      <w:r w:rsidRPr="008F64A0">
        <w:t xml:space="preserve">Tabula </w:t>
      </w:r>
      <w:r w:rsidRPr="008F64A0">
        <w:fldChar w:fldCharType="begin"/>
      </w:r>
      <w:r w:rsidRPr="008F64A0">
        <w:instrText xml:space="preserve"> SEQ Tabula \* ARABIC </w:instrText>
      </w:r>
      <w:r w:rsidRPr="008F64A0">
        <w:fldChar w:fldCharType="separate"/>
      </w:r>
      <w:r w:rsidR="000523B6">
        <w:t>5</w:t>
      </w:r>
      <w:r w:rsidRPr="008F64A0">
        <w:fldChar w:fldCharType="end"/>
      </w:r>
      <w:bookmarkEnd w:id="88"/>
      <w:r w:rsidR="006F3D9A">
        <w:t>.</w:t>
      </w:r>
      <w:r w:rsidRPr="008F64A0">
        <w:t xml:space="preserve"> Nacionālajā programmā paredzētās aktivitātes atbilstoši PMIF specifiskajiem mērķiem</w:t>
      </w:r>
      <w:bookmarkEnd w:id="89"/>
    </w:p>
    <w:tbl>
      <w:tblPr>
        <w:tblStyle w:val="Reatabula"/>
        <w:tblW w:w="10343" w:type="dxa"/>
        <w:tblLook w:val="04A0" w:firstRow="1" w:lastRow="0" w:firstColumn="1" w:lastColumn="0" w:noHBand="0" w:noVBand="1"/>
      </w:tblPr>
      <w:tblGrid>
        <w:gridCol w:w="5524"/>
        <w:gridCol w:w="4819"/>
      </w:tblGrid>
      <w:tr w:rsidR="00735791" w:rsidRPr="008F64A0" w14:paraId="684123DA" w14:textId="77777777" w:rsidTr="00A239D8">
        <w:trPr>
          <w:trHeight w:val="610"/>
        </w:trPr>
        <w:tc>
          <w:tcPr>
            <w:tcW w:w="5524" w:type="dxa"/>
            <w:shd w:val="clear" w:color="auto" w:fill="40004D" w:themeFill="accent6" w:themeFillShade="80"/>
          </w:tcPr>
          <w:p w14:paraId="71C89B2B" w14:textId="77777777" w:rsidR="00735791" w:rsidRPr="008F64A0" w:rsidRDefault="00735791" w:rsidP="00A239D8">
            <w:pPr>
              <w:rPr>
                <w:b/>
                <w:bCs/>
              </w:rPr>
            </w:pPr>
            <w:r w:rsidRPr="008F64A0">
              <w:rPr>
                <w:b/>
                <w:bCs/>
              </w:rPr>
              <w:t>IDF robežas un vīzas specifiskais mērķis</w:t>
            </w:r>
          </w:p>
        </w:tc>
        <w:tc>
          <w:tcPr>
            <w:tcW w:w="4819" w:type="dxa"/>
            <w:shd w:val="clear" w:color="auto" w:fill="40004D" w:themeFill="accent6" w:themeFillShade="80"/>
          </w:tcPr>
          <w:p w14:paraId="37F5B583" w14:textId="77777777" w:rsidR="00735791" w:rsidRPr="008F64A0" w:rsidRDefault="00735791" w:rsidP="00A239D8">
            <w:pPr>
              <w:rPr>
                <w:b/>
                <w:bCs/>
              </w:rPr>
            </w:pPr>
            <w:r w:rsidRPr="008F64A0">
              <w:rPr>
                <w:b/>
                <w:bCs/>
              </w:rPr>
              <w:t>IDF nacionālajā programmā paredzētās aktivitātes</w:t>
            </w:r>
          </w:p>
        </w:tc>
      </w:tr>
      <w:tr w:rsidR="00FE0557" w:rsidRPr="008F64A0" w14:paraId="138C973F" w14:textId="77777777" w:rsidTr="00A239D8">
        <w:trPr>
          <w:trHeight w:val="288"/>
        </w:trPr>
        <w:tc>
          <w:tcPr>
            <w:tcW w:w="5524" w:type="dxa"/>
            <w:vMerge w:val="restart"/>
          </w:tcPr>
          <w:p w14:paraId="2609440E" w14:textId="5D8C206D" w:rsidR="00FE0557" w:rsidRPr="008F64A0" w:rsidRDefault="00FE0557" w:rsidP="00A239D8">
            <w:r w:rsidRPr="008F64A0">
              <w:t>SM</w:t>
            </w:r>
            <w:r w:rsidR="002263B7">
              <w:t>5</w:t>
            </w:r>
            <w:r w:rsidRPr="008F64A0">
              <w:t>. Novērst noziegumus un apkarot pārrobežu un smagus noziegumus un organizēto noziedzību, tostarp terorismu, un pastiprināt koordināciju un sadarbību starp dalībvalstu tiesībaizsardzības iestādēm un citām valsts iestādēm, tostarp ar Eiropolu vai citām attiecīgajām Savienības struktūrām, un ar attiecīgām trešām valstīm un starptautiskajām organizācijām</w:t>
            </w:r>
          </w:p>
        </w:tc>
        <w:tc>
          <w:tcPr>
            <w:tcW w:w="4819" w:type="dxa"/>
          </w:tcPr>
          <w:p w14:paraId="4C84891A" w14:textId="68D69727" w:rsidR="00FE0557" w:rsidRPr="008F64A0" w:rsidRDefault="00FE0557" w:rsidP="000B0D8A">
            <w:r w:rsidRPr="008F64A0">
              <w:t xml:space="preserve">12. </w:t>
            </w:r>
            <w:r w:rsidR="00D550B1" w:rsidRPr="008F64A0">
              <w:t>Tiesu ekspertīžu dienestu kapacitātes celšana</w:t>
            </w:r>
          </w:p>
        </w:tc>
      </w:tr>
      <w:tr w:rsidR="00FE0557" w:rsidRPr="008F64A0" w14:paraId="35DB1C54" w14:textId="77777777" w:rsidTr="00FE0557">
        <w:trPr>
          <w:trHeight w:val="681"/>
        </w:trPr>
        <w:tc>
          <w:tcPr>
            <w:tcW w:w="5524" w:type="dxa"/>
            <w:vMerge/>
          </w:tcPr>
          <w:p w14:paraId="1392F57A" w14:textId="77777777" w:rsidR="00FE0557" w:rsidRPr="008F64A0" w:rsidRDefault="00FE0557" w:rsidP="00A239D8"/>
        </w:tc>
        <w:tc>
          <w:tcPr>
            <w:tcW w:w="4819" w:type="dxa"/>
          </w:tcPr>
          <w:p w14:paraId="07DFF588" w14:textId="5DC6304F" w:rsidR="00FE0557" w:rsidRPr="008F64A0" w:rsidRDefault="00FE0557" w:rsidP="00E32BBF">
            <w:r w:rsidRPr="008F64A0">
              <w:t xml:space="preserve">13. </w:t>
            </w:r>
            <w:r w:rsidR="00D550B1" w:rsidRPr="008F64A0">
              <w:t>Kapacitātes celšana kibernoziegumu novēršanai un apkarošanai</w:t>
            </w:r>
          </w:p>
        </w:tc>
      </w:tr>
      <w:tr w:rsidR="00FE0557" w:rsidRPr="008F64A0" w14:paraId="26D59DF6" w14:textId="77777777" w:rsidTr="00A239D8">
        <w:trPr>
          <w:trHeight w:val="1050"/>
        </w:trPr>
        <w:tc>
          <w:tcPr>
            <w:tcW w:w="5524" w:type="dxa"/>
            <w:vMerge/>
          </w:tcPr>
          <w:p w14:paraId="1599B969" w14:textId="77777777" w:rsidR="00FE0557" w:rsidRPr="008F64A0" w:rsidRDefault="00FE0557" w:rsidP="00A239D8"/>
        </w:tc>
        <w:tc>
          <w:tcPr>
            <w:tcW w:w="4819" w:type="dxa"/>
          </w:tcPr>
          <w:p w14:paraId="456AA1FF" w14:textId="20BAAEC0" w:rsidR="00FE0557" w:rsidRPr="008F64A0" w:rsidRDefault="00FE0557" w:rsidP="00E32BBF">
            <w:r w:rsidRPr="008F64A0">
              <w:t xml:space="preserve">14’. </w:t>
            </w:r>
            <w:r w:rsidR="00D550B1" w:rsidRPr="008F64A0">
              <w:t>Spēju stiprināšana cīņā pret smago un organizēto pārrobežu noziedzību</w:t>
            </w:r>
          </w:p>
        </w:tc>
      </w:tr>
      <w:tr w:rsidR="00FE0557" w:rsidRPr="008F64A0" w14:paraId="0CA1E2E1" w14:textId="77777777" w:rsidTr="00ED2635">
        <w:trPr>
          <w:trHeight w:val="792"/>
        </w:trPr>
        <w:tc>
          <w:tcPr>
            <w:tcW w:w="5524" w:type="dxa"/>
            <w:vMerge/>
          </w:tcPr>
          <w:p w14:paraId="638E0235" w14:textId="77777777" w:rsidR="00FE0557" w:rsidRPr="008F64A0" w:rsidRDefault="00FE0557" w:rsidP="00A239D8"/>
        </w:tc>
        <w:tc>
          <w:tcPr>
            <w:tcW w:w="4819" w:type="dxa"/>
          </w:tcPr>
          <w:p w14:paraId="59F7A5D6" w14:textId="2BFAF27E" w:rsidR="00FE0557" w:rsidRPr="008F64A0" w:rsidRDefault="00FE0557" w:rsidP="00E32BBF">
            <w:r w:rsidRPr="008F64A0">
              <w:t xml:space="preserve">15. </w:t>
            </w:r>
            <w:r w:rsidR="00F00E88" w:rsidRPr="008F64A0">
              <w:t>Nacionālā</w:t>
            </w:r>
            <w:r w:rsidR="00D550B1" w:rsidRPr="008F64A0">
              <w:t xml:space="preserve"> kriminālinformācijas modeļa ieviešana un integrācija ES politikas ciklā</w:t>
            </w:r>
          </w:p>
        </w:tc>
      </w:tr>
      <w:tr w:rsidR="00FE0557" w:rsidRPr="008F64A0" w14:paraId="2A8E08E8" w14:textId="77777777" w:rsidTr="00ED2635">
        <w:trPr>
          <w:trHeight w:val="752"/>
        </w:trPr>
        <w:tc>
          <w:tcPr>
            <w:tcW w:w="5524" w:type="dxa"/>
            <w:vMerge/>
          </w:tcPr>
          <w:p w14:paraId="05E1136A" w14:textId="77777777" w:rsidR="00FE0557" w:rsidRPr="008F64A0" w:rsidRDefault="00FE0557" w:rsidP="00A239D8"/>
        </w:tc>
        <w:tc>
          <w:tcPr>
            <w:tcW w:w="4819" w:type="dxa"/>
          </w:tcPr>
          <w:p w14:paraId="26B28B12" w14:textId="6F675F1E" w:rsidR="00FE0557" w:rsidRPr="008F64A0" w:rsidRDefault="00FE0557" w:rsidP="00E32BBF">
            <w:r w:rsidRPr="008F64A0">
              <w:t xml:space="preserve">16. </w:t>
            </w:r>
            <w:r w:rsidR="005C36F7" w:rsidRPr="008F64A0">
              <w:t>Iekšlietu informācijas sistēmas uzlabošana automātiskai datu apmaiņai ar ECRIS</w:t>
            </w:r>
          </w:p>
        </w:tc>
      </w:tr>
      <w:tr w:rsidR="00FE0557" w:rsidRPr="008F64A0" w14:paraId="005B3C40" w14:textId="77777777" w:rsidTr="00ED2635">
        <w:trPr>
          <w:trHeight w:val="697"/>
        </w:trPr>
        <w:tc>
          <w:tcPr>
            <w:tcW w:w="5524" w:type="dxa"/>
            <w:vMerge/>
          </w:tcPr>
          <w:p w14:paraId="316B5962" w14:textId="77777777" w:rsidR="00FE0557" w:rsidRPr="008F64A0" w:rsidRDefault="00FE0557" w:rsidP="00A239D8"/>
        </w:tc>
        <w:tc>
          <w:tcPr>
            <w:tcW w:w="4819" w:type="dxa"/>
          </w:tcPr>
          <w:p w14:paraId="7E50E482" w14:textId="6C6D2B1E" w:rsidR="00FE0557" w:rsidRPr="008F64A0" w:rsidRDefault="00FE0557" w:rsidP="00E32BBF">
            <w:r w:rsidRPr="008F64A0">
              <w:t xml:space="preserve">16`. </w:t>
            </w:r>
            <w:r w:rsidR="006E3D78" w:rsidRPr="008F64A0">
              <w:t>Pasažieru datu reģistra un Pasažieru informācijas nodaļas tālāka attīstība</w:t>
            </w:r>
          </w:p>
        </w:tc>
      </w:tr>
      <w:tr w:rsidR="00735791" w:rsidRPr="008F64A0" w14:paraId="49762A74" w14:textId="77777777" w:rsidTr="00A239D8">
        <w:trPr>
          <w:trHeight w:val="410"/>
        </w:trPr>
        <w:tc>
          <w:tcPr>
            <w:tcW w:w="5524" w:type="dxa"/>
            <w:vMerge w:val="restart"/>
          </w:tcPr>
          <w:p w14:paraId="31DA85A7" w14:textId="12D4F0A7" w:rsidR="00735791" w:rsidRPr="008F64A0" w:rsidRDefault="00735791" w:rsidP="00A239D8">
            <w:r w:rsidRPr="008F64A0">
              <w:t>SM</w:t>
            </w:r>
            <w:r w:rsidR="002263B7">
              <w:t>6</w:t>
            </w:r>
            <w:r w:rsidRPr="008F64A0">
              <w:t xml:space="preserve">. </w:t>
            </w:r>
            <w:r w:rsidR="008B6245" w:rsidRPr="008F64A0">
              <w:t>Palielināt dalībvalstu un Savienības spēju efektīvi pārvaldīt ar drošību saistītus riskus un krīzes un sagatavoties cilvēku un kritiskās infrastruktūras aizsardzībai pret teroristu uzbrukumiem un citiem ar drošību saistītiem negadījumiem</w:t>
            </w:r>
          </w:p>
        </w:tc>
        <w:tc>
          <w:tcPr>
            <w:tcW w:w="4819" w:type="dxa"/>
          </w:tcPr>
          <w:p w14:paraId="274627EB" w14:textId="1A5AC4E5" w:rsidR="00735791" w:rsidRPr="008F64A0" w:rsidRDefault="00FE0557" w:rsidP="00FE0557">
            <w:r w:rsidRPr="008F64A0">
              <w:t xml:space="preserve">18. </w:t>
            </w:r>
            <w:r w:rsidR="00B500E9" w:rsidRPr="008F64A0">
              <w:t>OMEGA darbības spēju uzlabošana ārkārtas situācijās un personāla kapacitātes celšana</w:t>
            </w:r>
          </w:p>
        </w:tc>
      </w:tr>
      <w:tr w:rsidR="00735791" w:rsidRPr="008F64A0" w14:paraId="3F625899" w14:textId="77777777" w:rsidTr="00A239D8">
        <w:trPr>
          <w:trHeight w:val="408"/>
        </w:trPr>
        <w:tc>
          <w:tcPr>
            <w:tcW w:w="5524" w:type="dxa"/>
            <w:vMerge/>
          </w:tcPr>
          <w:p w14:paraId="554773F0" w14:textId="77777777" w:rsidR="00735791" w:rsidRPr="008F64A0" w:rsidRDefault="00735791" w:rsidP="00A239D8"/>
        </w:tc>
        <w:tc>
          <w:tcPr>
            <w:tcW w:w="4819" w:type="dxa"/>
          </w:tcPr>
          <w:p w14:paraId="3137A930" w14:textId="105E4A12" w:rsidR="00735791" w:rsidRPr="008F64A0" w:rsidRDefault="00FE0557" w:rsidP="00ED2635">
            <w:r w:rsidRPr="008F64A0">
              <w:t xml:space="preserve">20. </w:t>
            </w:r>
            <w:r w:rsidR="00ED2635" w:rsidRPr="008F64A0">
              <w:t>Operatīvo dienestu CBRNE reaģēšanas prasmju un personāla kapacitātes uzlabošana</w:t>
            </w:r>
          </w:p>
        </w:tc>
      </w:tr>
    </w:tbl>
    <w:p w14:paraId="24641125" w14:textId="77777777" w:rsidR="00735791" w:rsidRPr="00E7584F" w:rsidRDefault="00735791" w:rsidP="00735791">
      <w:pPr>
        <w:jc w:val="right"/>
        <w:rPr>
          <w:rStyle w:val="Izsmalcintsizclums"/>
        </w:rPr>
      </w:pPr>
      <w:r w:rsidRPr="00E7584F">
        <w:rPr>
          <w:rStyle w:val="Izsmalcintsizclums"/>
        </w:rPr>
        <w:t>Avots: IDF nacionālā programma</w:t>
      </w:r>
    </w:p>
    <w:p w14:paraId="2DF27390" w14:textId="32119866" w:rsidR="00735791" w:rsidRPr="008F64A0" w:rsidRDefault="00735791" w:rsidP="00735791">
      <w:r w:rsidRPr="008F64A0">
        <w:t xml:space="preserve">Lai nodrošinātu IDF nacionālajā programmā paredzēto aktivitāšu ieviešanu </w:t>
      </w:r>
      <w:r w:rsidR="00E512CB" w:rsidRPr="008F64A0">
        <w:t>policijas, noziedzības un krīžu</w:t>
      </w:r>
      <w:r w:rsidRPr="008F64A0">
        <w:t xml:space="preserve"> jomā, kopumā ir tikuši īstenoti  </w:t>
      </w:r>
      <w:r w:rsidR="00074D06" w:rsidRPr="008F64A0">
        <w:t>1</w:t>
      </w:r>
      <w:r w:rsidR="003A26FA" w:rsidRPr="008F64A0">
        <w:t>1</w:t>
      </w:r>
      <w:r w:rsidRPr="008F64A0">
        <w:t xml:space="preserve"> projekti</w:t>
      </w:r>
      <w:r w:rsidRPr="008F64A0">
        <w:rPr>
          <w:rStyle w:val="Vresatsauce"/>
        </w:rPr>
        <w:footnoteReference w:id="55"/>
      </w:r>
      <w:r w:rsidRPr="008F64A0">
        <w:t xml:space="preserve">, kurus īstenoja </w:t>
      </w:r>
      <w:r w:rsidR="003A26FA" w:rsidRPr="008F64A0">
        <w:t>trīs</w:t>
      </w:r>
      <w:r w:rsidRPr="008F64A0">
        <w:t xml:space="preserve"> dažādas iestādes — </w:t>
      </w:r>
      <w:r w:rsidR="008F375F">
        <w:t>VP</w:t>
      </w:r>
      <w:r w:rsidRPr="008F64A0">
        <w:t xml:space="preserve">, </w:t>
      </w:r>
      <w:r w:rsidR="00207C65">
        <w:t>IeM IC</w:t>
      </w:r>
      <w:r w:rsidR="003A26FA" w:rsidRPr="008F64A0">
        <w:t xml:space="preserve"> </w:t>
      </w:r>
      <w:r w:rsidRPr="008F64A0">
        <w:t xml:space="preserve">un </w:t>
      </w:r>
      <w:r w:rsidR="0063083B">
        <w:t>VUGD</w:t>
      </w:r>
      <w:r w:rsidRPr="008F64A0">
        <w:t xml:space="preserve">. </w:t>
      </w:r>
    </w:p>
    <w:p w14:paraId="49481ADA" w14:textId="524E16ED" w:rsidR="00735791" w:rsidRPr="008F64A0" w:rsidRDefault="00507107" w:rsidP="00735791">
      <w:r w:rsidRPr="008F64A0">
        <w:t xml:space="preserve">Eiropas bēgļu krīzes </w:t>
      </w:r>
      <w:r>
        <w:t>kontekstā</w:t>
      </w:r>
      <w:r w:rsidR="00735791" w:rsidRPr="008F64A0">
        <w:t xml:space="preserve"> IDF programmas izdevumu attiecināmības termiņš</w:t>
      </w:r>
      <w:r w:rsidRPr="008F64A0">
        <w:t xml:space="preserve"> tika pagarināts</w:t>
      </w:r>
      <w:r w:rsidR="00735791" w:rsidRPr="008F64A0">
        <w:t xml:space="preserve"> no 31.12.2022 līdz 30.06.2024</w:t>
      </w:r>
      <w:r w:rsidR="007021FA">
        <w:t>. Šis</w:t>
      </w:r>
      <w:r w:rsidR="007021FA" w:rsidRPr="008F64A0">
        <w:t xml:space="preserve"> pagarinā</w:t>
      </w:r>
      <w:r w:rsidR="007021FA">
        <w:t>jums ļāva turpināt</w:t>
      </w:r>
      <w:r w:rsidR="007021FA" w:rsidRPr="008F64A0">
        <w:t xml:space="preserve"> vairāku projektu īstenošan</w:t>
      </w:r>
      <w:r w:rsidR="007021FA">
        <w:t>u</w:t>
      </w:r>
      <w:r w:rsidR="007021FA" w:rsidRPr="008F64A0">
        <w:t>.</w:t>
      </w:r>
    </w:p>
    <w:p w14:paraId="1EF82423" w14:textId="209255CE" w:rsidR="00384A63" w:rsidRPr="008F64A0" w:rsidRDefault="00735791" w:rsidP="00384A63">
      <w:pPr>
        <w:tabs>
          <w:tab w:val="num" w:pos="720"/>
        </w:tabs>
      </w:pPr>
      <w:r w:rsidRPr="008F64A0">
        <w:t>Lai sekmētu SM</w:t>
      </w:r>
      <w:r w:rsidR="002263B7">
        <w:t>5</w:t>
      </w:r>
      <w:r w:rsidRPr="008F64A0">
        <w:t xml:space="preserve"> sasniegšanu tika īstenoti tādi pasākumi kā </w:t>
      </w:r>
      <w:r w:rsidR="00384A63" w:rsidRPr="008F64A0">
        <w:t xml:space="preserve">sodu reģistra pilnveidošana automātiskai datu apmaiņai ar ECRIS, DNS, ballistisko, ķīmisko un daktiloskopisko ekspertīžu iekārtu modernizācija, Ekspertīžu laboratorijas </w:t>
      </w:r>
      <w:r w:rsidR="001B7FB1">
        <w:t>IS</w:t>
      </w:r>
      <w:r w:rsidR="00384A63" w:rsidRPr="008F64A0">
        <w:t xml:space="preserve"> (ELIS) ieviešana, kibernoziedzības apkarošanas spēju un kriminālizlūkošanas metodoloģijas uzlabošana u.c. aktivitātes. </w:t>
      </w:r>
    </w:p>
    <w:p w14:paraId="6751E3DF" w14:textId="79B444EB" w:rsidR="00735791" w:rsidRPr="008F64A0" w:rsidRDefault="00735791" w:rsidP="00735791">
      <w:pPr>
        <w:tabs>
          <w:tab w:val="num" w:pos="720"/>
        </w:tabs>
      </w:pPr>
      <w:r w:rsidRPr="008F64A0">
        <w:t>Savukārt SM</w:t>
      </w:r>
      <w:r w:rsidR="002263B7">
        <w:t>6</w:t>
      </w:r>
      <w:r w:rsidRPr="008F64A0">
        <w:t xml:space="preserve"> ietvaros tika </w:t>
      </w:r>
      <w:r w:rsidR="002B07F0" w:rsidRPr="008F64A0">
        <w:t>uzlabotas VUGD reaģēšanas spējas CBRNE apdraudējumam un izveidots CBRNE mācību poli</w:t>
      </w:r>
      <w:r w:rsidR="005F6058" w:rsidRPr="008F64A0">
        <w:t xml:space="preserve">gons, izveidots specializēts mācību centrs “OMEGA” vienībai un īstenoti pasākumi pretterorisma spēju stiprināšanai speciālajām operācijām. </w:t>
      </w:r>
      <w:r w:rsidRPr="008F64A0">
        <w:t xml:space="preserve"> </w:t>
      </w:r>
    </w:p>
    <w:p w14:paraId="4B9FC657" w14:textId="2B9708EE" w:rsidR="00735791" w:rsidRPr="008F64A0" w:rsidRDefault="00735791" w:rsidP="00735791">
      <w:r w:rsidRPr="008F64A0">
        <w:t xml:space="preserve">Pilns IDF </w:t>
      </w:r>
      <w:r w:rsidR="003A26FA" w:rsidRPr="008F64A0">
        <w:t>policijai, noziedzībai un krīzēm</w:t>
      </w:r>
      <w:r w:rsidRPr="008F64A0">
        <w:t xml:space="preserve"> ietvaros īstenoto projektu saraksts pieejams Pielikumā Nr.</w:t>
      </w:r>
      <w:r w:rsidR="00EE2B9B">
        <w:t xml:space="preserve"> </w:t>
      </w:r>
      <w:r w:rsidR="003A26FA" w:rsidRPr="008F64A0">
        <w:t>3</w:t>
      </w:r>
      <w:r w:rsidRPr="008F64A0">
        <w:t xml:space="preserve">. </w:t>
      </w:r>
    </w:p>
    <w:p w14:paraId="4B88D9C3" w14:textId="7ADDAC0B" w:rsidR="00735791" w:rsidRDefault="00735791" w:rsidP="00735791">
      <w:r w:rsidRPr="008F64A0">
        <w:t xml:space="preserve">Kopumā IDF nacionālās programmas ietvaros </w:t>
      </w:r>
      <w:r w:rsidR="003A26FA" w:rsidRPr="008F64A0">
        <w:t>policijai, noziedzībai un krīzēm</w:t>
      </w:r>
      <w:r w:rsidRPr="008F64A0">
        <w:t xml:space="preserve"> paredzēto aktivitāšu īstenošanai bija pieejami </w:t>
      </w:r>
      <w:r w:rsidR="002233B1" w:rsidRPr="008F64A0">
        <w:t>19,3</w:t>
      </w:r>
      <w:r w:rsidRPr="008F64A0">
        <w:t xml:space="preserve"> miljoni </w:t>
      </w:r>
      <w:r w:rsidRPr="008F64A0">
        <w:rPr>
          <w:i/>
          <w:iCs/>
        </w:rPr>
        <w:t xml:space="preserve">euro, </w:t>
      </w:r>
      <w:r w:rsidRPr="008F64A0">
        <w:t xml:space="preserve">no kuriem apgūti </w:t>
      </w:r>
      <w:r w:rsidR="002233B1" w:rsidRPr="008F64A0">
        <w:t>99</w:t>
      </w:r>
      <w:r w:rsidRPr="008F64A0">
        <w:t xml:space="preserve"> % jeb </w:t>
      </w:r>
      <w:r w:rsidR="002233B1" w:rsidRPr="008F64A0">
        <w:t>19,1</w:t>
      </w:r>
      <w:r w:rsidRPr="008F64A0">
        <w:t xml:space="preserve"> miljoni </w:t>
      </w:r>
      <w:r w:rsidRPr="008F64A0">
        <w:rPr>
          <w:i/>
          <w:iCs/>
        </w:rPr>
        <w:t xml:space="preserve">euro </w:t>
      </w:r>
      <w:r w:rsidRPr="008F64A0">
        <w:t xml:space="preserve">(detalizētāk par finansējuma apguvi IDF </w:t>
      </w:r>
      <w:r w:rsidR="002233B1" w:rsidRPr="008F64A0">
        <w:t>policijai, noziedzībai un krīzēm</w:t>
      </w:r>
      <w:r w:rsidRPr="008F64A0">
        <w:t xml:space="preserve"> ietvaros skat. 3.2.2. nodaļā). </w:t>
      </w:r>
    </w:p>
    <w:p w14:paraId="531270D3" w14:textId="1EB1E809" w:rsidR="00DD5928" w:rsidRDefault="00DD5928" w:rsidP="00735791">
      <w:r>
        <w:t xml:space="preserve">IDF vīzām un robežām ieguldījumi un īstenotie pasākumi ir bijuši vērsti uz konkrētu izaicinājumu risināšanu, sasniedzot konkrētus rezultatīvos rādītājus. Programmas intervences loģika ir atspoguļota </w:t>
      </w:r>
      <w:r w:rsidR="009E1AA7">
        <w:t>attēlā Nr. 29</w:t>
      </w:r>
      <w:r>
        <w:t xml:space="preserve">, savukārt detalizēts intervences loģikas apraksts ir pieejams Pielikumā Nr. 5. </w:t>
      </w:r>
    </w:p>
    <w:p w14:paraId="1D57A19B" w14:textId="77777777" w:rsidR="00DD5928" w:rsidRDefault="00DD5928">
      <w:pPr>
        <w:spacing w:before="0" w:after="160" w:line="259" w:lineRule="auto"/>
        <w:jc w:val="left"/>
        <w:sectPr w:rsidR="00DD5928" w:rsidSect="00771613">
          <w:pgSz w:w="11906" w:h="16838"/>
          <w:pgMar w:top="1474" w:right="822" w:bottom="1474" w:left="822" w:header="709" w:footer="709" w:gutter="0"/>
          <w:cols w:space="708"/>
          <w:docGrid w:linePitch="360"/>
        </w:sectPr>
      </w:pPr>
    </w:p>
    <w:p w14:paraId="649E1FF1" w14:textId="77777777" w:rsidR="00DD5928" w:rsidRDefault="00DD5928">
      <w:pPr>
        <w:spacing w:before="0" w:after="160" w:line="259" w:lineRule="auto"/>
        <w:jc w:val="left"/>
      </w:pPr>
    </w:p>
    <w:p w14:paraId="14BF77FF" w14:textId="5778F0B4" w:rsidR="000E4B55" w:rsidRPr="000E4B55" w:rsidRDefault="008507A5" w:rsidP="000E4B55">
      <w:pPr>
        <w:pStyle w:val="GraphTitle"/>
      </w:pPr>
      <w:bookmarkStart w:id="90" w:name="_Ref191999983"/>
      <w:bookmarkStart w:id="91" w:name="_Ref192000076"/>
      <w:r>
        <w:t xml:space="preserve">Attēls </w:t>
      </w:r>
      <w:r>
        <w:fldChar w:fldCharType="begin"/>
      </w:r>
      <w:r>
        <w:instrText xml:space="preserve"> SEQ Attēls \* ARABIC </w:instrText>
      </w:r>
      <w:r>
        <w:fldChar w:fldCharType="separate"/>
      </w:r>
      <w:r w:rsidR="000523B6">
        <w:t>29</w:t>
      </w:r>
      <w:r>
        <w:fldChar w:fldCharType="end"/>
      </w:r>
      <w:bookmarkEnd w:id="90"/>
      <w:r w:rsidR="006F3D9A">
        <w:t>.</w:t>
      </w:r>
      <w:r>
        <w:t xml:space="preserve"> IDF policijai, noziedzībai un krīzēm intervences loģika</w:t>
      </w:r>
      <w:bookmarkEnd w:id="91"/>
    </w:p>
    <w:p w14:paraId="21450139" w14:textId="20F979DC" w:rsidR="00DD5928" w:rsidRDefault="008507A5">
      <w:pPr>
        <w:spacing w:before="0" w:after="160" w:line="259" w:lineRule="auto"/>
        <w:jc w:val="left"/>
      </w:pPr>
      <w:r>
        <w:rPr>
          <w:noProof/>
        </w:rPr>
        <w:drawing>
          <wp:inline distT="0" distB="0" distL="0" distR="0" wp14:anchorId="02234988" wp14:editId="4C294CA7">
            <wp:extent cx="9327546" cy="4611329"/>
            <wp:effectExtent l="0" t="0" r="6985" b="0"/>
            <wp:docPr id="134934454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56097" cy="4625444"/>
                    </a:xfrm>
                    <a:prstGeom prst="rect">
                      <a:avLst/>
                    </a:prstGeom>
                    <a:noFill/>
                  </pic:spPr>
                </pic:pic>
              </a:graphicData>
            </a:graphic>
          </wp:inline>
        </w:drawing>
      </w:r>
      <w:r w:rsidR="00DD5928">
        <w:br w:type="page"/>
      </w:r>
    </w:p>
    <w:p w14:paraId="45DF8024" w14:textId="77777777" w:rsidR="00DD5928" w:rsidRDefault="00DD5928" w:rsidP="00BF4167">
      <w:pPr>
        <w:pStyle w:val="Virsraksts2"/>
        <w:numPr>
          <w:ilvl w:val="1"/>
          <w:numId w:val="42"/>
        </w:numPr>
        <w:ind w:left="360" w:hanging="360"/>
        <w:rPr>
          <w:b/>
          <w:bCs/>
        </w:rPr>
        <w:sectPr w:rsidR="00DD5928" w:rsidSect="00DD5928">
          <w:pgSz w:w="16838" w:h="11906" w:orient="landscape"/>
          <w:pgMar w:top="822" w:right="1474" w:bottom="822" w:left="1474" w:header="709" w:footer="709" w:gutter="0"/>
          <w:cols w:space="708"/>
          <w:docGrid w:linePitch="360"/>
        </w:sectPr>
      </w:pPr>
    </w:p>
    <w:p w14:paraId="36A0D958" w14:textId="457C9AB9" w:rsidR="0049533B" w:rsidRPr="008F64A0" w:rsidRDefault="0049533B" w:rsidP="00BF4167">
      <w:pPr>
        <w:pStyle w:val="Virsraksts2"/>
        <w:numPr>
          <w:ilvl w:val="1"/>
          <w:numId w:val="42"/>
        </w:numPr>
        <w:ind w:left="360" w:hanging="360"/>
      </w:pPr>
      <w:bookmarkStart w:id="92" w:name="_Toc193371309"/>
      <w:r w:rsidRPr="008F64A0">
        <w:rPr>
          <w:b/>
          <w:bCs/>
        </w:rPr>
        <w:lastRenderedPageBreak/>
        <w:t>IDF finansiāl</w:t>
      </w:r>
      <w:r w:rsidR="00D62F7C" w:rsidRPr="008F64A0">
        <w:rPr>
          <w:b/>
          <w:bCs/>
        </w:rPr>
        <w:t>a</w:t>
      </w:r>
      <w:r w:rsidRPr="008F64A0">
        <w:rPr>
          <w:b/>
          <w:bCs/>
        </w:rPr>
        <w:t xml:space="preserve"> atbalsta instrumenta </w:t>
      </w:r>
      <w:r w:rsidR="005D4DA5" w:rsidRPr="008F64A0">
        <w:rPr>
          <w:b/>
          <w:bCs/>
        </w:rPr>
        <w:t>policijas sadarbībai, noziedzības novēršanai un apkarošanai un krīžu pārvarēšanai</w:t>
      </w:r>
      <w:r w:rsidRPr="008F64A0">
        <w:t xml:space="preserve"> izvērtējuma konstatējumi</w:t>
      </w:r>
      <w:bookmarkEnd w:id="92"/>
      <w:r w:rsidRPr="008F64A0">
        <w:t xml:space="preserve"> </w:t>
      </w:r>
    </w:p>
    <w:p w14:paraId="53BEDC2F" w14:textId="77777777" w:rsidR="0049533B" w:rsidRPr="008F64A0" w:rsidRDefault="0049533B" w:rsidP="00BF4167">
      <w:pPr>
        <w:pStyle w:val="Sarakstarindkopa"/>
        <w:numPr>
          <w:ilvl w:val="2"/>
          <w:numId w:val="42"/>
        </w:numPr>
        <w:rPr>
          <w:b/>
        </w:rPr>
      </w:pPr>
      <w:r w:rsidRPr="008F64A0">
        <w:rPr>
          <w:b/>
        </w:rPr>
        <w:t>Kritērijs “Efektivitāte”</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3500D63B" w14:textId="77777777" w:rsidTr="00D40533">
        <w:tc>
          <w:tcPr>
            <w:tcW w:w="10252" w:type="dxa"/>
            <w:shd w:val="clear" w:color="auto" w:fill="82009B" w:themeFill="accent6"/>
          </w:tcPr>
          <w:p w14:paraId="5C11E165" w14:textId="0B9E0EA1" w:rsidR="0049533B" w:rsidRPr="008F64A0" w:rsidRDefault="0049533B" w:rsidP="00A239D8">
            <w:pPr>
              <w:rPr>
                <w:b/>
              </w:rPr>
            </w:pPr>
            <w:r w:rsidRPr="008F64A0">
              <w:rPr>
                <w:b/>
              </w:rPr>
              <w:t xml:space="preserve">Izvērtēšanas kritērija jautājums: </w:t>
            </w:r>
            <w:r w:rsidR="004B04C0" w:rsidRPr="008F64A0">
              <w:rPr>
                <w:bCs/>
              </w:rPr>
              <w:t>Kā fonds veicināja Regulā (ES) Nr. 513/2014 noteikto vispārīgo mērķu sasniegšanu?</w:t>
            </w:r>
          </w:p>
        </w:tc>
      </w:tr>
    </w:tbl>
    <w:p w14:paraId="71B70104" w14:textId="6C7C286C" w:rsidR="00A74D4B" w:rsidRPr="008F64A0" w:rsidRDefault="00A74D4B" w:rsidP="00A74D4B">
      <w:r>
        <w:t xml:space="preserve">IDF </w:t>
      </w:r>
      <w:r w:rsidRPr="008F64A0">
        <w:t>nacionālās programmas ietvaros SM ir definēti rezultatīvie rādītāji, kas vērsti uz ES Regulā Nr. 51</w:t>
      </w:r>
      <w:r w:rsidR="00AC59E5">
        <w:t>3</w:t>
      </w:r>
      <w:r w:rsidRPr="008F64A0">
        <w:t xml:space="preserve">/2014 noteikto mērķu sasniegšanu. Programmas īstenošanas rezultāti uzrāda </w:t>
      </w:r>
      <w:r w:rsidR="00132DD4">
        <w:t>atšķirīgu</w:t>
      </w:r>
      <w:r w:rsidRPr="008F64A0">
        <w:t xml:space="preserve"> sniegumu</w:t>
      </w:r>
      <w:r>
        <w:t xml:space="preserve">. </w:t>
      </w:r>
      <w:r w:rsidRPr="004B44FE">
        <w:t xml:space="preserve">No </w:t>
      </w:r>
      <w:r w:rsidR="00132DD4">
        <w:t>astoņiem</w:t>
      </w:r>
      <w:r w:rsidRPr="004B44FE">
        <w:t xml:space="preserve"> definētajiem rezultatīvajiem rādītājiem </w:t>
      </w:r>
      <w:r w:rsidR="00132DD4">
        <w:t>puse</w:t>
      </w:r>
      <w:r w:rsidRPr="004B44FE">
        <w:t xml:space="preserve"> ir sasniegti, turklāt </w:t>
      </w:r>
      <w:r w:rsidR="00132DD4">
        <w:t>trīs</w:t>
      </w:r>
      <w:r w:rsidRPr="004B44FE">
        <w:t xml:space="preserve"> no tiem ir pārsnieguši sākotnēji plānotās vērtības. </w:t>
      </w:r>
      <w:r w:rsidR="00273679">
        <w:t>Rādītāji ir pārsniegti</w:t>
      </w:r>
      <w:r w:rsidRPr="004B44FE">
        <w:t xml:space="preserve"> SM</w:t>
      </w:r>
      <w:r w:rsidR="002D6C62">
        <w:t>5</w:t>
      </w:r>
      <w:r w:rsidRPr="004B44FE">
        <w:t xml:space="preserve"> </w:t>
      </w:r>
      <w:r w:rsidR="00273679">
        <w:t xml:space="preserve">ietvaros — </w:t>
      </w:r>
      <w:r w:rsidRPr="0033697A">
        <w:t>rādītājs Nr.</w:t>
      </w:r>
      <w:r w:rsidR="00EE2B9B">
        <w:t xml:space="preserve"> </w:t>
      </w:r>
      <w:r w:rsidRPr="0033697A">
        <w:t>C</w:t>
      </w:r>
      <w:r w:rsidR="00132DD4" w:rsidRPr="0033697A">
        <w:t>3.2</w:t>
      </w:r>
      <w:r w:rsidRPr="0033697A">
        <w:t>, sasnied</w:t>
      </w:r>
      <w:r w:rsidR="00273679" w:rsidRPr="0033697A">
        <w:t>zis</w:t>
      </w:r>
      <w:r w:rsidRPr="0033697A">
        <w:t xml:space="preserve"> </w:t>
      </w:r>
      <w:r w:rsidR="001432EB" w:rsidRPr="0033697A">
        <w:t>223</w:t>
      </w:r>
      <w:r w:rsidRPr="0033697A">
        <w:t>% no</w:t>
      </w:r>
      <w:r w:rsidRPr="004B44FE">
        <w:t xml:space="preserve"> plānotā, rādītājs Nr. C</w:t>
      </w:r>
      <w:r w:rsidR="00273679">
        <w:t>3</w:t>
      </w:r>
      <w:r w:rsidRPr="004B44FE">
        <w:t>.</w:t>
      </w:r>
      <w:r w:rsidR="00273679">
        <w:t xml:space="preserve">1 sasniedzis 167%, bet C4 — </w:t>
      </w:r>
      <w:r w:rsidR="006B719A">
        <w:t xml:space="preserve">150%. </w:t>
      </w:r>
      <w:r w:rsidRPr="008F64A0">
        <w:t>(</w:t>
      </w:r>
      <w:r w:rsidR="00273679">
        <w:fldChar w:fldCharType="begin"/>
      </w:r>
      <w:r w:rsidR="00273679">
        <w:instrText xml:space="preserve"> REF _Ref189814369 \h </w:instrText>
      </w:r>
      <w:r w:rsidR="00273679">
        <w:fldChar w:fldCharType="separate"/>
      </w:r>
      <w:r w:rsidR="000523B6" w:rsidRPr="008F64A0">
        <w:t xml:space="preserve">Tabula </w:t>
      </w:r>
      <w:r w:rsidR="000523B6">
        <w:rPr>
          <w:noProof/>
        </w:rPr>
        <w:t>6</w:t>
      </w:r>
      <w:r w:rsidR="00273679">
        <w:fldChar w:fldCharType="end"/>
      </w:r>
      <w:r w:rsidRPr="008F64A0">
        <w:t>)</w:t>
      </w:r>
    </w:p>
    <w:p w14:paraId="6881E78E" w14:textId="4AE92985" w:rsidR="006B719A" w:rsidRDefault="006B719A" w:rsidP="00A74D4B">
      <w:r>
        <w:t>Vienlaikus div</w:t>
      </w:r>
      <w:r w:rsidR="00BA0D44">
        <w:t>u</w:t>
      </w:r>
      <w:r w:rsidR="00EC4C89">
        <w:t xml:space="preserve"> SM</w:t>
      </w:r>
      <w:r w:rsidR="002D6C62">
        <w:t>5</w:t>
      </w:r>
      <w:r w:rsidR="00EC4C89">
        <w:t xml:space="preserve"> </w:t>
      </w:r>
      <w:r w:rsidR="00BA0D44">
        <w:t>rādītāju vērtības</w:t>
      </w:r>
      <w:r w:rsidR="00EC4C89">
        <w:t xml:space="preserve"> </w:t>
      </w:r>
      <w:r w:rsidR="00BA0D44">
        <w:t xml:space="preserve">(C2.1. un C2.2) </w:t>
      </w:r>
      <w:r w:rsidR="00EC4C89">
        <w:t>nav sasniegtas</w:t>
      </w:r>
      <w:r w:rsidR="00BA0D44">
        <w:t>, un</w:t>
      </w:r>
      <w:r w:rsidR="00EC4C89">
        <w:t xml:space="preserve"> nav bijis nekāds progress </w:t>
      </w:r>
      <w:r w:rsidR="00BA0D44">
        <w:t>to</w:t>
      </w:r>
      <w:r w:rsidR="00EC4C89">
        <w:t xml:space="preserve"> sasniegšanai. Tas tiek skaidrots ar to, ka</w:t>
      </w:r>
      <w:r w:rsidR="001A5DCB">
        <w:t>, lai arī IDF nacionālās programmas p</w:t>
      </w:r>
      <w:r w:rsidR="005E1628">
        <w:t xml:space="preserve">lānošanas posmā tika paredzēts, ka tiks īstenotas arī </w:t>
      </w:r>
      <w:r w:rsidR="00A14687">
        <w:t>dažāda veida apmācības, tomēr, izvērtējot</w:t>
      </w:r>
      <w:r w:rsidR="00EC4C89">
        <w:t xml:space="preserve"> </w:t>
      </w:r>
      <w:r w:rsidR="008F375F">
        <w:t>VP</w:t>
      </w:r>
      <w:r w:rsidR="00FD1C46">
        <w:t xml:space="preserve"> </w:t>
      </w:r>
      <w:r w:rsidR="004F10AE">
        <w:t>ierobežoto</w:t>
      </w:r>
      <w:r w:rsidR="00856838">
        <w:t xml:space="preserve"> </w:t>
      </w:r>
      <w:r w:rsidR="00FD1C46">
        <w:t xml:space="preserve">kapacitāti, tika </w:t>
      </w:r>
      <w:r w:rsidR="00856838">
        <w:t xml:space="preserve">pieņemts lēmums, ka </w:t>
      </w:r>
      <w:r w:rsidR="005E32BB">
        <w:t xml:space="preserve">aktivitātes, kas vērstas uz šo rādītāju izpildi, </w:t>
      </w:r>
      <w:r w:rsidR="00856838">
        <w:t>projektu ietvaros netiks īstenotas</w:t>
      </w:r>
      <w:r w:rsidR="005E32BB">
        <w:t xml:space="preserve">. </w:t>
      </w:r>
    </w:p>
    <w:p w14:paraId="1F37B25A" w14:textId="214FB8DC" w:rsidR="005E32BB" w:rsidRDefault="005E32BB" w:rsidP="00A74D4B">
      <w:r>
        <w:t>Savukārt SM</w:t>
      </w:r>
      <w:r w:rsidR="002D6C62">
        <w:t>6</w:t>
      </w:r>
      <w:r>
        <w:t xml:space="preserve"> ietvaros ir tikuši definēti divi rezultatīvie rādītāji, no kuriem nav sasniegts neviens. Rādītāj</w:t>
      </w:r>
      <w:r w:rsidR="00A96363">
        <w:t xml:space="preserve">s C1 ir sasniedzis 58% no plānotā, savukārt C3 </w:t>
      </w:r>
      <w:r w:rsidR="003E0F75">
        <w:t xml:space="preserve">ietvaros rādītājs nav īstenots vispār. </w:t>
      </w:r>
      <w:r w:rsidR="001B00E8">
        <w:t xml:space="preserve">C3 rādītāja izpilde bija paredzēta projekta </w:t>
      </w:r>
      <w:r w:rsidR="00A0682E">
        <w:t xml:space="preserve">Nr. </w:t>
      </w:r>
      <w:r w:rsidR="00A0682E" w:rsidRPr="00A0682E">
        <w:t>VP/IDF/2016/10</w:t>
      </w:r>
      <w:r w:rsidR="00A0682E">
        <w:t xml:space="preserve"> “</w:t>
      </w:r>
      <w:r w:rsidR="00850FC4" w:rsidRPr="00850FC4">
        <w:t>ATLAS Network specializētā aprīkojuma iegāde</w:t>
      </w:r>
      <w:r w:rsidR="00A0682E">
        <w:t>”</w:t>
      </w:r>
      <w:r w:rsidR="00850FC4">
        <w:t xml:space="preserve">, taču tas nav ticis sasniegts. </w:t>
      </w:r>
    </w:p>
    <w:p w14:paraId="2E47D23D" w14:textId="356E8D00" w:rsidR="00A74D4B" w:rsidRPr="008F64A0" w:rsidRDefault="00A74D4B" w:rsidP="00A74D4B">
      <w:pPr>
        <w:pStyle w:val="TableTitle"/>
      </w:pPr>
      <w:bookmarkStart w:id="93" w:name="_Ref189814369"/>
      <w:bookmarkStart w:id="94" w:name="_Ref191388528"/>
      <w:r w:rsidRPr="008F64A0">
        <w:t xml:space="preserve">Tabula </w:t>
      </w:r>
      <w:r w:rsidRPr="008F64A0">
        <w:fldChar w:fldCharType="begin"/>
      </w:r>
      <w:r w:rsidRPr="008F64A0">
        <w:instrText xml:space="preserve"> SEQ Tabula \* ARABIC </w:instrText>
      </w:r>
      <w:r w:rsidRPr="008F64A0">
        <w:fldChar w:fldCharType="separate"/>
      </w:r>
      <w:r w:rsidR="000523B6">
        <w:t>6</w:t>
      </w:r>
      <w:r w:rsidRPr="008F64A0">
        <w:fldChar w:fldCharType="end"/>
      </w:r>
      <w:bookmarkEnd w:id="93"/>
      <w:r w:rsidR="002C0CAE">
        <w:t>.</w:t>
      </w:r>
      <w:r w:rsidRPr="008F64A0">
        <w:t xml:space="preserve"> </w:t>
      </w:r>
      <w:r>
        <w:t>IDF</w:t>
      </w:r>
      <w:r w:rsidRPr="008F64A0">
        <w:t xml:space="preserve"> nacionālajā programmā def</w:t>
      </w:r>
      <w:r w:rsidR="00EE2B9B">
        <w:t>i</w:t>
      </w:r>
      <w:r w:rsidRPr="008F64A0">
        <w:t xml:space="preserve">nētie rezultatīvie rādītāji </w:t>
      </w:r>
      <w:r w:rsidR="00273679">
        <w:t>policijai, noziedzībai un krīzēm</w:t>
      </w:r>
      <w:r>
        <w:t xml:space="preserve"> </w:t>
      </w:r>
      <w:r w:rsidRPr="008F64A0">
        <w:t>un to sasniegtās vērtības</w:t>
      </w:r>
      <w:bookmarkEnd w:id="94"/>
    </w:p>
    <w:tbl>
      <w:tblPr>
        <w:tblStyle w:val="Reatabula"/>
        <w:tblW w:w="0" w:type="auto"/>
        <w:tblLayout w:type="fixed"/>
        <w:tblLook w:val="04A0" w:firstRow="1" w:lastRow="0" w:firstColumn="1" w:lastColumn="0" w:noHBand="0" w:noVBand="1"/>
      </w:tblPr>
      <w:tblGrid>
        <w:gridCol w:w="988"/>
        <w:gridCol w:w="1134"/>
        <w:gridCol w:w="4394"/>
        <w:gridCol w:w="1417"/>
        <w:gridCol w:w="1418"/>
        <w:gridCol w:w="901"/>
      </w:tblGrid>
      <w:tr w:rsidR="00A74D4B" w:rsidRPr="008F64A0" w14:paraId="556CF64C" w14:textId="77777777" w:rsidTr="000977E0">
        <w:tc>
          <w:tcPr>
            <w:tcW w:w="988" w:type="dxa"/>
            <w:shd w:val="clear" w:color="auto" w:fill="40004D" w:themeFill="accent6" w:themeFillShade="80"/>
          </w:tcPr>
          <w:p w14:paraId="14593B6A" w14:textId="77777777" w:rsidR="00A74D4B" w:rsidRPr="008F64A0" w:rsidRDefault="00A74D4B" w:rsidP="00A239D8">
            <w:pPr>
              <w:spacing w:before="0" w:line="240" w:lineRule="auto"/>
              <w:jc w:val="left"/>
              <w:rPr>
                <w:b/>
                <w:bCs/>
                <w:color w:val="FEFEFE" w:themeColor="background1"/>
              </w:rPr>
            </w:pPr>
            <w:r w:rsidRPr="008F64A0">
              <w:rPr>
                <w:b/>
                <w:bCs/>
                <w:color w:val="FEFEFE" w:themeColor="background1"/>
              </w:rPr>
              <w:t>SM</w:t>
            </w:r>
          </w:p>
        </w:tc>
        <w:tc>
          <w:tcPr>
            <w:tcW w:w="1134" w:type="dxa"/>
            <w:shd w:val="clear" w:color="auto" w:fill="40004D" w:themeFill="accent6" w:themeFillShade="80"/>
          </w:tcPr>
          <w:p w14:paraId="3E490F66" w14:textId="77777777" w:rsidR="00A74D4B" w:rsidRPr="008F64A0" w:rsidRDefault="00A74D4B" w:rsidP="00A239D8">
            <w:pPr>
              <w:spacing w:before="0" w:line="240" w:lineRule="auto"/>
              <w:jc w:val="left"/>
              <w:rPr>
                <w:color w:val="FEFEFE" w:themeColor="background1"/>
              </w:rPr>
            </w:pPr>
            <w:r w:rsidRPr="008F64A0">
              <w:rPr>
                <w:rFonts w:ascii="Arial" w:hAnsi="Arial" w:cs="Arial"/>
                <w:b/>
                <w:bCs/>
                <w:color w:val="FEFEFE" w:themeColor="background1"/>
              </w:rPr>
              <w:t>Rādītāja Nr.</w:t>
            </w:r>
          </w:p>
        </w:tc>
        <w:tc>
          <w:tcPr>
            <w:tcW w:w="4394" w:type="dxa"/>
            <w:shd w:val="clear" w:color="auto" w:fill="40004D" w:themeFill="accent6" w:themeFillShade="80"/>
          </w:tcPr>
          <w:p w14:paraId="13E0973F" w14:textId="77777777" w:rsidR="00A74D4B" w:rsidRPr="008F64A0" w:rsidRDefault="00A74D4B" w:rsidP="00A239D8">
            <w:pPr>
              <w:spacing w:before="0" w:line="240" w:lineRule="auto"/>
              <w:jc w:val="left"/>
              <w:rPr>
                <w:color w:val="FEFEFE" w:themeColor="background1"/>
              </w:rPr>
            </w:pPr>
            <w:r w:rsidRPr="008F64A0">
              <w:rPr>
                <w:rFonts w:ascii="Arial" w:hAnsi="Arial" w:cs="Arial"/>
                <w:b/>
                <w:bCs/>
                <w:color w:val="FEFEFE" w:themeColor="background1"/>
              </w:rPr>
              <w:t>Rādītāja nosaukums</w:t>
            </w:r>
          </w:p>
        </w:tc>
        <w:tc>
          <w:tcPr>
            <w:tcW w:w="1417" w:type="dxa"/>
            <w:shd w:val="clear" w:color="auto" w:fill="40004D" w:themeFill="accent6" w:themeFillShade="80"/>
          </w:tcPr>
          <w:p w14:paraId="2A170189" w14:textId="77777777" w:rsidR="00A74D4B" w:rsidRPr="008F64A0" w:rsidRDefault="00A74D4B" w:rsidP="00A239D8">
            <w:pPr>
              <w:spacing w:before="0" w:line="240" w:lineRule="auto"/>
              <w:jc w:val="left"/>
              <w:rPr>
                <w:color w:val="FEFEFE" w:themeColor="background1"/>
              </w:rPr>
            </w:pPr>
            <w:r w:rsidRPr="008F64A0">
              <w:rPr>
                <w:rFonts w:ascii="Arial" w:hAnsi="Arial" w:cs="Arial"/>
                <w:b/>
                <w:bCs/>
                <w:color w:val="FEFEFE" w:themeColor="background1"/>
              </w:rPr>
              <w:t>Mērķa vērtība</w:t>
            </w:r>
          </w:p>
        </w:tc>
        <w:tc>
          <w:tcPr>
            <w:tcW w:w="1418" w:type="dxa"/>
            <w:shd w:val="clear" w:color="auto" w:fill="40004D" w:themeFill="accent6" w:themeFillShade="80"/>
          </w:tcPr>
          <w:p w14:paraId="4FA2C0B5" w14:textId="77777777" w:rsidR="00A74D4B" w:rsidRPr="008F64A0" w:rsidRDefault="00A74D4B" w:rsidP="00A239D8">
            <w:pPr>
              <w:spacing w:before="0" w:line="240" w:lineRule="auto"/>
              <w:jc w:val="left"/>
              <w:rPr>
                <w:color w:val="FEFEFE" w:themeColor="background1"/>
              </w:rPr>
            </w:pPr>
            <w:r w:rsidRPr="008F64A0">
              <w:rPr>
                <w:rFonts w:ascii="Arial" w:hAnsi="Arial" w:cs="Arial"/>
                <w:b/>
                <w:bCs/>
                <w:color w:val="FEFEFE" w:themeColor="background1"/>
              </w:rPr>
              <w:t>Sasniegtā vērtība</w:t>
            </w:r>
          </w:p>
        </w:tc>
        <w:tc>
          <w:tcPr>
            <w:tcW w:w="901" w:type="dxa"/>
            <w:shd w:val="clear" w:color="auto" w:fill="40004D" w:themeFill="accent6" w:themeFillShade="80"/>
          </w:tcPr>
          <w:p w14:paraId="31C7B4B9" w14:textId="77777777" w:rsidR="00A74D4B" w:rsidRPr="008F64A0" w:rsidRDefault="00A74D4B" w:rsidP="00A239D8">
            <w:pPr>
              <w:spacing w:before="0" w:line="240" w:lineRule="auto"/>
              <w:jc w:val="left"/>
              <w:rPr>
                <w:color w:val="FEFEFE" w:themeColor="background1"/>
              </w:rPr>
            </w:pPr>
            <w:r w:rsidRPr="008F64A0">
              <w:rPr>
                <w:rFonts w:ascii="Arial" w:hAnsi="Arial" w:cs="Arial"/>
                <w:b/>
                <w:bCs/>
                <w:color w:val="FEFEFE" w:themeColor="background1"/>
              </w:rPr>
              <w:t>Izpilde (%)</w:t>
            </w:r>
          </w:p>
        </w:tc>
      </w:tr>
      <w:tr w:rsidR="00A0021B" w:rsidRPr="008F64A0" w14:paraId="7F806428" w14:textId="77777777" w:rsidTr="00AC59E5">
        <w:tc>
          <w:tcPr>
            <w:tcW w:w="988" w:type="dxa"/>
            <w:vMerge w:val="restart"/>
            <w:shd w:val="clear" w:color="auto" w:fill="E6E6E6" w:themeFill="accent3"/>
            <w:textDirection w:val="btLr"/>
          </w:tcPr>
          <w:p w14:paraId="50319A53" w14:textId="3EE193BA" w:rsidR="00A0021B" w:rsidRPr="008F64A0" w:rsidRDefault="00A0021B" w:rsidP="00A0021B">
            <w:pPr>
              <w:spacing w:before="0" w:line="240" w:lineRule="auto"/>
              <w:ind w:left="113" w:right="113"/>
              <w:jc w:val="center"/>
              <w:rPr>
                <w:b/>
                <w:bCs/>
              </w:rPr>
            </w:pPr>
            <w:r w:rsidRPr="008F64A0">
              <w:rPr>
                <w:b/>
                <w:bCs/>
              </w:rPr>
              <w:t>SM</w:t>
            </w:r>
            <w:r w:rsidR="002D6C62">
              <w:rPr>
                <w:b/>
                <w:bCs/>
              </w:rPr>
              <w:t>5</w:t>
            </w:r>
            <w:r w:rsidRPr="008F64A0">
              <w:rPr>
                <w:b/>
                <w:bCs/>
              </w:rPr>
              <w:t xml:space="preserve"> </w:t>
            </w:r>
            <w:r w:rsidRPr="00D05A9A">
              <w:rPr>
                <w:b/>
                <w:bCs/>
              </w:rPr>
              <w:t>Noziedzības novēršana un apkarošana</w:t>
            </w:r>
          </w:p>
        </w:tc>
        <w:tc>
          <w:tcPr>
            <w:tcW w:w="1134" w:type="dxa"/>
          </w:tcPr>
          <w:p w14:paraId="19FA3E64" w14:textId="23DE007A" w:rsidR="00A0021B" w:rsidRPr="008F64A0" w:rsidRDefault="00A0021B" w:rsidP="00A0021B">
            <w:pPr>
              <w:spacing w:before="0" w:line="240" w:lineRule="auto"/>
              <w:jc w:val="left"/>
            </w:pPr>
            <w:r w:rsidRPr="00576CA5">
              <w:t>C1</w:t>
            </w:r>
          </w:p>
        </w:tc>
        <w:tc>
          <w:tcPr>
            <w:tcW w:w="4394" w:type="dxa"/>
          </w:tcPr>
          <w:p w14:paraId="30384CCF" w14:textId="16C51CFE" w:rsidR="00A0021B" w:rsidRPr="008F64A0" w:rsidRDefault="00A0021B" w:rsidP="00A0021B">
            <w:pPr>
              <w:spacing w:before="0" w:line="240" w:lineRule="auto"/>
              <w:jc w:val="left"/>
            </w:pPr>
            <w:r w:rsidRPr="00576CA5">
              <w:t>Kopīgas izmeklēšanas grupu skaits un Eiropas daudznozaru platformas par noziedzības draudiem (EMPACT) darbības projekti, ko atbalsta fonds, tostarp iesaistītās dalībvalsts un iestādes</w:t>
            </w:r>
          </w:p>
        </w:tc>
        <w:tc>
          <w:tcPr>
            <w:tcW w:w="1417" w:type="dxa"/>
          </w:tcPr>
          <w:p w14:paraId="7AE769CD" w14:textId="22F5F97E" w:rsidR="00A0021B" w:rsidRPr="008F64A0" w:rsidRDefault="00A0021B" w:rsidP="00A0021B">
            <w:pPr>
              <w:spacing w:before="0" w:line="240" w:lineRule="auto"/>
              <w:jc w:val="left"/>
            </w:pPr>
            <w:r w:rsidRPr="00576CA5">
              <w:t>2</w:t>
            </w:r>
          </w:p>
        </w:tc>
        <w:tc>
          <w:tcPr>
            <w:tcW w:w="1418" w:type="dxa"/>
          </w:tcPr>
          <w:p w14:paraId="1AD2DE0D" w14:textId="5171199C" w:rsidR="00A0021B" w:rsidRPr="008F64A0" w:rsidRDefault="00A0021B" w:rsidP="00A0021B">
            <w:pPr>
              <w:spacing w:before="0" w:line="240" w:lineRule="auto"/>
              <w:jc w:val="left"/>
            </w:pPr>
            <w:r w:rsidRPr="00576CA5">
              <w:t>2</w:t>
            </w:r>
          </w:p>
        </w:tc>
        <w:tc>
          <w:tcPr>
            <w:tcW w:w="901" w:type="dxa"/>
            <w:shd w:val="clear" w:color="auto" w:fill="14C877" w:themeFill="accent5" w:themeFillShade="BF"/>
          </w:tcPr>
          <w:p w14:paraId="269D66E0" w14:textId="7AF05068" w:rsidR="00A0021B" w:rsidRPr="008F64A0" w:rsidRDefault="00A0021B" w:rsidP="00A0021B">
            <w:pPr>
              <w:spacing w:before="0" w:line="240" w:lineRule="auto"/>
              <w:jc w:val="left"/>
            </w:pPr>
            <w:r w:rsidRPr="00576CA5">
              <w:t>100%</w:t>
            </w:r>
          </w:p>
        </w:tc>
      </w:tr>
      <w:tr w:rsidR="00A0021B" w:rsidRPr="008F64A0" w14:paraId="4A3742AC" w14:textId="77777777" w:rsidTr="00AC59E5">
        <w:tc>
          <w:tcPr>
            <w:tcW w:w="988" w:type="dxa"/>
            <w:vMerge/>
            <w:shd w:val="clear" w:color="auto" w:fill="E6E6E6" w:themeFill="accent3"/>
            <w:textDirection w:val="btLr"/>
          </w:tcPr>
          <w:p w14:paraId="7B8F48FD" w14:textId="77777777" w:rsidR="00A0021B" w:rsidRPr="008F64A0" w:rsidRDefault="00A0021B" w:rsidP="00A0021B">
            <w:pPr>
              <w:spacing w:before="0" w:line="240" w:lineRule="auto"/>
              <w:ind w:left="113" w:right="113"/>
              <w:jc w:val="center"/>
              <w:rPr>
                <w:b/>
                <w:bCs/>
              </w:rPr>
            </w:pPr>
          </w:p>
        </w:tc>
        <w:tc>
          <w:tcPr>
            <w:tcW w:w="1134" w:type="dxa"/>
          </w:tcPr>
          <w:p w14:paraId="42F018DB" w14:textId="7049A4B5" w:rsidR="00A0021B" w:rsidRPr="008F64A0" w:rsidRDefault="00A0021B" w:rsidP="00A0021B">
            <w:pPr>
              <w:spacing w:before="0" w:line="240" w:lineRule="auto"/>
              <w:jc w:val="left"/>
            </w:pPr>
            <w:r w:rsidRPr="00576CA5">
              <w:t>C2.1</w:t>
            </w:r>
          </w:p>
        </w:tc>
        <w:tc>
          <w:tcPr>
            <w:tcW w:w="4394" w:type="dxa"/>
          </w:tcPr>
          <w:p w14:paraId="0FF668A5" w14:textId="5440A891" w:rsidR="00A0021B" w:rsidRPr="008F64A0" w:rsidRDefault="00A0021B" w:rsidP="00A0021B">
            <w:pPr>
              <w:spacing w:before="0" w:line="240" w:lineRule="auto"/>
              <w:jc w:val="left"/>
            </w:pPr>
            <w:r w:rsidRPr="00576CA5">
              <w:t>To tiesībaizsardzības amatpersonu skaits, kuras ar fonda atbalstu ir apmācītas saistībā ar pārrobežu jautājumu</w:t>
            </w:r>
          </w:p>
        </w:tc>
        <w:tc>
          <w:tcPr>
            <w:tcW w:w="1417" w:type="dxa"/>
          </w:tcPr>
          <w:p w14:paraId="7B1948AC" w14:textId="4F8FA368" w:rsidR="00A0021B" w:rsidRPr="008F64A0" w:rsidRDefault="00A0021B" w:rsidP="00A0021B">
            <w:pPr>
              <w:spacing w:before="0" w:line="240" w:lineRule="auto"/>
              <w:jc w:val="left"/>
            </w:pPr>
            <w:r w:rsidRPr="00576CA5">
              <w:t>590</w:t>
            </w:r>
          </w:p>
        </w:tc>
        <w:tc>
          <w:tcPr>
            <w:tcW w:w="1418" w:type="dxa"/>
          </w:tcPr>
          <w:p w14:paraId="1405DA4F" w14:textId="547CB9BA" w:rsidR="00A0021B" w:rsidRPr="008F64A0" w:rsidRDefault="00A0021B" w:rsidP="00A0021B">
            <w:pPr>
              <w:spacing w:before="0" w:line="240" w:lineRule="auto"/>
              <w:jc w:val="left"/>
            </w:pPr>
            <w:r w:rsidRPr="00576CA5">
              <w:t>0</w:t>
            </w:r>
          </w:p>
        </w:tc>
        <w:tc>
          <w:tcPr>
            <w:tcW w:w="901" w:type="dxa"/>
            <w:shd w:val="clear" w:color="auto" w:fill="FF0000"/>
          </w:tcPr>
          <w:p w14:paraId="3F94CADC" w14:textId="4FEDF274" w:rsidR="00A0021B" w:rsidRPr="008F64A0" w:rsidRDefault="00A0021B" w:rsidP="00A0021B">
            <w:pPr>
              <w:spacing w:before="0" w:line="240" w:lineRule="auto"/>
              <w:jc w:val="left"/>
            </w:pPr>
            <w:r w:rsidRPr="00576CA5">
              <w:t>0%</w:t>
            </w:r>
          </w:p>
        </w:tc>
      </w:tr>
      <w:tr w:rsidR="00A0021B" w:rsidRPr="008F64A0" w14:paraId="2D910189" w14:textId="77777777" w:rsidTr="00AC59E5">
        <w:tc>
          <w:tcPr>
            <w:tcW w:w="988" w:type="dxa"/>
            <w:vMerge/>
            <w:shd w:val="clear" w:color="auto" w:fill="E6E6E6" w:themeFill="accent3"/>
            <w:textDirection w:val="btLr"/>
          </w:tcPr>
          <w:p w14:paraId="450597C7" w14:textId="77777777" w:rsidR="00A0021B" w:rsidRPr="008F64A0" w:rsidRDefault="00A0021B" w:rsidP="00A0021B">
            <w:pPr>
              <w:spacing w:before="0" w:line="240" w:lineRule="auto"/>
              <w:ind w:left="113" w:right="113"/>
              <w:jc w:val="center"/>
              <w:rPr>
                <w:b/>
                <w:bCs/>
              </w:rPr>
            </w:pPr>
          </w:p>
        </w:tc>
        <w:tc>
          <w:tcPr>
            <w:tcW w:w="1134" w:type="dxa"/>
          </w:tcPr>
          <w:p w14:paraId="029C783A" w14:textId="767B3CD4" w:rsidR="00A0021B" w:rsidRPr="008F64A0" w:rsidRDefault="00A0021B" w:rsidP="00A0021B">
            <w:pPr>
              <w:spacing w:before="0" w:line="240" w:lineRule="auto"/>
              <w:jc w:val="left"/>
            </w:pPr>
            <w:r w:rsidRPr="00576CA5">
              <w:t>C2.2</w:t>
            </w:r>
          </w:p>
        </w:tc>
        <w:tc>
          <w:tcPr>
            <w:tcW w:w="4394" w:type="dxa"/>
          </w:tcPr>
          <w:p w14:paraId="47BCEEC2" w14:textId="70D99869" w:rsidR="00A0021B" w:rsidRPr="008F64A0" w:rsidRDefault="00A0021B" w:rsidP="00A0021B">
            <w:pPr>
              <w:spacing w:before="0" w:line="240" w:lineRule="auto"/>
              <w:jc w:val="left"/>
            </w:pPr>
            <w:r w:rsidRPr="00576CA5">
              <w:t xml:space="preserve">Ar fonda palīdzību organizēto (īstenoto) mācību kursu ilgums pat tematiem, kas saistīti ar pārrobežu aspektiem </w:t>
            </w:r>
          </w:p>
        </w:tc>
        <w:tc>
          <w:tcPr>
            <w:tcW w:w="1417" w:type="dxa"/>
          </w:tcPr>
          <w:p w14:paraId="36207055" w14:textId="66B8D6AC" w:rsidR="00A0021B" w:rsidRPr="008F64A0" w:rsidRDefault="00A0021B" w:rsidP="00A0021B">
            <w:pPr>
              <w:spacing w:before="0" w:line="240" w:lineRule="auto"/>
              <w:jc w:val="left"/>
            </w:pPr>
            <w:r w:rsidRPr="00576CA5">
              <w:t>30</w:t>
            </w:r>
          </w:p>
        </w:tc>
        <w:tc>
          <w:tcPr>
            <w:tcW w:w="1418" w:type="dxa"/>
          </w:tcPr>
          <w:p w14:paraId="15822DEB" w14:textId="5C107F4A" w:rsidR="00A0021B" w:rsidRPr="008F64A0" w:rsidRDefault="00A0021B" w:rsidP="00A0021B">
            <w:pPr>
              <w:spacing w:before="0" w:line="240" w:lineRule="auto"/>
              <w:jc w:val="left"/>
            </w:pPr>
            <w:r w:rsidRPr="00576CA5">
              <w:t>0</w:t>
            </w:r>
          </w:p>
        </w:tc>
        <w:tc>
          <w:tcPr>
            <w:tcW w:w="901" w:type="dxa"/>
            <w:shd w:val="clear" w:color="auto" w:fill="FF0000"/>
          </w:tcPr>
          <w:p w14:paraId="3E285D53" w14:textId="7FF02EEB" w:rsidR="00A0021B" w:rsidRPr="008F64A0" w:rsidRDefault="00A0021B" w:rsidP="00A0021B">
            <w:pPr>
              <w:spacing w:before="0" w:line="240" w:lineRule="auto"/>
              <w:jc w:val="left"/>
            </w:pPr>
            <w:r w:rsidRPr="00576CA5">
              <w:t>0%</w:t>
            </w:r>
          </w:p>
        </w:tc>
      </w:tr>
      <w:tr w:rsidR="00A0021B" w:rsidRPr="008F64A0" w14:paraId="662077B3" w14:textId="77777777" w:rsidTr="00AC59E5">
        <w:tc>
          <w:tcPr>
            <w:tcW w:w="988" w:type="dxa"/>
            <w:vMerge/>
            <w:shd w:val="clear" w:color="auto" w:fill="E6E6E6" w:themeFill="accent3"/>
            <w:textDirection w:val="btLr"/>
          </w:tcPr>
          <w:p w14:paraId="2680F5D3" w14:textId="77777777" w:rsidR="00A0021B" w:rsidRPr="008F64A0" w:rsidRDefault="00A0021B" w:rsidP="00A0021B">
            <w:pPr>
              <w:spacing w:before="0" w:line="240" w:lineRule="auto"/>
              <w:ind w:left="113" w:right="113"/>
              <w:jc w:val="center"/>
              <w:rPr>
                <w:b/>
                <w:bCs/>
              </w:rPr>
            </w:pPr>
          </w:p>
        </w:tc>
        <w:tc>
          <w:tcPr>
            <w:tcW w:w="1134" w:type="dxa"/>
          </w:tcPr>
          <w:p w14:paraId="3C635BD2" w14:textId="3C44E2EF" w:rsidR="00A0021B" w:rsidRDefault="00A0021B" w:rsidP="00A0021B">
            <w:pPr>
              <w:spacing w:before="0" w:line="240" w:lineRule="auto"/>
              <w:jc w:val="left"/>
              <w:rPr>
                <w:rFonts w:ascii="Arial" w:hAnsi="Arial" w:cs="Arial"/>
              </w:rPr>
            </w:pPr>
            <w:r w:rsidRPr="00576CA5">
              <w:t>C3.1</w:t>
            </w:r>
          </w:p>
        </w:tc>
        <w:tc>
          <w:tcPr>
            <w:tcW w:w="4394" w:type="dxa"/>
          </w:tcPr>
          <w:p w14:paraId="4AC65BA8" w14:textId="39C2C484" w:rsidR="00A0021B" w:rsidRDefault="00A0021B" w:rsidP="00A0021B">
            <w:pPr>
              <w:spacing w:before="0" w:line="240" w:lineRule="auto"/>
              <w:jc w:val="left"/>
              <w:rPr>
                <w:rFonts w:ascii="Arial" w:hAnsi="Arial" w:cs="Arial"/>
              </w:rPr>
            </w:pPr>
            <w:r w:rsidRPr="00576CA5">
              <w:t>Projektu skaits noziedzības novēršanas jomā</w:t>
            </w:r>
          </w:p>
        </w:tc>
        <w:tc>
          <w:tcPr>
            <w:tcW w:w="1417" w:type="dxa"/>
          </w:tcPr>
          <w:p w14:paraId="36B72A1A" w14:textId="7FF9BFAF" w:rsidR="00A0021B" w:rsidRDefault="00A0021B" w:rsidP="00A0021B">
            <w:pPr>
              <w:spacing w:before="0" w:line="240" w:lineRule="auto"/>
              <w:jc w:val="left"/>
              <w:rPr>
                <w:rFonts w:ascii="Arial" w:hAnsi="Arial" w:cs="Arial"/>
              </w:rPr>
            </w:pPr>
            <w:r w:rsidRPr="00576CA5">
              <w:t>3</w:t>
            </w:r>
          </w:p>
        </w:tc>
        <w:tc>
          <w:tcPr>
            <w:tcW w:w="1418" w:type="dxa"/>
          </w:tcPr>
          <w:p w14:paraId="2BD6FAC4" w14:textId="2B3BA492" w:rsidR="00A0021B" w:rsidRDefault="00A0021B" w:rsidP="00A0021B">
            <w:pPr>
              <w:spacing w:before="0" w:line="240" w:lineRule="auto"/>
              <w:jc w:val="left"/>
              <w:rPr>
                <w:rFonts w:ascii="Arial" w:hAnsi="Arial" w:cs="Arial"/>
              </w:rPr>
            </w:pPr>
            <w:r w:rsidRPr="00576CA5">
              <w:t>5</w:t>
            </w:r>
          </w:p>
        </w:tc>
        <w:tc>
          <w:tcPr>
            <w:tcW w:w="901" w:type="dxa"/>
            <w:shd w:val="clear" w:color="auto" w:fill="0D8650" w:themeFill="accent5" w:themeFillShade="80"/>
          </w:tcPr>
          <w:p w14:paraId="715F0A71" w14:textId="2A254297" w:rsidR="00A0021B" w:rsidRDefault="00A0021B" w:rsidP="00A0021B">
            <w:pPr>
              <w:spacing w:before="0" w:line="240" w:lineRule="auto"/>
              <w:jc w:val="left"/>
              <w:rPr>
                <w:rFonts w:ascii="Arial" w:hAnsi="Arial" w:cs="Arial"/>
                <w:color w:val="232323"/>
              </w:rPr>
            </w:pPr>
            <w:r w:rsidRPr="00576CA5">
              <w:t>167%</w:t>
            </w:r>
          </w:p>
        </w:tc>
      </w:tr>
      <w:tr w:rsidR="001432EB" w:rsidRPr="008F64A0" w14:paraId="5E93F853" w14:textId="77777777" w:rsidTr="00AC59E5">
        <w:tc>
          <w:tcPr>
            <w:tcW w:w="988" w:type="dxa"/>
            <w:vMerge/>
            <w:shd w:val="clear" w:color="auto" w:fill="E6E6E6" w:themeFill="accent3"/>
            <w:textDirection w:val="btLr"/>
          </w:tcPr>
          <w:p w14:paraId="4EA9C891" w14:textId="77777777" w:rsidR="001432EB" w:rsidRPr="008F64A0" w:rsidRDefault="001432EB" w:rsidP="001432EB">
            <w:pPr>
              <w:spacing w:before="0" w:line="240" w:lineRule="auto"/>
              <w:ind w:left="113" w:right="113"/>
              <w:jc w:val="center"/>
              <w:rPr>
                <w:b/>
                <w:bCs/>
              </w:rPr>
            </w:pPr>
          </w:p>
        </w:tc>
        <w:tc>
          <w:tcPr>
            <w:tcW w:w="1134" w:type="dxa"/>
          </w:tcPr>
          <w:p w14:paraId="62803386" w14:textId="7278749E" w:rsidR="001432EB" w:rsidRDefault="001432EB" w:rsidP="001432EB">
            <w:pPr>
              <w:spacing w:before="0" w:line="240" w:lineRule="auto"/>
              <w:jc w:val="left"/>
              <w:rPr>
                <w:rFonts w:ascii="Arial" w:hAnsi="Arial" w:cs="Arial"/>
              </w:rPr>
            </w:pPr>
            <w:r w:rsidRPr="00576CA5">
              <w:t>C3.2</w:t>
            </w:r>
          </w:p>
        </w:tc>
        <w:tc>
          <w:tcPr>
            <w:tcW w:w="4394" w:type="dxa"/>
          </w:tcPr>
          <w:p w14:paraId="6B457524" w14:textId="121EC278" w:rsidR="001432EB" w:rsidRDefault="001432EB" w:rsidP="001432EB">
            <w:pPr>
              <w:spacing w:before="0" w:line="240" w:lineRule="auto"/>
              <w:jc w:val="left"/>
              <w:rPr>
                <w:rFonts w:ascii="Arial" w:hAnsi="Arial" w:cs="Arial"/>
              </w:rPr>
            </w:pPr>
            <w:r w:rsidRPr="00576CA5">
              <w:t xml:space="preserve">To projektu finansiālā vērtība, kas izstrādāti noziedzības novēršanas jomā </w:t>
            </w:r>
          </w:p>
        </w:tc>
        <w:tc>
          <w:tcPr>
            <w:tcW w:w="1417" w:type="dxa"/>
          </w:tcPr>
          <w:p w14:paraId="62ABE1A2" w14:textId="41172CD1" w:rsidR="001432EB" w:rsidRDefault="001432EB" w:rsidP="001432EB">
            <w:pPr>
              <w:spacing w:before="0" w:line="240" w:lineRule="auto"/>
              <w:jc w:val="left"/>
              <w:rPr>
                <w:rFonts w:ascii="Arial" w:hAnsi="Arial" w:cs="Arial"/>
              </w:rPr>
            </w:pPr>
            <w:r w:rsidRPr="00576CA5">
              <w:t>3 334 869</w:t>
            </w:r>
          </w:p>
        </w:tc>
        <w:tc>
          <w:tcPr>
            <w:tcW w:w="1418" w:type="dxa"/>
          </w:tcPr>
          <w:p w14:paraId="76FBF1EB" w14:textId="558B7F3D" w:rsidR="001432EB" w:rsidRDefault="001432EB" w:rsidP="001432EB">
            <w:pPr>
              <w:spacing w:before="0" w:line="240" w:lineRule="auto"/>
              <w:jc w:val="left"/>
              <w:rPr>
                <w:rFonts w:ascii="Arial" w:hAnsi="Arial" w:cs="Arial"/>
              </w:rPr>
            </w:pPr>
            <w:r w:rsidRPr="00F64771">
              <w:t>7 427 470</w:t>
            </w:r>
          </w:p>
        </w:tc>
        <w:tc>
          <w:tcPr>
            <w:tcW w:w="901" w:type="dxa"/>
            <w:shd w:val="clear" w:color="auto" w:fill="0D8650" w:themeFill="accent5" w:themeFillShade="80"/>
          </w:tcPr>
          <w:p w14:paraId="3A7CBE0E" w14:textId="1CB77DCE" w:rsidR="001432EB" w:rsidRDefault="001432EB" w:rsidP="001432EB">
            <w:pPr>
              <w:spacing w:before="0" w:line="240" w:lineRule="auto"/>
              <w:jc w:val="left"/>
              <w:rPr>
                <w:rFonts w:ascii="Arial" w:hAnsi="Arial" w:cs="Arial"/>
                <w:color w:val="232323"/>
              </w:rPr>
            </w:pPr>
            <w:r w:rsidRPr="00F64771">
              <w:t>223%</w:t>
            </w:r>
          </w:p>
        </w:tc>
      </w:tr>
      <w:tr w:rsidR="00A0021B" w:rsidRPr="008F64A0" w14:paraId="3ABB0B5D" w14:textId="77777777" w:rsidTr="00AC59E5">
        <w:tc>
          <w:tcPr>
            <w:tcW w:w="988" w:type="dxa"/>
            <w:vMerge/>
            <w:shd w:val="clear" w:color="auto" w:fill="E6E6E6" w:themeFill="accent3"/>
            <w:textDirection w:val="btLr"/>
          </w:tcPr>
          <w:p w14:paraId="2EF4AA14" w14:textId="77777777" w:rsidR="00A0021B" w:rsidRPr="008F64A0" w:rsidRDefault="00A0021B" w:rsidP="00A0021B">
            <w:pPr>
              <w:spacing w:before="0" w:line="240" w:lineRule="auto"/>
              <w:ind w:left="113" w:right="113"/>
              <w:jc w:val="center"/>
              <w:rPr>
                <w:b/>
                <w:bCs/>
              </w:rPr>
            </w:pPr>
          </w:p>
        </w:tc>
        <w:tc>
          <w:tcPr>
            <w:tcW w:w="1134" w:type="dxa"/>
          </w:tcPr>
          <w:p w14:paraId="7B2D9BC7" w14:textId="0A74C318" w:rsidR="00A0021B" w:rsidRPr="008F64A0" w:rsidRDefault="00A0021B" w:rsidP="00A0021B">
            <w:pPr>
              <w:spacing w:before="0" w:line="240" w:lineRule="auto"/>
              <w:jc w:val="left"/>
            </w:pPr>
            <w:r w:rsidRPr="00576CA5">
              <w:t>C4</w:t>
            </w:r>
          </w:p>
        </w:tc>
        <w:tc>
          <w:tcPr>
            <w:tcW w:w="4394" w:type="dxa"/>
          </w:tcPr>
          <w:p w14:paraId="1FBE0B52" w14:textId="3C6D24D8" w:rsidR="00A0021B" w:rsidRPr="008F64A0" w:rsidRDefault="00A0021B" w:rsidP="00A0021B">
            <w:pPr>
              <w:spacing w:before="0" w:line="240" w:lineRule="auto"/>
              <w:jc w:val="left"/>
            </w:pPr>
            <w:r w:rsidRPr="00576CA5">
              <w:t xml:space="preserve">Fonda atbalstīto projektu skaits, ar kuriem ir paredzēts uzlabot tiesībaizsardzības informācijas apmaiņu, kas ir saistīta ar </w:t>
            </w:r>
            <w:r w:rsidRPr="00576CA5">
              <w:lastRenderedPageBreak/>
              <w:t>Europol datu sistēmām, repozitorijiem vai sakaru līdzekļiem (piemēram, datu ievadītāji, piekļuves drošas informācijas apmaiņas tīkla lietojumprogrammai (SIENA) paplašināšana, projekti, ar kuriem ir paredzēts uzlabot ievadi datu analīzes datnēs utt.)</w:t>
            </w:r>
          </w:p>
        </w:tc>
        <w:tc>
          <w:tcPr>
            <w:tcW w:w="1417" w:type="dxa"/>
          </w:tcPr>
          <w:p w14:paraId="58C4FD2A" w14:textId="422B43FE" w:rsidR="00A0021B" w:rsidRPr="008F64A0" w:rsidRDefault="00A0021B" w:rsidP="00A0021B">
            <w:pPr>
              <w:spacing w:before="0" w:line="240" w:lineRule="auto"/>
              <w:jc w:val="left"/>
            </w:pPr>
            <w:r w:rsidRPr="00576CA5">
              <w:lastRenderedPageBreak/>
              <w:t>2</w:t>
            </w:r>
          </w:p>
        </w:tc>
        <w:tc>
          <w:tcPr>
            <w:tcW w:w="1418" w:type="dxa"/>
          </w:tcPr>
          <w:p w14:paraId="18310CD3" w14:textId="10DC32BB" w:rsidR="00A0021B" w:rsidRPr="008F64A0" w:rsidRDefault="00A0021B" w:rsidP="00A0021B">
            <w:pPr>
              <w:spacing w:before="0" w:line="240" w:lineRule="auto"/>
              <w:jc w:val="left"/>
            </w:pPr>
            <w:r w:rsidRPr="00576CA5">
              <w:t>3</w:t>
            </w:r>
          </w:p>
        </w:tc>
        <w:tc>
          <w:tcPr>
            <w:tcW w:w="901" w:type="dxa"/>
            <w:shd w:val="clear" w:color="auto" w:fill="0D8650" w:themeFill="accent5" w:themeFillShade="80"/>
          </w:tcPr>
          <w:p w14:paraId="2CC5C8F4" w14:textId="6A92E009" w:rsidR="00A0021B" w:rsidRPr="008F64A0" w:rsidRDefault="00A0021B" w:rsidP="00A0021B">
            <w:pPr>
              <w:spacing w:before="0" w:line="240" w:lineRule="auto"/>
              <w:jc w:val="left"/>
            </w:pPr>
            <w:r w:rsidRPr="00576CA5">
              <w:t>150%</w:t>
            </w:r>
          </w:p>
        </w:tc>
      </w:tr>
      <w:tr w:rsidR="0031341E" w:rsidRPr="008F64A0" w14:paraId="7BAE5AAB" w14:textId="77777777" w:rsidTr="00AC59E5">
        <w:trPr>
          <w:trHeight w:val="934"/>
        </w:trPr>
        <w:tc>
          <w:tcPr>
            <w:tcW w:w="988" w:type="dxa"/>
            <w:vMerge w:val="restart"/>
            <w:shd w:val="clear" w:color="auto" w:fill="E6E6E6" w:themeFill="accent3"/>
            <w:textDirection w:val="btLr"/>
          </w:tcPr>
          <w:p w14:paraId="34AFB6A4" w14:textId="7FAB6991" w:rsidR="0031341E" w:rsidRPr="008F64A0" w:rsidRDefault="0031341E" w:rsidP="0031341E">
            <w:pPr>
              <w:spacing w:before="0" w:line="240" w:lineRule="auto"/>
              <w:ind w:left="113" w:right="113"/>
              <w:jc w:val="center"/>
              <w:rPr>
                <w:b/>
                <w:bCs/>
              </w:rPr>
            </w:pPr>
            <w:r w:rsidRPr="008F64A0">
              <w:rPr>
                <w:b/>
                <w:bCs/>
              </w:rPr>
              <w:t>SM</w:t>
            </w:r>
            <w:r w:rsidR="002D6C62">
              <w:rPr>
                <w:b/>
                <w:bCs/>
              </w:rPr>
              <w:t>6</w:t>
            </w:r>
            <w:r w:rsidRPr="008F64A0">
              <w:rPr>
                <w:b/>
                <w:bCs/>
              </w:rPr>
              <w:t xml:space="preserve"> </w:t>
            </w:r>
            <w:r w:rsidRPr="00D05A9A">
              <w:rPr>
                <w:b/>
                <w:bCs/>
              </w:rPr>
              <w:t>Riski un krīzes</w:t>
            </w:r>
            <w:r w:rsidRPr="008F64A0">
              <w:rPr>
                <w:b/>
                <w:bCs/>
              </w:rPr>
              <w:t xml:space="preserve"> </w:t>
            </w:r>
          </w:p>
        </w:tc>
        <w:tc>
          <w:tcPr>
            <w:tcW w:w="1134" w:type="dxa"/>
          </w:tcPr>
          <w:p w14:paraId="53FE92D6" w14:textId="5E8425F5" w:rsidR="0031341E" w:rsidRPr="008F64A0" w:rsidRDefault="0031341E" w:rsidP="0031341E">
            <w:pPr>
              <w:spacing w:before="0" w:line="240" w:lineRule="auto"/>
              <w:jc w:val="left"/>
            </w:pPr>
            <w:r w:rsidRPr="0063080B">
              <w:t>C1</w:t>
            </w:r>
          </w:p>
        </w:tc>
        <w:tc>
          <w:tcPr>
            <w:tcW w:w="4394" w:type="dxa"/>
          </w:tcPr>
          <w:p w14:paraId="6853ECBD" w14:textId="0EB10525" w:rsidR="0031341E" w:rsidRPr="008F64A0" w:rsidRDefault="0031341E" w:rsidP="0031341E">
            <w:pPr>
              <w:spacing w:before="0" w:line="240" w:lineRule="auto"/>
              <w:jc w:val="left"/>
            </w:pPr>
            <w:r w:rsidRPr="0063080B">
              <w:t xml:space="preserve">To rīku skaits, kas ieviesti vai uzlaboti ar fonda palīdzību, lai sekmētu kritiskās infrastruktūras aizsardzību dalībvalstīs visās ekonomikas nozarēs  </w:t>
            </w:r>
          </w:p>
        </w:tc>
        <w:tc>
          <w:tcPr>
            <w:tcW w:w="1417" w:type="dxa"/>
          </w:tcPr>
          <w:p w14:paraId="76ADF60F" w14:textId="381F0773" w:rsidR="0031341E" w:rsidRPr="008F64A0" w:rsidRDefault="0031341E" w:rsidP="0031341E">
            <w:pPr>
              <w:spacing w:before="0" w:line="240" w:lineRule="auto"/>
              <w:jc w:val="left"/>
            </w:pPr>
            <w:r w:rsidRPr="0063080B">
              <w:t>19</w:t>
            </w:r>
          </w:p>
        </w:tc>
        <w:tc>
          <w:tcPr>
            <w:tcW w:w="1418" w:type="dxa"/>
          </w:tcPr>
          <w:p w14:paraId="0AC590C4" w14:textId="196DAAA9" w:rsidR="0031341E" w:rsidRPr="008F64A0" w:rsidRDefault="0031341E" w:rsidP="0031341E">
            <w:pPr>
              <w:spacing w:before="0" w:line="240" w:lineRule="auto"/>
              <w:jc w:val="left"/>
            </w:pPr>
            <w:r w:rsidRPr="0063080B">
              <w:t>11</w:t>
            </w:r>
          </w:p>
        </w:tc>
        <w:tc>
          <w:tcPr>
            <w:tcW w:w="901" w:type="dxa"/>
            <w:shd w:val="clear" w:color="auto" w:fill="FFC000"/>
          </w:tcPr>
          <w:p w14:paraId="584F77A8" w14:textId="1F38CDBE" w:rsidR="0031341E" w:rsidRPr="008F64A0" w:rsidRDefault="0031341E" w:rsidP="0031341E">
            <w:pPr>
              <w:spacing w:before="0" w:line="240" w:lineRule="auto"/>
              <w:jc w:val="left"/>
            </w:pPr>
            <w:r w:rsidRPr="0063080B">
              <w:t>58%</w:t>
            </w:r>
          </w:p>
        </w:tc>
      </w:tr>
      <w:tr w:rsidR="0031341E" w:rsidRPr="008F64A0" w14:paraId="485B1585" w14:textId="77777777" w:rsidTr="00AC59E5">
        <w:tc>
          <w:tcPr>
            <w:tcW w:w="988" w:type="dxa"/>
            <w:vMerge/>
            <w:shd w:val="clear" w:color="auto" w:fill="E6E6E6" w:themeFill="accent3"/>
            <w:textDirection w:val="btLr"/>
          </w:tcPr>
          <w:p w14:paraId="6AD94EE0" w14:textId="77777777" w:rsidR="0031341E" w:rsidRPr="008F64A0" w:rsidRDefault="0031341E" w:rsidP="0031341E">
            <w:pPr>
              <w:spacing w:before="0" w:line="240" w:lineRule="auto"/>
              <w:ind w:left="113" w:right="113"/>
              <w:jc w:val="center"/>
              <w:rPr>
                <w:b/>
                <w:bCs/>
              </w:rPr>
            </w:pPr>
          </w:p>
        </w:tc>
        <w:tc>
          <w:tcPr>
            <w:tcW w:w="1134" w:type="dxa"/>
          </w:tcPr>
          <w:p w14:paraId="2DB3D1D9" w14:textId="6139BC47" w:rsidR="0031341E" w:rsidRPr="008F64A0" w:rsidRDefault="0031341E" w:rsidP="0031341E">
            <w:pPr>
              <w:spacing w:before="0" w:line="240" w:lineRule="auto"/>
              <w:jc w:val="left"/>
            </w:pPr>
            <w:r w:rsidRPr="0063080B">
              <w:t>C3</w:t>
            </w:r>
          </w:p>
        </w:tc>
        <w:tc>
          <w:tcPr>
            <w:tcW w:w="4394" w:type="dxa"/>
          </w:tcPr>
          <w:p w14:paraId="66865004" w14:textId="7EF8C9DA" w:rsidR="0031341E" w:rsidRPr="008F64A0" w:rsidRDefault="0031341E" w:rsidP="0031341E">
            <w:pPr>
              <w:spacing w:before="0" w:line="240" w:lineRule="auto"/>
              <w:jc w:val="left"/>
            </w:pPr>
            <w:r w:rsidRPr="0063080B">
              <w:t xml:space="preserve">Ar fonda atbalstu organizētu ekspertu sanāksmju, darbsemināru, semināru, konferenču, publikāciju, tīmekļa vietņu un (tiešsaistes) konsultāciju skaits </w:t>
            </w:r>
          </w:p>
        </w:tc>
        <w:tc>
          <w:tcPr>
            <w:tcW w:w="1417" w:type="dxa"/>
          </w:tcPr>
          <w:p w14:paraId="49B88FA8" w14:textId="2964BD23" w:rsidR="0031341E" w:rsidRPr="008F64A0" w:rsidRDefault="0031341E" w:rsidP="0031341E">
            <w:pPr>
              <w:spacing w:before="0" w:line="240" w:lineRule="auto"/>
              <w:jc w:val="left"/>
            </w:pPr>
            <w:r w:rsidRPr="0063080B">
              <w:t>1</w:t>
            </w:r>
          </w:p>
        </w:tc>
        <w:tc>
          <w:tcPr>
            <w:tcW w:w="1418" w:type="dxa"/>
          </w:tcPr>
          <w:p w14:paraId="486BF094" w14:textId="18B8B4D2" w:rsidR="0031341E" w:rsidRPr="008F64A0" w:rsidRDefault="0031341E" w:rsidP="0031341E">
            <w:pPr>
              <w:spacing w:before="0" w:line="240" w:lineRule="auto"/>
              <w:jc w:val="left"/>
            </w:pPr>
            <w:r w:rsidRPr="0063080B">
              <w:t>0</w:t>
            </w:r>
          </w:p>
        </w:tc>
        <w:tc>
          <w:tcPr>
            <w:tcW w:w="901" w:type="dxa"/>
            <w:shd w:val="clear" w:color="auto" w:fill="FF0000"/>
          </w:tcPr>
          <w:p w14:paraId="6FF941B8" w14:textId="00FD8C3F" w:rsidR="0031341E" w:rsidRPr="008F64A0" w:rsidRDefault="0031341E" w:rsidP="0031341E">
            <w:pPr>
              <w:spacing w:before="0" w:line="240" w:lineRule="auto"/>
              <w:jc w:val="left"/>
            </w:pPr>
            <w:r w:rsidRPr="0063080B">
              <w:t>0%</w:t>
            </w:r>
          </w:p>
        </w:tc>
      </w:tr>
    </w:tbl>
    <w:p w14:paraId="5710011D" w14:textId="77777777" w:rsidR="00A74D4B" w:rsidRPr="00E7584F" w:rsidRDefault="00A74D4B" w:rsidP="00A74D4B">
      <w:pPr>
        <w:pStyle w:val="Parakstszemobjekta"/>
        <w:jc w:val="right"/>
        <w:rPr>
          <w:rStyle w:val="Izsmalcintsizclums"/>
          <w:i/>
          <w:iCs/>
        </w:rPr>
      </w:pPr>
      <w:r w:rsidRPr="00E7584F">
        <w:rPr>
          <w:rStyle w:val="Izsmalcintsizclums"/>
          <w:i/>
          <w:iCs/>
        </w:rPr>
        <w:t>Avots: 2024.gada IDF ieviešanas ziņojums</w:t>
      </w:r>
    </w:p>
    <w:p w14:paraId="61629930" w14:textId="0975EBCB" w:rsidR="002D6C62" w:rsidRDefault="00A74D4B" w:rsidP="00A74D4B">
      <w:r>
        <w:t xml:space="preserve">IDF </w:t>
      </w:r>
      <w:r w:rsidR="00D5352A">
        <w:t>policijai, noziedzībai un krīzēm</w:t>
      </w:r>
      <w:r w:rsidRPr="008F64A0">
        <w:t xml:space="preserve"> </w:t>
      </w:r>
      <w:r w:rsidR="00A60B48">
        <w:t xml:space="preserve">programmas </w:t>
      </w:r>
      <w:r w:rsidR="00A60B48" w:rsidRPr="008F64A0">
        <w:t>īstenošanas rezultātu</w:t>
      </w:r>
      <w:r w:rsidR="00A60B48">
        <w:t xml:space="preserve"> analīzē</w:t>
      </w:r>
      <w:r w:rsidR="00A60B48" w:rsidRPr="008F64A0">
        <w:t xml:space="preserve"> </w:t>
      </w:r>
      <w:r w:rsidR="00A60B48">
        <w:t>jā</w:t>
      </w:r>
      <w:r w:rsidR="00A60B48" w:rsidRPr="008F64A0">
        <w:t>ņem vērā</w:t>
      </w:r>
      <w:r w:rsidR="00A60B48">
        <w:t xml:space="preserve"> metodiska nianse</w:t>
      </w:r>
      <w:r w:rsidR="00A60B48" w:rsidRPr="008F64A0">
        <w:t xml:space="preserve">, </w:t>
      </w:r>
      <w:r w:rsidR="00A60B48">
        <w:t xml:space="preserve">ka </w:t>
      </w:r>
      <w:r w:rsidR="00D5352A">
        <w:t xml:space="preserve">tikai trīs projektiem ir bijuši definēti rezultatīvie rādītāji, bet </w:t>
      </w:r>
      <w:r w:rsidR="002D6C62">
        <w:t xml:space="preserve">8 projektiem tādi nebija. Vienlaikus šo projektu ietvaros īstenotās aktivitātes ir sekmējušas IDF programmas mērķu sasniegšanu. Piemēram, SM6, kur nav sasniegts neviens no </w:t>
      </w:r>
      <w:r w:rsidR="004E774B">
        <w:t xml:space="preserve">rezultatīvajiem rādītājiem, ir ieviesti vairāki projekti, kas ir vērsti uz kopējās risku un krīžu pārvaldības kapacitātes </w:t>
      </w:r>
      <w:r w:rsidR="00FB247C">
        <w:t>stiprināšanu</w:t>
      </w:r>
      <w:r w:rsidR="004E774B">
        <w:t xml:space="preserve">. Projektu ietvaros ir izveidota apmācību infrastruktūra gan CBRNE krīžu mācībām, gan </w:t>
      </w:r>
      <w:r w:rsidR="00F33368">
        <w:t>“OMEGA”</w:t>
      </w:r>
      <w:r w:rsidR="004E774B">
        <w:t xml:space="preserve"> vienības spēju attīstīšanai. Vienlaikus ir uzlabots atbildīgo iestāžu – VUGD un VP materiāltehniskais nodrošinājums, lai spētu efektīvāk reaģēt uz </w:t>
      </w:r>
      <w:r w:rsidR="000F6D22">
        <w:t xml:space="preserve">krīzēm un terorisma draudiem. </w:t>
      </w:r>
    </w:p>
    <w:p w14:paraId="6A0E67AF" w14:textId="4F606197" w:rsidR="00FB247C" w:rsidRDefault="00FB247C" w:rsidP="00A74D4B">
      <w:r>
        <w:t xml:space="preserve">Savukārt SM5 ietvaros ir </w:t>
      </w:r>
      <w:r w:rsidR="00EC4BE8">
        <w:t>stiprināta VP Kriminālistikas tehniskā kapacitāte,</w:t>
      </w:r>
      <w:r w:rsidR="008B29A2">
        <w:t xml:space="preserve"> tai skaitā, ieviešot modernizēt</w:t>
      </w:r>
      <w:r w:rsidR="006F5BDB">
        <w:t>as IT sistēmas kā</w:t>
      </w:r>
      <w:r w:rsidR="008B29A2">
        <w:t xml:space="preserve"> ELIS</w:t>
      </w:r>
      <w:r w:rsidR="006F5BDB">
        <w:t xml:space="preserve"> un NKIM. Vienlaikus tikusi </w:t>
      </w:r>
      <w:r w:rsidR="00EC4BE8">
        <w:t>pilnveidota VP kapacitāte kibernoziedzības apkarošanas jomā</w:t>
      </w:r>
      <w:r w:rsidR="006355E1">
        <w:t xml:space="preserve">. </w:t>
      </w:r>
    </w:p>
    <w:p w14:paraId="6AEE7DAB" w14:textId="20AF93D4" w:rsidR="00A74D4B" w:rsidRDefault="00A74D4B" w:rsidP="00A74D4B">
      <w:r w:rsidRPr="008F64A0">
        <w:t xml:space="preserve">Lai arī šo projektu īstenoto pasākumu kvantitatīvie rezultāti neatspoguļojas rezultatīvo rādītāju progresa uzskaitījumā, to sniegtais ieguldījums ir bijis nozīmīgs </w:t>
      </w:r>
      <w:r>
        <w:t>IDF</w:t>
      </w:r>
      <w:r w:rsidRPr="008F64A0">
        <w:t xml:space="preserve"> </w:t>
      </w:r>
      <w:r w:rsidR="00F33368">
        <w:t>policijai, noziedzībai un krīzēm</w:t>
      </w:r>
      <w:r w:rsidR="00F33368" w:rsidRPr="008F64A0">
        <w:t xml:space="preserve"> </w:t>
      </w:r>
      <w:r w:rsidR="00F33368">
        <w:t xml:space="preserve">izvirzīto </w:t>
      </w:r>
      <w:r w:rsidRPr="008F64A0">
        <w:t>mērķu sasniegšanā</w:t>
      </w:r>
      <w:r w:rsidR="00F33368">
        <w:t>, stiprinot kopējo drošības līmeni</w:t>
      </w:r>
      <w:r w:rsidRPr="008F64A0">
        <w:t xml:space="preserve">. </w:t>
      </w:r>
    </w:p>
    <w:p w14:paraId="4036D917" w14:textId="2B7D226B" w:rsidR="00AD7A7B" w:rsidRDefault="00AD7A7B" w:rsidP="00AD7A7B">
      <w:r w:rsidRPr="00CF42A1">
        <w:t xml:space="preserve">Veiktā finansējuma saņēmēju aptaujas rezultāti atklāj, ka </w:t>
      </w:r>
      <w:r>
        <w:t>58</w:t>
      </w:r>
      <w:r w:rsidRPr="00CF42A1">
        <w:t xml:space="preserve"> % respondentu vērtē projektu mērķu sasniegšanu kā pilnībā īstenotu, savukārt </w:t>
      </w:r>
      <w:r>
        <w:t>42</w:t>
      </w:r>
      <w:r w:rsidRPr="00CF42A1">
        <w:t> % norāda uz daļēju mērķu sasniegšanu, turpinot to īstenošanu Iekšlietu fondu programmu 2021.-2027. gada plānošanas periodā (</w:t>
      </w:r>
      <w:r>
        <w:fldChar w:fldCharType="begin"/>
      </w:r>
      <w:r>
        <w:instrText xml:space="preserve"> REF _Ref190869162 \h </w:instrText>
      </w:r>
      <w:r>
        <w:fldChar w:fldCharType="separate"/>
      </w:r>
      <w:r w:rsidR="000523B6">
        <w:t xml:space="preserve">Attēls </w:t>
      </w:r>
      <w:r w:rsidR="000523B6">
        <w:rPr>
          <w:noProof/>
        </w:rPr>
        <w:t>16</w:t>
      </w:r>
      <w:r>
        <w:fldChar w:fldCharType="end"/>
      </w:r>
      <w:r w:rsidRPr="00CF42A1">
        <w:t xml:space="preserve">). </w:t>
      </w:r>
    </w:p>
    <w:p w14:paraId="05AF7899" w14:textId="2AB1C57C" w:rsidR="00F61E87" w:rsidRDefault="00A74D4B" w:rsidP="00F34B83">
      <w:r w:rsidRPr="00FD5223">
        <w:t xml:space="preserve">IDF ietvaros </w:t>
      </w:r>
      <w:r w:rsidR="00F33368">
        <w:t>policijas, noziedzības un krīžu</w:t>
      </w:r>
      <w:r w:rsidR="00F33368" w:rsidRPr="008F64A0">
        <w:t xml:space="preserve"> </w:t>
      </w:r>
      <w:r w:rsidRPr="00FD5223">
        <w:t xml:space="preserve">jomā tika identificēti vairāki būtiski veicinošie faktori. </w:t>
      </w:r>
      <w:r w:rsidR="00F34B83">
        <w:t xml:space="preserve"> Finansējuma saņēmēju vērtējumā projektu komandu iepriekšējā pieredze un zināšanas no citiem projektiem ļāva izvairīties no potenciālām kļūdām un efektīvāk pārvaldīt projektu aktivitātes. </w:t>
      </w:r>
    </w:p>
    <w:p w14:paraId="206528AF" w14:textId="481C38A3" w:rsidR="007D492C" w:rsidRDefault="00DC10E8" w:rsidP="00F34B83">
      <w:r>
        <w:t>Vienlaikus interviju ietvaros i</w:t>
      </w:r>
      <w:r w:rsidR="00F34B83">
        <w:t xml:space="preserve">epirkumu pirmspārbaudes ir identificēts kā </w:t>
      </w:r>
      <w:r w:rsidR="00C76B6E">
        <w:t xml:space="preserve">viens no </w:t>
      </w:r>
      <w:r w:rsidR="00F34B83">
        <w:t>instrument</w:t>
      </w:r>
      <w:r w:rsidR="00C76B6E">
        <w:t>iem, kas</w:t>
      </w:r>
      <w:r w:rsidR="00F34B83">
        <w:t xml:space="preserve"> palīdzēja novērst iespējamās problēmas iepirkumu procesā, lai gan tas prasīja papildu laika </w:t>
      </w:r>
      <w:r w:rsidR="00C76B6E">
        <w:t xml:space="preserve">un administratīvos </w:t>
      </w:r>
      <w:r w:rsidR="00F34B83">
        <w:t>resursu</w:t>
      </w:r>
      <w:r w:rsidR="00C76B6E">
        <w:t>s</w:t>
      </w:r>
      <w:r w:rsidR="00F34B83">
        <w:t xml:space="preserve">. </w:t>
      </w:r>
      <w:r w:rsidR="007D492C">
        <w:t>Elastīga pieeja līdzekļu pārdalē ļāva efektīvi izmantot projektu budžetu, piemēram, pasākumu ietvaros neapgūtie līdzekļi tika novirzīti citu aktivitāšu īstenošanai gan projektu gan fonda ietvaros.</w:t>
      </w:r>
    </w:p>
    <w:p w14:paraId="32F29A80" w14:textId="5C735AF2" w:rsidR="00F34B83" w:rsidRDefault="00DC10E8" w:rsidP="00F34B83">
      <w:r>
        <w:t>Tāpat</w:t>
      </w:r>
      <w:r w:rsidR="00F34B83">
        <w:t xml:space="preserve"> finansējuma saņēmēji norāda uz konstruktīvu sadarbību ar atbildīgo iestādi, kas palīdzēja problēmu risināšanā, nodrošinot konsultācijas un ieteikumus.</w:t>
      </w:r>
      <w:r w:rsidR="00EB3E85">
        <w:t xml:space="preserve"> </w:t>
      </w:r>
      <w:r w:rsidR="007D492C">
        <w:t>Vienlaikus</w:t>
      </w:r>
      <w:r w:rsidR="00EB3E85">
        <w:t xml:space="preserve"> šajā aspektā </w:t>
      </w:r>
      <w:r w:rsidR="00E07D90" w:rsidRPr="00E07D90">
        <w:t xml:space="preserve">identificēta nepieciešamība </w:t>
      </w:r>
      <w:r w:rsidR="00E07D90" w:rsidRPr="00E07D90">
        <w:lastRenderedPageBreak/>
        <w:t>uzlabot informācijas apmaiņas savlaicīgumu un lēmumu paredzamību, jo izmaiņas iepriekš plānotajā radīja papildu izaicinājumus</w:t>
      </w:r>
      <w:r w:rsidR="00E07D90">
        <w:t xml:space="preserve"> atsevišķu projektu īstenošanas procesā</w:t>
      </w:r>
      <w:r w:rsidR="00E07D90" w:rsidRPr="00E07D90">
        <w:t>.</w:t>
      </w:r>
    </w:p>
    <w:p w14:paraId="496BF18A" w14:textId="28B5431A" w:rsidR="00322FE9" w:rsidRDefault="00322FE9" w:rsidP="00322FE9">
      <w:r>
        <w:t>Finansējuma saņēmēji aptaujā kā nozīmīgāko</w:t>
      </w:r>
      <w:r w:rsidR="00820A93">
        <w:t>s</w:t>
      </w:r>
      <w:r>
        <w:t xml:space="preserve"> faktoru</w:t>
      </w:r>
      <w:r w:rsidR="00820A93">
        <w:t>s</w:t>
      </w:r>
      <w:r>
        <w:t>, kas veicinājis projektu ieviešanu,</w:t>
      </w:r>
      <w:r w:rsidR="00820A93">
        <w:t xml:space="preserve"> identificē</w:t>
      </w:r>
      <w:r>
        <w:t xml:space="preserve"> iepriekšējo projektu vadības pieredzi</w:t>
      </w:r>
      <w:r w:rsidR="00820A93">
        <w:t xml:space="preserve">, kā </w:t>
      </w:r>
      <w:r>
        <w:t>arī regulāru komunikāciju un sadarbību ar atbildīgo iestādi (</w:t>
      </w:r>
      <w:r>
        <w:fldChar w:fldCharType="begin"/>
      </w:r>
      <w:r>
        <w:instrText xml:space="preserve"> REF _Ref190869399 \h </w:instrText>
      </w:r>
      <w:r>
        <w:fldChar w:fldCharType="separate"/>
      </w:r>
      <w:r w:rsidR="000523B6">
        <w:t xml:space="preserve">Attēls </w:t>
      </w:r>
      <w:r w:rsidR="000523B6">
        <w:rPr>
          <w:noProof/>
        </w:rPr>
        <w:t>17</w:t>
      </w:r>
      <w:r>
        <w:fldChar w:fldCharType="end"/>
      </w:r>
      <w:r w:rsidR="00F03A2C">
        <w:t>)</w:t>
      </w:r>
      <w:r>
        <w:t>.</w:t>
      </w:r>
    </w:p>
    <w:p w14:paraId="351525FA" w14:textId="5AD2A4D2" w:rsidR="009932B8" w:rsidRDefault="00820A93" w:rsidP="00322FE9">
      <w:r>
        <w:t xml:space="preserve">Savukārt Programmas uzraudzības aspektā kā labo praksi revīzijas iestādes pārstāvji identificē projektu plānošanu un īstenošana primāri viena resora ietvaros. Piemēram, izveidotā projektu uzraudzības padome tiek vērtēts kā efektīvs mehānisms, lai risinātu kopīgas problēmas un nodrošinātu efektīvāku projektu īstenošanu. </w:t>
      </w:r>
      <w:r w:rsidR="00DA650B">
        <w:t>Turklāt</w:t>
      </w:r>
      <w:r>
        <w:t xml:space="preserve">, tā kā finansējuma saņēmēji lielākoties ir IeM padotības iestādes, ir nodrošināti papildu sadarbības un kontroles mehānismi starp </w:t>
      </w:r>
      <w:r w:rsidR="00517E2B">
        <w:t>atbildīgo</w:t>
      </w:r>
      <w:r>
        <w:t xml:space="preserve"> iestādi un finansējuma saņēmējiem. </w:t>
      </w:r>
      <w:r w:rsidR="00DA650B">
        <w:t xml:space="preserve">Tomēr vienlaikus Programmas plānošana un īstenošana viena resora ietvaros </w:t>
      </w:r>
      <w:r w:rsidR="00900BDD">
        <w:t xml:space="preserve">ierobežo </w:t>
      </w:r>
      <w:r w:rsidR="00BD705A" w:rsidRPr="00BD705A">
        <w:t>plašāka stratēģiskā redzējuma un starpnozaru perspektīvas</w:t>
      </w:r>
      <w:r w:rsidR="00BD705A">
        <w:t xml:space="preserve"> integrēšanu Programmas aktivitātēs</w:t>
      </w:r>
      <w:r w:rsidR="00BD705A" w:rsidRPr="00BD705A">
        <w:t>.</w:t>
      </w:r>
      <w:r w:rsidR="00DA650B">
        <w:t xml:space="preserve"> </w:t>
      </w:r>
    </w:p>
    <w:p w14:paraId="66B8DE8B" w14:textId="1EE8B934" w:rsidR="00BD5BF1" w:rsidRDefault="00BD5BF1" w:rsidP="00BD5BF1">
      <w:r w:rsidRPr="00B901AF">
        <w:t>IDF nacionālās programmas īstenošanas analīze, balstoties uz finansējuma saņēmēju aptaujas rezultātiem,</w:t>
      </w:r>
      <w:r w:rsidR="0017657A">
        <w:t xml:space="preserve"> identificē</w:t>
      </w:r>
      <w:r w:rsidRPr="00B901AF">
        <w:t xml:space="preserve"> trīs galvenos ārējos izaicinājumus, kas ietekmēja projekta mērķu sasniegšanu un līdz ar to arī kopējo Programmas mērķu īstenošanu.</w:t>
      </w:r>
      <w:r>
        <w:t xml:space="preserve"> Izaicinājumi ir bijuši saistīti ar </w:t>
      </w:r>
      <w:r w:rsidRPr="00B901AF">
        <w:t>Krievijas militārā iebrukuma Ukrainā izraisītās sekas, kas veidojas gan kā vispārējs cenu līmeņa kāpums, gan kā piegādes ķēžu pārrāvumus</w:t>
      </w:r>
      <w:r>
        <w:t xml:space="preserve">, ar aspektiem, kas saistīti iepirkumu procedūru sagatavošanu un īstenošanu, kā arī </w:t>
      </w:r>
      <w:r w:rsidRPr="00B901AF">
        <w:t>ģeopolitiskās izmaiņas, kas izpaudās, piemēram, ārējās drošības risku eskalācijā</w:t>
      </w:r>
      <w:r>
        <w:t xml:space="preserve"> </w:t>
      </w:r>
      <w:r w:rsidRPr="00B901AF">
        <w:t>(</w:t>
      </w:r>
      <w:r>
        <w:fldChar w:fldCharType="begin"/>
      </w:r>
      <w:r>
        <w:instrText xml:space="preserve"> REF _Ref190869862 \h </w:instrText>
      </w:r>
      <w:r>
        <w:fldChar w:fldCharType="separate"/>
      </w:r>
      <w:r w:rsidR="000523B6">
        <w:t xml:space="preserve">Attēls </w:t>
      </w:r>
      <w:r w:rsidR="000523B6">
        <w:rPr>
          <w:noProof/>
        </w:rPr>
        <w:t>18</w:t>
      </w:r>
      <w:r>
        <w:fldChar w:fldCharType="end"/>
      </w:r>
      <w:r w:rsidRPr="00B901AF">
        <w:t>).</w:t>
      </w:r>
      <w:r>
        <w:t xml:space="preserve"> </w:t>
      </w:r>
    </w:p>
    <w:p w14:paraId="532069EF" w14:textId="6482A603" w:rsidR="009C741F" w:rsidRDefault="008356D1" w:rsidP="008356D1">
      <w:r w:rsidRPr="008535DB">
        <w:t xml:space="preserve">IDF policijai, noziedzībai un krīzēm </w:t>
      </w:r>
      <w:r w:rsidR="00217D07" w:rsidRPr="008535DB">
        <w:t xml:space="preserve">finansējuma saņēmēji kā būtiskākos izaicinājumus norāda Krievijas uzsākto karu Ukrainā un </w:t>
      </w:r>
      <w:r w:rsidR="00305A37" w:rsidRPr="008535DB">
        <w:t xml:space="preserve">ģeopolitiskās izmaiņas, kā </w:t>
      </w:r>
      <w:r w:rsidR="008535DB" w:rsidRPr="008535DB">
        <w:t>rezultāt</w:t>
      </w:r>
      <w:r w:rsidR="008535DB">
        <w:t xml:space="preserve">ā </w:t>
      </w:r>
      <w:r w:rsidR="00305A37" w:rsidRPr="008535DB">
        <w:t>tika novērots cenu kāpums un piegādes ķēžu traucējumi.</w:t>
      </w:r>
      <w:r w:rsidR="00064DB4" w:rsidRPr="008535DB">
        <w:t xml:space="preserve"> Tā rezultātā finansējuma saņēmēj</w:t>
      </w:r>
      <w:r w:rsidR="00160561">
        <w:t>i</w:t>
      </w:r>
      <w:r w:rsidR="00064DB4" w:rsidRPr="008535DB">
        <w:t xml:space="preserve"> saskārās ar izaicinājumiem gan projektā plānoto būvniecības procesu īstenošanai, gan specializēta aprīkojuma piegādē. </w:t>
      </w:r>
      <w:r w:rsidR="009C741F" w:rsidRPr="008535DB">
        <w:t>Ņemot vērā, p</w:t>
      </w:r>
      <w:r w:rsidR="009C741F" w:rsidRPr="008356D1">
        <w:t>rojektu budžetu</w:t>
      </w:r>
      <w:r w:rsidR="009C741F" w:rsidRPr="008535DB">
        <w:t>s</w:t>
      </w:r>
      <w:r w:rsidR="009C741F" w:rsidRPr="008356D1">
        <w:t xml:space="preserve"> un</w:t>
      </w:r>
      <w:r w:rsidR="009C741F" w:rsidRPr="008535DB">
        <w:t xml:space="preserve"> noteiktos</w:t>
      </w:r>
      <w:r w:rsidR="009C741F" w:rsidRPr="008356D1">
        <w:t xml:space="preserve"> </w:t>
      </w:r>
      <w:r w:rsidR="009C741F" w:rsidRPr="008535DB">
        <w:t xml:space="preserve">terminus, vairāki projekti saskārās ar grūtībām īstenot visas plānotās aktivitātes. Tādējādi </w:t>
      </w:r>
      <w:r w:rsidR="001D7BC6" w:rsidRPr="008535DB">
        <w:t xml:space="preserve">atsevišķu </w:t>
      </w:r>
      <w:r w:rsidR="005F6EFF" w:rsidRPr="008535DB">
        <w:t>uzsākto aktivitāšu pabeigšana ir tikusi pārcelta uz 2021</w:t>
      </w:r>
      <w:r w:rsidR="00160561">
        <w:t>.</w:t>
      </w:r>
      <w:r w:rsidR="005F6EFF" w:rsidRPr="008535DB">
        <w:t>-2027.</w:t>
      </w:r>
      <w:r w:rsidR="00160561">
        <w:t xml:space="preserve"> </w:t>
      </w:r>
      <w:r w:rsidR="005F6EFF" w:rsidRPr="008535DB">
        <w:t>gada plānošanas periodu</w:t>
      </w:r>
      <w:r w:rsidR="001D7BC6" w:rsidRPr="008535DB">
        <w:t>, kā p</w:t>
      </w:r>
      <w:r w:rsidR="005F6EFF" w:rsidRPr="008535DB">
        <w:t>iemēram, CBRNE mācību poligona izveides pabeigšana</w:t>
      </w:r>
      <w:r w:rsidR="00B471DC">
        <w:t xml:space="preserve"> un NKIM ieviešana</w:t>
      </w:r>
      <w:r w:rsidR="001D7BC6" w:rsidRPr="008535DB">
        <w:t xml:space="preserve">. </w:t>
      </w:r>
    </w:p>
    <w:p w14:paraId="4874BE09" w14:textId="77777777" w:rsidR="00B471DC" w:rsidRDefault="00B471DC" w:rsidP="008356D1">
      <w:r>
        <w:t xml:space="preserve">Vienlaikus izaicinājumus projekta īstenošanā radījusi arī sadarbība ar projekta partneriem, kas ietekmēja efektīvu un savlaicīgu aktivitāšu ieviešanu. </w:t>
      </w:r>
    </w:p>
    <w:p w14:paraId="7853DA95" w14:textId="0A58AD41" w:rsidR="007F62CB" w:rsidRDefault="00405480" w:rsidP="000366C9">
      <w:r w:rsidRPr="00405480">
        <w:rPr>
          <w:rFonts w:cstheme="minorHAnsi"/>
        </w:rPr>
        <w:t>Revīzijas un atbildīgās iestādes pārstāvji atzīmē, ka Programma nodrošināja elastīgu pieeju, ļaujot pielāgot sākotnēji plānotās aktivitātes un turpināt nesasniegto rezultātu īstenošanu nākamajā plānošanas periodā. Lai arī šāda pielāgošanās bija pamatota ar objektīviem apstākļiem, tā daļēji ietekmēja sākotnēji iecerēto progresu. Rezultātā daļa 2014.-</w:t>
      </w:r>
      <w:r>
        <w:rPr>
          <w:rFonts w:cstheme="minorHAnsi"/>
        </w:rPr>
        <w:t xml:space="preserve"> </w:t>
      </w:r>
      <w:r w:rsidRPr="00405480">
        <w:rPr>
          <w:rFonts w:cstheme="minorHAnsi"/>
        </w:rPr>
        <w:t>2020. gada plānošanas perioda aktivitāšu pārklājas ar nākamo periodu, kurā paralēli jāīsteno arī jaunie attīstības virzieni un iniciatīvas.</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575721AF" w14:textId="77777777" w:rsidTr="00220E0C">
        <w:tc>
          <w:tcPr>
            <w:tcW w:w="10252" w:type="dxa"/>
            <w:shd w:val="clear" w:color="auto" w:fill="F3B8FF" w:themeFill="accent6" w:themeFillTint="33"/>
          </w:tcPr>
          <w:p w14:paraId="0C300CC8" w14:textId="368E5827" w:rsidR="0049533B" w:rsidRPr="008F64A0" w:rsidRDefault="0049533B" w:rsidP="00A239D8">
            <w:pPr>
              <w:rPr>
                <w:i/>
                <w:iCs/>
                <w:color w:val="5A5A5A" w:themeColor="accent1" w:themeTint="BF"/>
              </w:rPr>
            </w:pPr>
            <w:r w:rsidRPr="008F64A0">
              <w:rPr>
                <w:i/>
                <w:iCs/>
                <w:color w:val="5A5A5A" w:themeColor="accent1" w:themeTint="BF"/>
              </w:rPr>
              <w:t xml:space="preserve">Apakšjautājums: </w:t>
            </w:r>
            <w:r w:rsidR="00FD6E6C" w:rsidRPr="008F64A0">
              <w:rPr>
                <w:i/>
                <w:iCs/>
                <w:color w:val="5A5A5A" w:themeColor="accent1" w:themeTint="BF"/>
              </w:rPr>
              <w:t>Kā fonds veicināja šādus konkrētos mērķus?</w:t>
            </w:r>
            <w:r w:rsidRPr="008F64A0">
              <w:rPr>
                <w:i/>
                <w:iCs/>
                <w:color w:val="5A5A5A" w:themeColor="accent1" w:themeTint="BF"/>
              </w:rPr>
              <w:t>:</w:t>
            </w:r>
          </w:p>
          <w:p w14:paraId="12F94C40" w14:textId="74C8581E" w:rsidR="00FD6E6C" w:rsidRPr="008F64A0" w:rsidRDefault="00FD6E6C" w:rsidP="00384A63">
            <w:pPr>
              <w:pStyle w:val="Sarakstarindkopa"/>
              <w:numPr>
                <w:ilvl w:val="0"/>
                <w:numId w:val="18"/>
              </w:numPr>
              <w:spacing w:before="0" w:line="240" w:lineRule="auto"/>
              <w:rPr>
                <w:i/>
                <w:iCs/>
                <w:color w:val="5A5A5A" w:themeColor="accent1" w:themeTint="BF"/>
              </w:rPr>
            </w:pPr>
            <w:r w:rsidRPr="008F64A0">
              <w:rPr>
                <w:i/>
                <w:iCs/>
                <w:color w:val="5A5A5A" w:themeColor="accent1" w:themeTint="BF"/>
              </w:rPr>
              <w:t>Pārrobežu, smagas un organizētas noziedzības, tostarp terorisma, novēršana;</w:t>
            </w:r>
          </w:p>
          <w:p w14:paraId="72B759AE" w14:textId="32782448" w:rsidR="003B1811" w:rsidRDefault="00FD6E6C" w:rsidP="00B76001">
            <w:pPr>
              <w:pStyle w:val="Sarakstarindkopa"/>
              <w:numPr>
                <w:ilvl w:val="0"/>
                <w:numId w:val="18"/>
              </w:numPr>
              <w:tabs>
                <w:tab w:val="left" w:pos="2813"/>
              </w:tabs>
              <w:spacing w:before="0" w:line="240" w:lineRule="auto"/>
              <w:rPr>
                <w:i/>
                <w:iCs/>
                <w:color w:val="5A5A5A" w:themeColor="accent1" w:themeTint="BF"/>
              </w:rPr>
            </w:pPr>
            <w:r w:rsidRPr="003A3B48">
              <w:rPr>
                <w:i/>
                <w:iCs/>
                <w:color w:val="5A5A5A" w:themeColor="accent1" w:themeTint="BF"/>
              </w:rPr>
              <w:t>Koordinācijas un sadarbības pastiprināšana starp dalībvalstu tiesībaizsardzības iestādēm un citām valsts iestādēm, tostarp ar Eiropolu vai citām attiecīgajām Savienības struktūrām, un ar attiecīgām trešām valstīm un starptautiskajām organizācijām</w:t>
            </w:r>
            <w:r w:rsidR="003B1811" w:rsidRPr="003A3B48">
              <w:rPr>
                <w:i/>
                <w:iCs/>
                <w:color w:val="5A5A5A" w:themeColor="accent1" w:themeTint="BF"/>
              </w:rPr>
              <w:t>.</w:t>
            </w:r>
          </w:p>
          <w:p w14:paraId="248FFB8D" w14:textId="77777777" w:rsidR="003A3B48" w:rsidRPr="003A3B48" w:rsidRDefault="003A3B48" w:rsidP="003A3B48">
            <w:pPr>
              <w:tabs>
                <w:tab w:val="left" w:pos="2813"/>
              </w:tabs>
              <w:spacing w:before="0" w:line="240" w:lineRule="auto"/>
              <w:rPr>
                <w:i/>
                <w:iCs/>
                <w:color w:val="5A5A5A" w:themeColor="accent1" w:themeTint="BF"/>
              </w:rPr>
            </w:pPr>
          </w:p>
          <w:p w14:paraId="59EE4903" w14:textId="77777777" w:rsidR="003B1811" w:rsidRPr="003B1811" w:rsidRDefault="003B1811" w:rsidP="003B1811">
            <w:pPr>
              <w:pStyle w:val="Sarakstarindkopa"/>
              <w:numPr>
                <w:ilvl w:val="0"/>
                <w:numId w:val="19"/>
              </w:numPr>
              <w:rPr>
                <w:i/>
                <w:iCs/>
                <w:color w:val="5A5A5A" w:themeColor="accent1" w:themeTint="BF"/>
                <w:sz w:val="20"/>
                <w:szCs w:val="20"/>
              </w:rPr>
            </w:pPr>
            <w:r w:rsidRPr="003B1811">
              <w:rPr>
                <w:i/>
                <w:iCs/>
                <w:color w:val="5A5A5A" w:themeColor="accent1" w:themeTint="BF"/>
                <w:sz w:val="20"/>
                <w:szCs w:val="20"/>
              </w:rPr>
              <w:t>Kāds progress tika panākts, lai sasniegtu iecerētos rezultātus, tiecoties palielināt dalībvalstu spējas apkarot pārrobežu un smagus noziegumus un organizētu noziedzību, tostarp terorismu, un lai pastiprinātu to savstarpējo sadarbību šajā jomā, un kā fonds veicināja šā progresa panākšanu?</w:t>
            </w:r>
          </w:p>
          <w:p w14:paraId="2573D7ED" w14:textId="77777777" w:rsidR="003B1811" w:rsidRPr="003B1811" w:rsidRDefault="003B1811" w:rsidP="003B1811">
            <w:pPr>
              <w:pStyle w:val="Sarakstarindkopa"/>
              <w:numPr>
                <w:ilvl w:val="0"/>
                <w:numId w:val="19"/>
              </w:numPr>
              <w:rPr>
                <w:i/>
                <w:iCs/>
                <w:color w:val="5A5A5A" w:themeColor="accent1" w:themeTint="BF"/>
                <w:sz w:val="20"/>
                <w:szCs w:val="20"/>
              </w:rPr>
            </w:pPr>
            <w:r w:rsidRPr="003B1811">
              <w:rPr>
                <w:i/>
                <w:iCs/>
                <w:color w:val="5A5A5A" w:themeColor="accent1" w:themeTint="BF"/>
                <w:sz w:val="20"/>
                <w:szCs w:val="20"/>
              </w:rPr>
              <w:t xml:space="preserve"> Kāds progress tika panākts ceļā uz administratīvās un operatīvās koordinācijas un sadarbības izveidi starp dalībvalstu publiskajām iestādēm, Eiropolu vai citām attiecīgajām Savienības struktūrām un </w:t>
            </w:r>
            <w:r w:rsidRPr="003B1811">
              <w:rPr>
                <w:i/>
                <w:iCs/>
                <w:color w:val="5A5A5A" w:themeColor="accent1" w:themeTint="BF"/>
                <w:sz w:val="20"/>
                <w:szCs w:val="20"/>
              </w:rPr>
              <w:lastRenderedPageBreak/>
              <w:t>attiecīgā gadījumā ar trešām valstīm un starptautiskajām organizācijām, un kā fonds veicināja šā progresa panākšanu?</w:t>
            </w:r>
          </w:p>
          <w:p w14:paraId="682F5EC9" w14:textId="77777777" w:rsidR="003B1811" w:rsidRPr="003B1811" w:rsidRDefault="003B1811" w:rsidP="003B1811">
            <w:pPr>
              <w:pStyle w:val="Sarakstarindkopa"/>
              <w:numPr>
                <w:ilvl w:val="0"/>
                <w:numId w:val="19"/>
              </w:numPr>
              <w:rPr>
                <w:i/>
                <w:iCs/>
                <w:color w:val="5A5A5A" w:themeColor="accent1" w:themeTint="BF"/>
                <w:sz w:val="20"/>
                <w:szCs w:val="20"/>
              </w:rPr>
            </w:pPr>
            <w:r w:rsidRPr="003B1811">
              <w:rPr>
                <w:i/>
                <w:iCs/>
                <w:color w:val="5A5A5A" w:themeColor="accent1" w:themeTint="BF"/>
                <w:sz w:val="20"/>
                <w:szCs w:val="20"/>
              </w:rPr>
              <w:t>Kāds progress tika panākts, lai izveidotu apmācību programmas, piemēram, attiecībā uz tehniskajām un profesionālajām iemaņām un zināšanām par pienākumiem saistībā ar cilvēktiesībām un pamatbrīvībām, lai īstenotu Eiropas apmācību politiku, tostarp, izmantojot īpašas Savienības apmaiņas programmas tiesībaizsardzības jomā, un kā fonds veicināja šā progresa panākšanu?</w:t>
            </w:r>
          </w:p>
          <w:p w14:paraId="6AB5B113" w14:textId="404EB3BD" w:rsidR="003B1811" w:rsidRPr="003A3B48" w:rsidRDefault="003B1811" w:rsidP="003A3B48">
            <w:pPr>
              <w:pStyle w:val="Sarakstarindkopa"/>
              <w:numPr>
                <w:ilvl w:val="0"/>
                <w:numId w:val="19"/>
              </w:numPr>
              <w:rPr>
                <w:i/>
                <w:iCs/>
                <w:color w:val="5A5A5A" w:themeColor="accent1" w:themeTint="BF"/>
                <w:sz w:val="20"/>
                <w:szCs w:val="20"/>
              </w:rPr>
            </w:pPr>
            <w:r w:rsidRPr="003B1811">
              <w:rPr>
                <w:i/>
                <w:iCs/>
                <w:color w:val="5A5A5A" w:themeColor="accent1" w:themeTint="BF"/>
                <w:sz w:val="20"/>
                <w:szCs w:val="20"/>
              </w:rPr>
              <w:t>Kāds progress tika panākts ceļā uz pasākumu, aizsardzības mehānismu un paraugprakses ieviešanu noziedzīgu nodarījumu liecinieku un cietušo, tostarp terorisma upuru apzināšanai un atbalstam, un kā fonds veicināja šā progresa panākšanu?</w:t>
            </w:r>
          </w:p>
        </w:tc>
      </w:tr>
    </w:tbl>
    <w:p w14:paraId="1E356B1A" w14:textId="704EB0AD" w:rsidR="006224AC" w:rsidRPr="006224AC" w:rsidRDefault="006224AC" w:rsidP="006224AC">
      <w:pPr>
        <w:rPr>
          <w:bCs/>
          <w:color w:val="232323" w:themeColor="text1"/>
        </w:rPr>
      </w:pPr>
      <w:r>
        <w:rPr>
          <w:bCs/>
          <w:color w:val="232323" w:themeColor="text1"/>
        </w:rPr>
        <w:lastRenderedPageBreak/>
        <w:t>Īstenoto projektu rezultātā i</w:t>
      </w:r>
      <w:r w:rsidRPr="006224AC">
        <w:rPr>
          <w:bCs/>
          <w:color w:val="232323" w:themeColor="text1"/>
        </w:rPr>
        <w:t>r</w:t>
      </w:r>
      <w:r>
        <w:rPr>
          <w:bCs/>
          <w:color w:val="232323" w:themeColor="text1"/>
        </w:rPr>
        <w:t xml:space="preserve"> </w:t>
      </w:r>
      <w:r w:rsidRPr="006224AC">
        <w:rPr>
          <w:bCs/>
          <w:color w:val="232323" w:themeColor="text1"/>
        </w:rPr>
        <w:t>stiprināta tiesīb</w:t>
      </w:r>
      <w:r w:rsidR="0004225F">
        <w:rPr>
          <w:bCs/>
          <w:color w:val="232323" w:themeColor="text1"/>
        </w:rPr>
        <w:t>sargājošo</w:t>
      </w:r>
      <w:r w:rsidRPr="006224AC">
        <w:rPr>
          <w:bCs/>
          <w:color w:val="232323" w:themeColor="text1"/>
        </w:rPr>
        <w:t xml:space="preserve"> iestāžu kapacitāte cīņā ar starptautisko pārrobežu un organizēto noziedzību. Izmantojot modern</w:t>
      </w:r>
      <w:r>
        <w:rPr>
          <w:bCs/>
          <w:color w:val="232323" w:themeColor="text1"/>
        </w:rPr>
        <w:t>izētas tehnoloģijas un</w:t>
      </w:r>
      <w:r w:rsidRPr="006224AC">
        <w:rPr>
          <w:bCs/>
          <w:color w:val="232323" w:themeColor="text1"/>
        </w:rPr>
        <w:t xml:space="preserve"> metodes, ir nodrošināta efektīvāka sadarbība Eiropas līmenī.</w:t>
      </w:r>
    </w:p>
    <w:p w14:paraId="025A74EE" w14:textId="1713F22A" w:rsidR="006224AC" w:rsidRPr="006224AC" w:rsidRDefault="006224AC" w:rsidP="006224AC">
      <w:pPr>
        <w:rPr>
          <w:bCs/>
          <w:color w:val="232323" w:themeColor="text1"/>
        </w:rPr>
      </w:pPr>
      <w:r w:rsidRPr="006224AC">
        <w:rPr>
          <w:bCs/>
          <w:color w:val="232323" w:themeColor="text1"/>
        </w:rPr>
        <w:t xml:space="preserve">Tiesu ekspertīžu jomā ir veikti nozīmīgi uzlabojumi </w:t>
      </w:r>
      <w:r w:rsidR="00295F52">
        <w:rPr>
          <w:rFonts w:cstheme="minorHAnsi"/>
        </w:rPr>
        <w:t>–</w:t>
      </w:r>
      <w:r w:rsidRPr="006224AC">
        <w:rPr>
          <w:bCs/>
          <w:color w:val="232323" w:themeColor="text1"/>
        </w:rPr>
        <w:t xml:space="preserve"> iestādes ir nodrošinātas ar modernu aprīkojumu un personāls ir saņēmis nepieciešamās apmācības. Tas ir veicinājis efektīvāku informācijas apmaiņu ar citām Eiropas tiesībaizsardzības iestādēm. Ir ieviesta nozieguma vietu apskates procesa kvalitātes vadības sistēma atbilstoši standartam ISO/IEC17020, kā arī pilnveidotas esošās un izstrādātas jaunas narkotiku testēšanas metodes. Būtiski ir stiprināta ES prioritārā joma kriminālistikas nozarē, īpaši DNS analīzē, pirkstu nospiedumu izpētē, viltojumu atklāšanā un sprāgstvielu izmeklēšanā. Tāpat ir uzlabota ballistisko izmeklējumu kvalitāte.</w:t>
      </w:r>
      <w:r>
        <w:rPr>
          <w:rStyle w:val="Vresatsauce"/>
          <w:bCs/>
          <w:color w:val="232323" w:themeColor="text1"/>
        </w:rPr>
        <w:footnoteReference w:id="56"/>
      </w:r>
    </w:p>
    <w:p w14:paraId="63446F94" w14:textId="34609880" w:rsidR="006224AC" w:rsidRPr="006224AC" w:rsidRDefault="006224AC" w:rsidP="006224AC">
      <w:pPr>
        <w:rPr>
          <w:bCs/>
          <w:color w:val="232323" w:themeColor="text1"/>
        </w:rPr>
      </w:pPr>
      <w:r w:rsidRPr="006224AC">
        <w:rPr>
          <w:bCs/>
          <w:color w:val="232323" w:themeColor="text1"/>
        </w:rPr>
        <w:t xml:space="preserve">Ir izveidots vienots modelis iesaistīto spēku prioritāšu noteikšanai cīņā pret smagu un organizēto noziedzību. Papildu tam ir uzlabotas kibernoziedzības novēršanas un apkarošanas spējas, ieviešot jaunas </w:t>
      </w:r>
      <w:r w:rsidR="001B7FB1">
        <w:rPr>
          <w:bCs/>
          <w:color w:val="232323" w:themeColor="text1"/>
        </w:rPr>
        <w:t>IS</w:t>
      </w:r>
      <w:r w:rsidRPr="006224AC">
        <w:rPr>
          <w:bCs/>
          <w:color w:val="232323" w:themeColor="text1"/>
        </w:rPr>
        <w:t xml:space="preserve"> un uzlabojot automātisku datu apmaiņu Eiropas līmenī.</w:t>
      </w:r>
    </w:p>
    <w:p w14:paraId="5FFFF18B" w14:textId="42FF8EE0" w:rsidR="00512AA6" w:rsidRPr="001B0A6F" w:rsidRDefault="006224AC" w:rsidP="001B0A6F">
      <w:pPr>
        <w:rPr>
          <w:bCs/>
          <w:color w:val="232323" w:themeColor="text1"/>
        </w:rPr>
      </w:pPr>
      <w:r w:rsidRPr="006224AC">
        <w:rPr>
          <w:bCs/>
          <w:color w:val="232323" w:themeColor="text1"/>
        </w:rPr>
        <w:t>Nozīmīgi uzlabojumi ir veikti arī pasažieru informācijas apstrādes jomā, nodrošinot pasažieru datu reģistra attīstību un pilnveidojot informācijas apstrādes procesu efektivitāti.</w:t>
      </w:r>
    </w:p>
    <w:tbl>
      <w:tblPr>
        <w:tblStyle w:val="Reatabula"/>
        <w:tblW w:w="0" w:type="auto"/>
        <w:shd w:val="clear" w:color="auto" w:fill="D8FBEB" w:themeFill="accent5" w:themeFillTint="33"/>
        <w:tblLook w:val="04A0" w:firstRow="1" w:lastRow="0" w:firstColumn="1" w:lastColumn="0" w:noHBand="0" w:noVBand="1"/>
      </w:tblPr>
      <w:tblGrid>
        <w:gridCol w:w="10252"/>
      </w:tblGrid>
      <w:tr w:rsidR="008D2FB2" w:rsidRPr="008F64A0" w14:paraId="3450B120" w14:textId="77777777" w:rsidTr="00220E0C">
        <w:tc>
          <w:tcPr>
            <w:tcW w:w="10252" w:type="dxa"/>
            <w:shd w:val="clear" w:color="auto" w:fill="F3B8FF" w:themeFill="accent6" w:themeFillTint="33"/>
          </w:tcPr>
          <w:p w14:paraId="02367377" w14:textId="77777777" w:rsidR="00A35142" w:rsidRDefault="008D2FB2" w:rsidP="00F237AC">
            <w:pPr>
              <w:spacing w:before="0" w:line="240" w:lineRule="auto"/>
              <w:rPr>
                <w:i/>
                <w:iCs/>
                <w:color w:val="5A5A5A" w:themeColor="accent1" w:themeTint="BF"/>
              </w:rPr>
            </w:pPr>
            <w:r w:rsidRPr="008F64A0">
              <w:rPr>
                <w:i/>
                <w:iCs/>
                <w:color w:val="5A5A5A" w:themeColor="accent1" w:themeTint="BF"/>
              </w:rPr>
              <w:t xml:space="preserve">Apakšjautājums: </w:t>
            </w:r>
            <w:r w:rsidR="00A35142" w:rsidRPr="008F64A0">
              <w:rPr>
                <w:i/>
                <w:iCs/>
                <w:color w:val="5A5A5A" w:themeColor="accent1" w:themeTint="BF"/>
              </w:rPr>
              <w:t>Kā fonds palīdzēja uzlabot dalībvalstu spēju efektīvi pārvaldīt ar drošību saistītus riskus un krīzes un aizsargāt cilvēkus un kritiskās infrastruktūras pret teroristu uzbrukumiem un citiem ar drošību saistītiem negadījumiem?</w:t>
            </w:r>
          </w:p>
          <w:p w14:paraId="7DF84776" w14:textId="77777777" w:rsidR="003A3B48" w:rsidRPr="003A3B48" w:rsidRDefault="003A3B48" w:rsidP="003A3B48">
            <w:pPr>
              <w:pStyle w:val="Sarakstarindkopa"/>
              <w:numPr>
                <w:ilvl w:val="0"/>
                <w:numId w:val="20"/>
              </w:numPr>
              <w:spacing w:before="0" w:after="0" w:line="240" w:lineRule="auto"/>
              <w:rPr>
                <w:i/>
                <w:iCs/>
                <w:color w:val="5A5A5A" w:themeColor="text2" w:themeTint="BF"/>
                <w:sz w:val="20"/>
                <w:szCs w:val="20"/>
              </w:rPr>
            </w:pPr>
            <w:r w:rsidRPr="003A3B48">
              <w:rPr>
                <w:i/>
                <w:iCs/>
                <w:color w:val="5A5A5A" w:themeColor="text2" w:themeTint="BF"/>
                <w:sz w:val="20"/>
                <w:szCs w:val="20"/>
              </w:rPr>
              <w:t>Kāds progress tika panākts, lai palielinātu dalībvalsts administratīvo un operatīvo spēju aizsargāt kritiskās infrastruktūras visās saimnieciskās darbības nozarēs, arī ar publiskā un privātā sektora partnerības palīdzību un uzlabotu koordināciju, sadarbību, kompetences un pieredzes apmaiņu un izplatīšanu Savienībā un ar attiecīgām trešām valstīm, un kā fonds veicināja šā progresa panākšanu?</w:t>
            </w:r>
          </w:p>
          <w:p w14:paraId="38DA72A8" w14:textId="77777777" w:rsidR="003A3B48" w:rsidRPr="003A3B48" w:rsidRDefault="003A3B48" w:rsidP="003A3B48">
            <w:pPr>
              <w:pStyle w:val="Sarakstarindkopa"/>
              <w:numPr>
                <w:ilvl w:val="0"/>
                <w:numId w:val="20"/>
              </w:numPr>
              <w:spacing w:before="0" w:after="0" w:line="240" w:lineRule="auto"/>
              <w:rPr>
                <w:i/>
                <w:iCs/>
                <w:color w:val="5A5A5A" w:themeColor="text2" w:themeTint="BF"/>
                <w:sz w:val="20"/>
                <w:szCs w:val="20"/>
              </w:rPr>
            </w:pPr>
            <w:r w:rsidRPr="003A3B48">
              <w:rPr>
                <w:i/>
                <w:iCs/>
                <w:color w:val="5A5A5A" w:themeColor="text2" w:themeTint="BF"/>
                <w:sz w:val="20"/>
                <w:szCs w:val="20"/>
              </w:rPr>
              <w:t>Kāds progress tika panākts, lai izveidotu drošas saites un efektīvu koordināciju starp esošajiem nozares dalībniekiem agrīnās brīdināšanas un krīzes sadarbības jomā Savienības un valstu līmenī, un kā fonds veicināja šā progresa panākšanu?</w:t>
            </w:r>
          </w:p>
          <w:p w14:paraId="3A6E4B6F" w14:textId="7426B8DA" w:rsidR="003A3B48" w:rsidRPr="003A3B48" w:rsidRDefault="003A3B48" w:rsidP="00F237AC">
            <w:pPr>
              <w:pStyle w:val="Sarakstarindkopa"/>
              <w:numPr>
                <w:ilvl w:val="0"/>
                <w:numId w:val="20"/>
              </w:numPr>
              <w:spacing w:before="0" w:after="0" w:line="240" w:lineRule="auto"/>
              <w:rPr>
                <w:i/>
                <w:iCs/>
                <w:color w:val="ACAEAC" w:themeColor="accent2"/>
              </w:rPr>
            </w:pPr>
            <w:r w:rsidRPr="003A3B48">
              <w:rPr>
                <w:i/>
                <w:iCs/>
                <w:color w:val="5A5A5A" w:themeColor="text2" w:themeTint="BF"/>
                <w:sz w:val="20"/>
                <w:szCs w:val="20"/>
              </w:rPr>
              <w:t>Kāds progress tika panākts, lai uzlabotu dalībvalstu un Savienības administratīvo un operatīvo spēju sagatavot visaptverošus apdraudējuma un riska novērtējumus, un kā fonds veicināja šā progresa panākšanu?</w:t>
            </w:r>
          </w:p>
        </w:tc>
      </w:tr>
    </w:tbl>
    <w:p w14:paraId="3F0FA677" w14:textId="063216BC" w:rsidR="005366FE" w:rsidRPr="005366FE" w:rsidRDefault="005366FE" w:rsidP="005366FE">
      <w:pPr>
        <w:rPr>
          <w:bCs/>
        </w:rPr>
      </w:pPr>
      <w:r>
        <w:rPr>
          <w:bCs/>
        </w:rPr>
        <w:t>Programmas rezultātā i</w:t>
      </w:r>
      <w:r w:rsidRPr="005366FE">
        <w:rPr>
          <w:bCs/>
        </w:rPr>
        <w:t xml:space="preserve">r nodrošināta efektīvāka </w:t>
      </w:r>
      <w:r>
        <w:rPr>
          <w:bCs/>
        </w:rPr>
        <w:t>krīžu</w:t>
      </w:r>
      <w:r w:rsidRPr="005366FE">
        <w:rPr>
          <w:bCs/>
        </w:rPr>
        <w:t xml:space="preserve"> pārvaldība un samazināti </w:t>
      </w:r>
      <w:r>
        <w:rPr>
          <w:bCs/>
        </w:rPr>
        <w:t xml:space="preserve">ar to saistītie </w:t>
      </w:r>
      <w:r w:rsidRPr="005366FE">
        <w:rPr>
          <w:bCs/>
        </w:rPr>
        <w:t>riski. Īpaša uzmanība pievērsta CBRNE draudu novēršanai, kā arī veiksmīgai dalībai starptautiskajā ATLAS tīklā.</w:t>
      </w:r>
    </w:p>
    <w:p w14:paraId="5672090F" w14:textId="1CCDD87F" w:rsidR="005366FE" w:rsidRPr="005366FE" w:rsidRDefault="005366FE" w:rsidP="005366FE">
      <w:pPr>
        <w:rPr>
          <w:bCs/>
        </w:rPr>
      </w:pPr>
      <w:r>
        <w:rPr>
          <w:bCs/>
        </w:rPr>
        <w:t>Projektu rezultātā b</w:t>
      </w:r>
      <w:r w:rsidRPr="005366FE">
        <w:rPr>
          <w:bCs/>
        </w:rPr>
        <w:t xml:space="preserve">ūtiski uzlabota apmācību vide un apstākļi operatīvajiem dienestiem, nodrošinot iespējas praktiskai darbībai dažāda rakstura glābšanas situācijās, īpaši CBRNE </w:t>
      </w:r>
      <w:r w:rsidR="00440CB9">
        <w:rPr>
          <w:bCs/>
        </w:rPr>
        <w:t>gadījumā</w:t>
      </w:r>
      <w:r w:rsidRPr="005366FE">
        <w:rPr>
          <w:bCs/>
        </w:rPr>
        <w:t xml:space="preserve">. Šim mērķim izstrādāti </w:t>
      </w:r>
      <w:r w:rsidRPr="005366FE">
        <w:rPr>
          <w:bCs/>
        </w:rPr>
        <w:lastRenderedPageBreak/>
        <w:t>īpaši pielāgoti treniņlaukumi un praktiskie simulatori, kas ļauj pārbaudīt un pilnveidot pirmās palīdzības sniegšanas iemaņas un tehniskā aprīkojuma pielietošanas prasmes.</w:t>
      </w:r>
    </w:p>
    <w:p w14:paraId="51CBB2A9" w14:textId="5D4E879C" w:rsidR="00736D83" w:rsidRDefault="00822ADF" w:rsidP="005366FE">
      <w:pPr>
        <w:rPr>
          <w:bCs/>
        </w:rPr>
      </w:pPr>
      <w:r>
        <w:rPr>
          <w:bCs/>
        </w:rPr>
        <w:t>I</w:t>
      </w:r>
      <w:r w:rsidRPr="005366FE">
        <w:rPr>
          <w:bCs/>
        </w:rPr>
        <w:t>r uzlabota pretterorisma vienību kapacitāte un to iesaiste ATLAS tīklā, izveidojot speciāli pielāgotu apmācību infrastruktūru un nodrošinot atbilstošus treniņu apstākļus.</w:t>
      </w:r>
      <w:r>
        <w:rPr>
          <w:bCs/>
        </w:rPr>
        <w:t xml:space="preserve"> Papildu tam VUGD</w:t>
      </w:r>
      <w:r w:rsidR="005366FE" w:rsidRPr="005366FE">
        <w:rPr>
          <w:bCs/>
        </w:rPr>
        <w:t xml:space="preserve"> nodrošināt</w:t>
      </w:r>
      <w:r>
        <w:rPr>
          <w:bCs/>
        </w:rPr>
        <w:t>s</w:t>
      </w:r>
      <w:r w:rsidR="005366FE" w:rsidRPr="005366FE">
        <w:rPr>
          <w:bCs/>
        </w:rPr>
        <w:t xml:space="preserve"> ar modernu CBRNE tehnoloģiju un specializētu glābšanas aprīkojumu, tostarp specializētām automašīnām un piekabēm CBRNE incidentu seku likvidēšanai.</w:t>
      </w:r>
      <w:r w:rsidR="00C62825">
        <w:rPr>
          <w:bCs/>
        </w:rPr>
        <w:t xml:space="preserve"> Atbilstoši VUGD sniegtajai informācijai, pirms projekta īstenošanas dienesta rīcībā bija tikai divas ķīmisko avāriju automašīnas, savukārt projekts ļāva iegādāties vēl sešas</w:t>
      </w:r>
      <w:r w:rsidR="002016AE">
        <w:rPr>
          <w:bCs/>
        </w:rPr>
        <w:t>. Tā rezultātā</w:t>
      </w:r>
      <w:r w:rsidR="00C62825">
        <w:rPr>
          <w:bCs/>
        </w:rPr>
        <w:t xml:space="preserve"> ir ievērojam</w:t>
      </w:r>
      <w:r w:rsidR="002016AE">
        <w:rPr>
          <w:bCs/>
        </w:rPr>
        <w:t>i</w:t>
      </w:r>
      <w:r w:rsidR="00C62825">
        <w:rPr>
          <w:bCs/>
        </w:rPr>
        <w:t xml:space="preserve"> palielinātas reaģēšanas spējas</w:t>
      </w:r>
      <w:r w:rsidR="00C13B1B">
        <w:rPr>
          <w:bCs/>
        </w:rPr>
        <w:t xml:space="preserve"> uz </w:t>
      </w:r>
      <w:r w:rsidR="00524E80">
        <w:rPr>
          <w:bCs/>
        </w:rPr>
        <w:t>attiecīgajiem negadījumiem.</w:t>
      </w:r>
      <w:r w:rsidR="005366FE" w:rsidRPr="005366FE">
        <w:rPr>
          <w:bCs/>
        </w:rPr>
        <w:t xml:space="preserve"> </w:t>
      </w:r>
    </w:p>
    <w:p w14:paraId="12B5AD5D" w14:textId="648BC8DC" w:rsidR="00424661" w:rsidRDefault="00424661" w:rsidP="005366FE">
      <w:pPr>
        <w:rPr>
          <w:bCs/>
        </w:rPr>
      </w:pPr>
      <w:r>
        <w:rPr>
          <w:bCs/>
        </w:rPr>
        <w:t xml:space="preserve">Kā norāda finansējuma saņēmēji, </w:t>
      </w:r>
      <w:r w:rsidR="00755C5E">
        <w:rPr>
          <w:bCs/>
        </w:rPr>
        <w:t xml:space="preserve">arī </w:t>
      </w:r>
      <w:r>
        <w:rPr>
          <w:bCs/>
        </w:rPr>
        <w:t>apmācību infrastruktūru izveide sniedz būtisku ieguldījumu, jo līdz šim gan OMEGA vienības apmācīb</w:t>
      </w:r>
      <w:r w:rsidR="007F554B">
        <w:rPr>
          <w:bCs/>
        </w:rPr>
        <w:t>u</w:t>
      </w:r>
      <w:r>
        <w:rPr>
          <w:bCs/>
        </w:rPr>
        <w:t xml:space="preserve">, gan CBRNE praktisko mācību iespējas bija ierobežotas. </w:t>
      </w:r>
      <w:r w:rsidR="00B77524">
        <w:rPr>
          <w:bCs/>
        </w:rPr>
        <w:t xml:space="preserve">Tas ļauj efektīvāk sagatavot un apmācīt speciālistus efektīvai </w:t>
      </w:r>
      <w:r w:rsidR="007F554B">
        <w:rPr>
          <w:bCs/>
        </w:rPr>
        <w:t xml:space="preserve">krīžu un risku pārvaldībai. </w:t>
      </w:r>
      <w:r w:rsidR="00736D83">
        <w:rPr>
          <w:bCs/>
        </w:rPr>
        <w:t xml:space="preserve">Vienlaikus šīs aktivitātes sekmē arī starptautisko sadarbību, jo par jaunajām apmācību vietām interesi izrāda arī ārzemju kolēģi un tiek plānotas kopīgas aktivitātes. </w:t>
      </w:r>
      <w:r w:rsidR="001010A2">
        <w:rPr>
          <w:bCs/>
        </w:rPr>
        <w:t xml:space="preserve">Turklāt, kā norāda UK pārstāvji, apmācītie darbinieki </w:t>
      </w:r>
      <w:r w:rsidR="006672C4">
        <w:rPr>
          <w:bCs/>
        </w:rPr>
        <w:t>mēdz piedalīties arī krīžu risināšan</w:t>
      </w:r>
      <w:r w:rsidR="00BB33C2">
        <w:rPr>
          <w:bCs/>
        </w:rPr>
        <w:t>as misijās</w:t>
      </w:r>
      <w:r w:rsidR="006672C4">
        <w:rPr>
          <w:bCs/>
        </w:rPr>
        <w:t xml:space="preserve"> citās valstīs, tādējādi </w:t>
      </w:r>
      <w:r w:rsidR="00BB33C2">
        <w:rPr>
          <w:bCs/>
        </w:rPr>
        <w:t xml:space="preserve">šāda veida nacionālās aktivitātes netieši sekmē arī kopējo </w:t>
      </w:r>
      <w:r w:rsidR="00BE3A6D">
        <w:rPr>
          <w:bCs/>
        </w:rPr>
        <w:t xml:space="preserve"> ES drošīb</w:t>
      </w:r>
      <w:r w:rsidR="00BB33C2">
        <w:rPr>
          <w:bCs/>
        </w:rPr>
        <w:t>u</w:t>
      </w:r>
      <w:r w:rsidR="00BE3A6D">
        <w:rPr>
          <w:bCs/>
        </w:rPr>
        <w:t xml:space="preserve">. </w:t>
      </w:r>
    </w:p>
    <w:p w14:paraId="70055A0A" w14:textId="2969235C" w:rsidR="006320A8" w:rsidRDefault="006320A8" w:rsidP="005366FE">
      <w:pPr>
        <w:rPr>
          <w:bCs/>
        </w:rPr>
      </w:pPr>
      <w:r>
        <w:rPr>
          <w:bCs/>
        </w:rPr>
        <w:t xml:space="preserve">Ekspertu paneļa ietvaros arī ir izcelta CBRNE mācību poligona kā </w:t>
      </w:r>
      <w:r w:rsidRPr="006320A8">
        <w:rPr>
          <w:bCs/>
        </w:rPr>
        <w:t xml:space="preserve">stratēģiski </w:t>
      </w:r>
      <w:r w:rsidR="002E7794">
        <w:rPr>
          <w:bCs/>
        </w:rPr>
        <w:t>svarīga</w:t>
      </w:r>
      <w:r w:rsidR="00AE5D2C">
        <w:rPr>
          <w:bCs/>
        </w:rPr>
        <w:t xml:space="preserve"> </w:t>
      </w:r>
      <w:r w:rsidRPr="006320A8">
        <w:rPr>
          <w:bCs/>
        </w:rPr>
        <w:t>projekt</w:t>
      </w:r>
      <w:r w:rsidR="00AE5D2C">
        <w:rPr>
          <w:bCs/>
        </w:rPr>
        <w:t xml:space="preserve">a </w:t>
      </w:r>
      <w:r w:rsidR="002E7794">
        <w:rPr>
          <w:bCs/>
        </w:rPr>
        <w:t>nozīme.</w:t>
      </w:r>
      <w:r w:rsidRPr="006320A8">
        <w:rPr>
          <w:bCs/>
        </w:rPr>
        <w:t xml:space="preserve"> Šis poligons</w:t>
      </w:r>
      <w:r w:rsidR="002E7794">
        <w:rPr>
          <w:bCs/>
        </w:rPr>
        <w:t xml:space="preserve"> savā ziņā ES līmenī ir unikāls, tā lokācijas dēļ — tas atrodas</w:t>
      </w:r>
      <w:r w:rsidRPr="006320A8">
        <w:rPr>
          <w:bCs/>
        </w:rPr>
        <w:t xml:space="preserve"> pilsētas centrā, nodrošinot modernizētu, rūpīgi plānotu un efektīvu mācību vidi, kas būtiski palielinās esošo apmācību kapacitāti, </w:t>
      </w:r>
      <w:r w:rsidR="00240CFB">
        <w:rPr>
          <w:bCs/>
        </w:rPr>
        <w:t xml:space="preserve">un </w:t>
      </w:r>
      <w:r w:rsidRPr="006320A8">
        <w:rPr>
          <w:bCs/>
        </w:rPr>
        <w:t>novērsīs konfliktējošus apmācību laikus</w:t>
      </w:r>
      <w:r w:rsidR="00423785">
        <w:rPr>
          <w:bCs/>
        </w:rPr>
        <w:t xml:space="preserve"> dažādām apmācāmo grupām. </w:t>
      </w:r>
      <w:r w:rsidR="001F5BF2">
        <w:rPr>
          <w:bCs/>
        </w:rPr>
        <w:t>Tiek sagaidīts, ka  poligona izveide p</w:t>
      </w:r>
      <w:r w:rsidRPr="006320A8">
        <w:rPr>
          <w:bCs/>
        </w:rPr>
        <w:t xml:space="preserve">aaugstinās konkurētspēju salīdzinājumā ar citām izglītības iestādēm, īpaši ņemot vērā </w:t>
      </w:r>
      <w:r w:rsidR="001F5BF2">
        <w:rPr>
          <w:bCs/>
        </w:rPr>
        <w:t>turpmākos attīstīb</w:t>
      </w:r>
      <w:r w:rsidR="008A1A27">
        <w:rPr>
          <w:bCs/>
        </w:rPr>
        <w:t>u</w:t>
      </w:r>
      <w:r w:rsidR="001F5BF2">
        <w:rPr>
          <w:bCs/>
        </w:rPr>
        <w:t xml:space="preserve"> plānus, veidojot </w:t>
      </w:r>
      <w:r w:rsidR="008A1A27">
        <w:rPr>
          <w:bCs/>
        </w:rPr>
        <w:t xml:space="preserve">plašāku ugunsdrošības un civilās aizsardzības apmācību infrastruktūru. </w:t>
      </w:r>
    </w:p>
    <w:p w14:paraId="7DFFFA51" w14:textId="77777777" w:rsidR="0049533B" w:rsidRPr="008F64A0" w:rsidRDefault="0049533B" w:rsidP="00BF4167">
      <w:pPr>
        <w:pStyle w:val="Sarakstarindkopa"/>
        <w:numPr>
          <w:ilvl w:val="2"/>
          <w:numId w:val="42"/>
        </w:numPr>
        <w:rPr>
          <w:b/>
        </w:rPr>
      </w:pPr>
      <w:r w:rsidRPr="008F64A0">
        <w:rPr>
          <w:b/>
        </w:rPr>
        <w:t>Kritērijs “Lietderīgums”</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1D36FC8D" w14:textId="77777777" w:rsidTr="00D40533">
        <w:tc>
          <w:tcPr>
            <w:tcW w:w="10252" w:type="dxa"/>
            <w:shd w:val="clear" w:color="auto" w:fill="82009B" w:themeFill="accent6"/>
          </w:tcPr>
          <w:p w14:paraId="6032F03B" w14:textId="77777777" w:rsidR="0049533B" w:rsidRPr="008F64A0" w:rsidRDefault="0049533B" w:rsidP="00A239D8">
            <w:pPr>
              <w:rPr>
                <w:b/>
              </w:rPr>
            </w:pPr>
            <w:r w:rsidRPr="008F64A0">
              <w:rPr>
                <w:b/>
              </w:rPr>
              <w:t xml:space="preserve">Izvērtēšanas kritērija jautājums: </w:t>
            </w:r>
            <w:r w:rsidRPr="008F64A0">
              <w:rPr>
                <w:bCs/>
              </w:rPr>
              <w:t>Vai fonda vispārīgie mērķi tika sasniegti par saprātīgām izmaksām?</w:t>
            </w:r>
          </w:p>
        </w:tc>
      </w:tr>
    </w:tbl>
    <w:p w14:paraId="4BA6396A" w14:textId="4139EBC0" w:rsidR="00CB50CB" w:rsidRDefault="00CB50CB" w:rsidP="00CB50CB">
      <w:pPr>
        <w:rPr>
          <w:bCs/>
        </w:rPr>
      </w:pPr>
      <w:r>
        <w:rPr>
          <w:bCs/>
        </w:rPr>
        <w:t xml:space="preserve">IDF </w:t>
      </w:r>
      <w:r w:rsidR="00EE0730">
        <w:rPr>
          <w:bCs/>
        </w:rPr>
        <w:t>policijai, noziedzībai un krīzei</w:t>
      </w:r>
      <w:r>
        <w:rPr>
          <w:bCs/>
        </w:rPr>
        <w:t xml:space="preserve"> programmas ietvaros SM un tehniskās palīdzības aktivitātēm kopumā bija pieejami </w:t>
      </w:r>
      <w:r w:rsidR="00974404" w:rsidRPr="00974404">
        <w:rPr>
          <w:bCs/>
        </w:rPr>
        <w:t>19 295</w:t>
      </w:r>
      <w:r w:rsidR="00974404">
        <w:rPr>
          <w:bCs/>
        </w:rPr>
        <w:t> </w:t>
      </w:r>
      <w:r w:rsidR="00974404" w:rsidRPr="00974404">
        <w:rPr>
          <w:bCs/>
        </w:rPr>
        <w:t>829</w:t>
      </w:r>
      <w:r w:rsidR="00974404">
        <w:rPr>
          <w:bCs/>
        </w:rPr>
        <w:t xml:space="preserve"> </w:t>
      </w:r>
      <w:r>
        <w:rPr>
          <w:bCs/>
          <w:i/>
          <w:iCs/>
        </w:rPr>
        <w:t xml:space="preserve">euro, </w:t>
      </w:r>
      <w:r>
        <w:rPr>
          <w:bCs/>
        </w:rPr>
        <w:t xml:space="preserve">no kuriem kopumā tika apgūti </w:t>
      </w:r>
      <w:r w:rsidR="00974404" w:rsidRPr="00974404">
        <w:rPr>
          <w:bCs/>
        </w:rPr>
        <w:t>19 138</w:t>
      </w:r>
      <w:r w:rsidR="00974404">
        <w:rPr>
          <w:bCs/>
        </w:rPr>
        <w:t> </w:t>
      </w:r>
      <w:r w:rsidR="00974404" w:rsidRPr="00974404">
        <w:rPr>
          <w:bCs/>
        </w:rPr>
        <w:t>49</w:t>
      </w:r>
      <w:r w:rsidR="00974404">
        <w:rPr>
          <w:bCs/>
        </w:rPr>
        <w:t xml:space="preserve">2 </w:t>
      </w:r>
      <w:r>
        <w:rPr>
          <w:bCs/>
          <w:i/>
          <w:iCs/>
        </w:rPr>
        <w:t>euro</w:t>
      </w:r>
      <w:r w:rsidR="00DD36E4">
        <w:rPr>
          <w:bCs/>
          <w:i/>
          <w:iCs/>
        </w:rPr>
        <w:t xml:space="preserve"> </w:t>
      </w:r>
      <w:r w:rsidR="00DD36E4">
        <w:rPr>
          <w:bCs/>
        </w:rPr>
        <w:t>jeb 99 %</w:t>
      </w:r>
      <w:r>
        <w:rPr>
          <w:bCs/>
          <w:i/>
          <w:iCs/>
        </w:rPr>
        <w:t xml:space="preserve">. </w:t>
      </w:r>
      <w:r>
        <w:rPr>
          <w:bCs/>
        </w:rPr>
        <w:t>Vienlaikus, finansējuma analīze SM griezumā liecina, ka SM</w:t>
      </w:r>
      <w:r w:rsidR="006B4621">
        <w:rPr>
          <w:bCs/>
        </w:rPr>
        <w:t>6</w:t>
      </w:r>
      <w:r>
        <w:rPr>
          <w:bCs/>
        </w:rPr>
        <w:t xml:space="preserve"> ietvaros plānotais finansējums </w:t>
      </w:r>
      <w:r w:rsidR="00B25A35">
        <w:rPr>
          <w:bCs/>
        </w:rPr>
        <w:t>ir ticis pārsniegts, bet SM</w:t>
      </w:r>
      <w:r w:rsidR="006B4621">
        <w:rPr>
          <w:bCs/>
        </w:rPr>
        <w:t>5</w:t>
      </w:r>
      <w:r w:rsidR="005D15E0">
        <w:rPr>
          <w:bCs/>
        </w:rPr>
        <w:t xml:space="preserve"> — nav ticis pilnībā apgūts</w:t>
      </w:r>
      <w:r>
        <w:rPr>
          <w:bCs/>
        </w:rPr>
        <w:t xml:space="preserve"> (</w:t>
      </w:r>
      <w:r w:rsidR="00B25A35">
        <w:rPr>
          <w:bCs/>
        </w:rPr>
        <w:fldChar w:fldCharType="begin"/>
      </w:r>
      <w:r w:rsidR="00B25A35">
        <w:rPr>
          <w:bCs/>
        </w:rPr>
        <w:instrText xml:space="preserve"> REF _Ref189994683 \h </w:instrText>
      </w:r>
      <w:r w:rsidR="00B25A35">
        <w:rPr>
          <w:bCs/>
        </w:rPr>
      </w:r>
      <w:r w:rsidR="00B25A35">
        <w:rPr>
          <w:bCs/>
        </w:rPr>
        <w:fldChar w:fldCharType="separate"/>
      </w:r>
      <w:r w:rsidR="000523B6">
        <w:t xml:space="preserve">Attēls </w:t>
      </w:r>
      <w:r w:rsidR="000523B6">
        <w:rPr>
          <w:noProof/>
        </w:rPr>
        <w:t>30</w:t>
      </w:r>
      <w:r w:rsidR="00B25A35">
        <w:rPr>
          <w:bCs/>
        </w:rPr>
        <w:fldChar w:fldCharType="end"/>
      </w:r>
      <w:r>
        <w:rPr>
          <w:bCs/>
        </w:rPr>
        <w:t>). Atbilstoši 3.</w:t>
      </w:r>
      <w:r w:rsidR="00321062">
        <w:rPr>
          <w:bCs/>
        </w:rPr>
        <w:t>2</w:t>
      </w:r>
      <w:r>
        <w:rPr>
          <w:bCs/>
        </w:rPr>
        <w:t>.</w:t>
      </w:r>
      <w:r w:rsidR="00B833FD">
        <w:rPr>
          <w:bCs/>
        </w:rPr>
        <w:t>1</w:t>
      </w:r>
      <w:r>
        <w:rPr>
          <w:bCs/>
        </w:rPr>
        <w:t xml:space="preserve">. nodaļā veiktajai analīzei, IDF </w:t>
      </w:r>
      <w:r w:rsidR="005D15E0" w:rsidRPr="005D15E0">
        <w:rPr>
          <w:bCs/>
        </w:rPr>
        <w:t>policijai, noziedzībai un krīz</w:t>
      </w:r>
      <w:r w:rsidR="005D15E0">
        <w:rPr>
          <w:bCs/>
        </w:rPr>
        <w:t xml:space="preserve">ēm </w:t>
      </w:r>
      <w:r w:rsidR="006B4621">
        <w:rPr>
          <w:bCs/>
        </w:rPr>
        <w:t xml:space="preserve">SM5 </w:t>
      </w:r>
      <w:r>
        <w:rPr>
          <w:bCs/>
        </w:rPr>
        <w:t xml:space="preserve">ietvaros ir izdevies sasniegt </w:t>
      </w:r>
      <w:r w:rsidR="006B4621">
        <w:rPr>
          <w:bCs/>
        </w:rPr>
        <w:t xml:space="preserve">lielāko daļu </w:t>
      </w:r>
      <w:r>
        <w:rPr>
          <w:bCs/>
        </w:rPr>
        <w:t xml:space="preserve">plānoto rezultatīvo rādītāju, daļu no tiem ievērojami pārsniedzot. </w:t>
      </w:r>
      <w:r w:rsidR="006B4621">
        <w:rPr>
          <w:bCs/>
        </w:rPr>
        <w:t xml:space="preserve">Savukārt SM2 </w:t>
      </w:r>
      <w:r w:rsidR="007E6EA1">
        <w:rPr>
          <w:bCs/>
        </w:rPr>
        <w:t xml:space="preserve">rezultatīvie rādītāji nav tikuši sasniegti, taču ir īstenoti nozīmīgi projekti, kas vērsti uz </w:t>
      </w:r>
      <w:r w:rsidR="00EE0D5B">
        <w:rPr>
          <w:bCs/>
        </w:rPr>
        <w:t>reaģēšanas spēju stiprināšanu krīzes situācijās</w:t>
      </w:r>
      <w:r w:rsidR="00B833FD">
        <w:rPr>
          <w:bCs/>
        </w:rPr>
        <w:t xml:space="preserve">, kuros netika definēti rezultatīvie rādītāji. </w:t>
      </w:r>
      <w:r w:rsidR="00EE0D5B">
        <w:rPr>
          <w:bCs/>
        </w:rPr>
        <w:t xml:space="preserve"> </w:t>
      </w:r>
    </w:p>
    <w:p w14:paraId="56CC3459" w14:textId="77777777" w:rsidR="00E7584F" w:rsidRDefault="00E7584F" w:rsidP="00CB50CB">
      <w:pPr>
        <w:rPr>
          <w:bCs/>
        </w:rPr>
      </w:pPr>
    </w:p>
    <w:p w14:paraId="0AFF92B4" w14:textId="77777777" w:rsidR="00E7584F" w:rsidRDefault="00E7584F" w:rsidP="00CB50CB">
      <w:pPr>
        <w:rPr>
          <w:bCs/>
        </w:rPr>
      </w:pPr>
    </w:p>
    <w:p w14:paraId="18A551E4" w14:textId="77777777" w:rsidR="00E7584F" w:rsidRDefault="00E7584F" w:rsidP="00CB50CB">
      <w:pPr>
        <w:rPr>
          <w:bCs/>
        </w:rPr>
      </w:pPr>
    </w:p>
    <w:p w14:paraId="3532C22F" w14:textId="77777777" w:rsidR="00E7584F" w:rsidRDefault="00E7584F" w:rsidP="00CB50CB">
      <w:pPr>
        <w:rPr>
          <w:bCs/>
        </w:rPr>
      </w:pPr>
    </w:p>
    <w:p w14:paraId="3B697ACD" w14:textId="77777777" w:rsidR="00E7584F" w:rsidRDefault="00E7584F" w:rsidP="00CB50CB">
      <w:pPr>
        <w:rPr>
          <w:bCs/>
        </w:rPr>
      </w:pPr>
    </w:p>
    <w:p w14:paraId="0D8DEBBF" w14:textId="77777777" w:rsidR="00E7584F" w:rsidRDefault="00E7584F" w:rsidP="00CB50CB">
      <w:pPr>
        <w:rPr>
          <w:bCs/>
        </w:rPr>
      </w:pPr>
    </w:p>
    <w:p w14:paraId="6E0DA3B8" w14:textId="77777777" w:rsidR="00E7584F" w:rsidRDefault="00E7584F" w:rsidP="00CB50CB">
      <w:pPr>
        <w:rPr>
          <w:bCs/>
        </w:rPr>
      </w:pPr>
    </w:p>
    <w:p w14:paraId="12381204" w14:textId="77777777" w:rsidR="00E7584F" w:rsidRDefault="00E7584F" w:rsidP="00CB50CB">
      <w:pPr>
        <w:rPr>
          <w:b/>
        </w:rPr>
      </w:pPr>
    </w:p>
    <w:p w14:paraId="42F577A4" w14:textId="5E03CA94" w:rsidR="00CB50CB" w:rsidRDefault="00CB50CB" w:rsidP="00CB50CB">
      <w:pPr>
        <w:pStyle w:val="GraphTitle"/>
      </w:pPr>
      <w:bookmarkStart w:id="95" w:name="_Ref189994683"/>
      <w:bookmarkStart w:id="96" w:name="_Ref191388638"/>
      <w:r>
        <w:lastRenderedPageBreak/>
        <w:t xml:space="preserve">Attēls </w:t>
      </w:r>
      <w:r w:rsidR="00C47EA2">
        <w:fldChar w:fldCharType="begin"/>
      </w:r>
      <w:r w:rsidR="00C47EA2">
        <w:instrText xml:space="preserve"> SEQ Attēls \* ARABIC </w:instrText>
      </w:r>
      <w:r w:rsidR="00C47EA2">
        <w:fldChar w:fldCharType="separate"/>
      </w:r>
      <w:r w:rsidR="000523B6">
        <w:t>30</w:t>
      </w:r>
      <w:r w:rsidR="00C47EA2">
        <w:fldChar w:fldCharType="end"/>
      </w:r>
      <w:bookmarkEnd w:id="95"/>
      <w:r w:rsidR="00261DEF">
        <w:t>.</w:t>
      </w:r>
      <w:r>
        <w:t xml:space="preserve"> IDF </w:t>
      </w:r>
      <w:r w:rsidR="00B25A35">
        <w:t>polic</w:t>
      </w:r>
      <w:r w:rsidR="007816DD">
        <w:t>i</w:t>
      </w:r>
      <w:r w:rsidR="00B25A35">
        <w:t>jai, noziedzībai un krīzēm</w:t>
      </w:r>
      <w:r w:rsidRPr="00450F6A">
        <w:t xml:space="preserve"> plānotais un apgūtais finansējums sadalījumā pa SM, miljoni </w:t>
      </w:r>
      <w:r w:rsidRPr="00C0414E">
        <w:rPr>
          <w:i/>
          <w:iCs/>
        </w:rPr>
        <w:t>euro</w:t>
      </w:r>
      <w:bookmarkEnd w:id="96"/>
    </w:p>
    <w:p w14:paraId="5DFBAA24" w14:textId="0D7F6C9C" w:rsidR="00CB50CB" w:rsidRDefault="00B25A35" w:rsidP="00CB50CB">
      <w:pPr>
        <w:rPr>
          <w:b/>
        </w:rPr>
      </w:pPr>
      <w:r>
        <w:rPr>
          <w:noProof/>
        </w:rPr>
        <w:drawing>
          <wp:inline distT="0" distB="0" distL="0" distR="0" wp14:anchorId="6C765BAF" wp14:editId="61D7CDC4">
            <wp:extent cx="6495415" cy="2605775"/>
            <wp:effectExtent l="0" t="0" r="635" b="0"/>
            <wp:docPr id="1493501238" name="Diagramma 1">
              <a:extLst xmlns:a="http://schemas.openxmlformats.org/drawingml/2006/main">
                <a:ext uri="{FF2B5EF4-FFF2-40B4-BE49-F238E27FC236}">
                  <a16:creationId xmlns:a16="http://schemas.microsoft.com/office/drawing/2014/main" id="{3431C65F-D22D-CAA4-0354-AF001C62E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ABAFF92" w14:textId="77777777" w:rsidR="00CB50CB" w:rsidRPr="00E7584F" w:rsidRDefault="00CB50CB" w:rsidP="00CB50CB">
      <w:pPr>
        <w:pStyle w:val="Parakstszemobjekta"/>
        <w:jc w:val="right"/>
        <w:rPr>
          <w:rStyle w:val="Izsmalcintsizclums"/>
          <w:i/>
          <w:iCs/>
        </w:rPr>
      </w:pPr>
      <w:r w:rsidRPr="00E7584F">
        <w:rPr>
          <w:rStyle w:val="Izsmalcintsizclums"/>
          <w:i/>
          <w:iCs/>
        </w:rPr>
        <w:t>Avots: IDF nacionālā programma un 2024.gada IDF ieviešanas ziņojums</w:t>
      </w:r>
    </w:p>
    <w:p w14:paraId="12EB4B60" w14:textId="077C6B01" w:rsidR="00CB50CB" w:rsidRDefault="00F423BD" w:rsidP="00CB50CB">
      <w:r>
        <w:t xml:space="preserve">Finansējumu saņēmēju aptaujas rezultāti sniedz pozitīvu vērtējumu pieejamā finansējuma atbilstībai projektu sasniedzamajiem rezultātiem </w:t>
      </w:r>
      <w:r w:rsidR="00475776">
        <w:t>–</w:t>
      </w:r>
      <w:r w:rsidRPr="007B2BB7">
        <w:t xml:space="preserve"> 7</w:t>
      </w:r>
      <w:r>
        <w:t>5</w:t>
      </w:r>
      <w:r w:rsidRPr="007B2BB7">
        <w:t xml:space="preserve"> % </w:t>
      </w:r>
      <w:r>
        <w:t xml:space="preserve">respondentu apstiprina, ka </w:t>
      </w:r>
      <w:r w:rsidRPr="007B2BB7">
        <w:t xml:space="preserve">finansējums ir bijis pilnībā atbilstošs, savukārt 17 % </w:t>
      </w:r>
      <w:r>
        <w:t xml:space="preserve">aptaujāto </w:t>
      </w:r>
      <w:r w:rsidRPr="007B2BB7">
        <w:t>norāda</w:t>
      </w:r>
      <w:r>
        <w:t xml:space="preserve"> uz </w:t>
      </w:r>
      <w:r w:rsidRPr="007B2BB7">
        <w:t>daļēj</w:t>
      </w:r>
      <w:r>
        <w:t>u</w:t>
      </w:r>
      <w:r w:rsidRPr="007B2BB7">
        <w:t xml:space="preserve"> atbilst</w:t>
      </w:r>
      <w:r>
        <w:t>ību</w:t>
      </w:r>
      <w:r w:rsidRPr="007B2BB7">
        <w:t xml:space="preserve"> (</w:t>
      </w:r>
      <w:r>
        <w:fldChar w:fldCharType="begin"/>
      </w:r>
      <w:r>
        <w:instrText xml:space="preserve"> REF _Ref190870246 \h </w:instrText>
      </w:r>
      <w:r>
        <w:fldChar w:fldCharType="separate"/>
      </w:r>
      <w:r w:rsidR="000523B6">
        <w:t>Attē</w:t>
      </w:r>
      <w:bookmarkStart w:id="97" w:name="_Hlt192756040"/>
      <w:r w:rsidR="000523B6">
        <w:t>l</w:t>
      </w:r>
      <w:bookmarkEnd w:id="97"/>
      <w:r w:rsidR="000523B6">
        <w:t xml:space="preserve">s </w:t>
      </w:r>
      <w:r w:rsidR="000523B6">
        <w:rPr>
          <w:noProof/>
        </w:rPr>
        <w:t>20</w:t>
      </w:r>
      <w:r>
        <w:fldChar w:fldCharType="end"/>
      </w:r>
      <w:r w:rsidRPr="007B2BB7">
        <w:t>).</w:t>
      </w:r>
      <w:r>
        <w:t xml:space="preserve"> </w:t>
      </w:r>
      <w:r w:rsidR="002842F7">
        <w:t>Savukārt atbildīgās iestādes pārstāvji norāda, ka kopējās vajadzības šajā nozarē ievērojami pārsniedza pieejamos līdzekļus, tādēļ, izvēloties atbalstāmos pasākumus bija nepieciešams izvērtēt galvenās prioritātes, kuru īstenošanai piešķirt finanšu līdzekļus.</w:t>
      </w:r>
    </w:p>
    <w:p w14:paraId="5BB2FA30" w14:textId="22F00A80" w:rsidR="00E01314" w:rsidRDefault="00E01314" w:rsidP="00CB50CB">
      <w:r>
        <w:t xml:space="preserve">Vienlaikus IDF policijai, noziedzībai un krīzēm </w:t>
      </w:r>
      <w:r w:rsidR="008637D9">
        <w:t xml:space="preserve">finansējuma saņēmēji norāda uz ģeopolitisko izmaiņu un Krievijas uzsāktā kara Ukrainā radītajām sekām, kas būtiski ietekmēja </w:t>
      </w:r>
      <w:r w:rsidR="00DB6847">
        <w:t xml:space="preserve">projektā plānoto aktivitāšu izmaksas. Piemēram, </w:t>
      </w:r>
      <w:r w:rsidR="00F45655">
        <w:t xml:space="preserve">VP </w:t>
      </w:r>
      <w:r w:rsidR="00C01C81">
        <w:t xml:space="preserve">saskārās ar situāciju, kad </w:t>
      </w:r>
      <w:r w:rsidR="00D524E1">
        <w:t>iepirkuma prasībām atbilstošie būvdarbu pakalpojumu sniedzēji atteicās slēgt līgumus, jo, mainoties tirgus situācijai</w:t>
      </w:r>
      <w:r w:rsidR="00C01C81">
        <w:t>,</w:t>
      </w:r>
      <w:r w:rsidR="00D524E1">
        <w:t xml:space="preserve"> piedāvājumos norādītās pakalpojumu cenas vairs nebija atbilstošas. Attiecīgi tika rasti papildu līdzekļi būvniecības īstenošanai un atkārtoti izsludināta iepirkumu procedūra. </w:t>
      </w:r>
    </w:p>
    <w:p w14:paraId="2B945B3F" w14:textId="03C15B02" w:rsidR="004E0704" w:rsidRDefault="004E0704" w:rsidP="00386EDF">
      <w:r>
        <w:t>Finansējuma saņēmēju aptaujā visvairāk</w:t>
      </w:r>
      <w:r w:rsidRPr="000F76D2">
        <w:t xml:space="preserve"> jeb </w:t>
      </w:r>
      <w:r>
        <w:t>11</w:t>
      </w:r>
      <w:r w:rsidRPr="000F76D2">
        <w:t xml:space="preserve"> </w:t>
      </w:r>
      <w:r>
        <w:t>respondenti</w:t>
      </w:r>
      <w:r w:rsidRPr="000F76D2">
        <w:t xml:space="preserve"> norādīja, ka pasākumu</w:t>
      </w:r>
      <w:r>
        <w:t xml:space="preserve"> plānošanā balstās uz </w:t>
      </w:r>
      <w:r w:rsidRPr="000F76D2">
        <w:t>līdzšinēj</w:t>
      </w:r>
      <w:r>
        <w:t>o</w:t>
      </w:r>
      <w:r w:rsidRPr="000F76D2">
        <w:t xml:space="preserve"> pieredz</w:t>
      </w:r>
      <w:r>
        <w:t>i</w:t>
      </w:r>
      <w:r w:rsidRPr="000F76D2">
        <w:t xml:space="preserve"> līdzīgu pasākumu īstenošanā. Tāpat finansējuma saņēmēji norādīja, ka tiek ņemtas vērā ārēji noteiktās prasības, piemēram, ES regulās, nacionālajos normatīvajos aktos, kā arī </w:t>
      </w:r>
      <w:r>
        <w:t>vajadzības, kas ir identificētas veicot</w:t>
      </w:r>
      <w:r w:rsidRPr="000F76D2">
        <w:t xml:space="preserve"> </w:t>
      </w:r>
      <w:r>
        <w:t xml:space="preserve">iestādes, organizācijas vai </w:t>
      </w:r>
      <w:r w:rsidRPr="000F76D2">
        <w:t xml:space="preserve">mērķa grupu </w:t>
      </w:r>
      <w:r>
        <w:t>vajadzību i</w:t>
      </w:r>
      <w:r w:rsidRPr="000F76D2">
        <w:t>epriekšēj</w:t>
      </w:r>
      <w:r>
        <w:t>u izpēti</w:t>
      </w:r>
      <w:r w:rsidRPr="000F76D2">
        <w:t xml:space="preserve"> (</w:t>
      </w:r>
      <w:r>
        <w:rPr>
          <w:highlight w:val="yellow"/>
        </w:rPr>
        <w:fldChar w:fldCharType="begin"/>
      </w:r>
      <w:r>
        <w:instrText xml:space="preserve"> REF _Ref190870364 \h </w:instrText>
      </w:r>
      <w:r>
        <w:rPr>
          <w:highlight w:val="yellow"/>
        </w:rPr>
      </w:r>
      <w:r>
        <w:rPr>
          <w:highlight w:val="yellow"/>
        </w:rPr>
        <w:fldChar w:fldCharType="separate"/>
      </w:r>
      <w:r w:rsidR="000523B6">
        <w:t xml:space="preserve">Attēls </w:t>
      </w:r>
      <w:r w:rsidR="000523B6">
        <w:rPr>
          <w:noProof/>
        </w:rPr>
        <w:t>21</w:t>
      </w:r>
      <w:r>
        <w:rPr>
          <w:highlight w:val="yellow"/>
        </w:rPr>
        <w:fldChar w:fldCharType="end"/>
      </w:r>
      <w:r w:rsidRPr="000F76D2">
        <w:t>).</w:t>
      </w:r>
    </w:p>
    <w:p w14:paraId="71DE1E8F" w14:textId="2EB9DE5D" w:rsidR="00386EDF" w:rsidRDefault="00386EDF" w:rsidP="00386EDF">
      <w:r>
        <w:t xml:space="preserve">Projektu izvērtēšanas laikā lietderības aspekts tika vērtēts projekta iesniegumu kvalitātes un budžeta kritēriju kontekstā. Vienlaikus Programmas īstenošanas laikā tika ieviesta papildu kontroles procedūra, kas paredzēja finansējuma saņēmējiem, veicot projektu grozījumus vai iesniedzot jaunus projektu iesniegumus, pievienot tirgus izpētes dokumentāciju. Šī prasība tika ieviesta, lai gūtu pārliecību par budžetā ieplānoto līdzekļu atbilstību tirgus cenu līmenim. </w:t>
      </w:r>
    </w:p>
    <w:p w14:paraId="7147374D" w14:textId="77777777" w:rsidR="00386EDF" w:rsidRPr="00B16D79" w:rsidRDefault="00386EDF" w:rsidP="00386EDF">
      <w:r>
        <w:t>Programmas uzraudzības un pārvaldības sistēmā bija</w:t>
      </w:r>
      <w:r w:rsidRPr="00F70221">
        <w:t xml:space="preserve"> nodrošināti mehānismi, kas sekmē</w:t>
      </w:r>
      <w:r>
        <w:t>ja projektu</w:t>
      </w:r>
      <w:r w:rsidRPr="00F70221">
        <w:t xml:space="preserve"> izmaksu atbilstību tirgus </w:t>
      </w:r>
      <w:r>
        <w:t>situācijai.</w:t>
      </w:r>
      <w:r w:rsidRPr="00F70221">
        <w:t xml:space="preserve"> </w:t>
      </w:r>
      <w:r>
        <w:t>Piemēram, granta līguma pielikumā definētie izmaksu attiecināmības pamatprincipi noteica finansējuma saņēmēju pienākumus</w:t>
      </w:r>
      <w:r w:rsidRPr="00FB16AA">
        <w:t xml:space="preserve"> iepirkum</w:t>
      </w:r>
      <w:r>
        <w:t>os</w:t>
      </w:r>
      <w:r w:rsidRPr="00FB16AA">
        <w:t xml:space="preserve"> un </w:t>
      </w:r>
      <w:r>
        <w:t>līgumos par</w:t>
      </w:r>
      <w:r w:rsidRPr="00FB16AA">
        <w:t xml:space="preserve"> preču piegād</w:t>
      </w:r>
      <w:r>
        <w:t>i</w:t>
      </w:r>
      <w:r w:rsidRPr="00FB16AA">
        <w:t xml:space="preserve"> vai pakalpojum</w:t>
      </w:r>
      <w:r>
        <w:t>iem</w:t>
      </w:r>
      <w:r w:rsidRPr="00FB16AA">
        <w:t xml:space="preserve"> </w:t>
      </w:r>
      <w:r>
        <w:t>ievērot</w:t>
      </w:r>
      <w:r w:rsidRPr="00FB16AA">
        <w:t xml:space="preserve"> labas saimnieciskās prakses, </w:t>
      </w:r>
      <w:r>
        <w:t xml:space="preserve">procesa </w:t>
      </w:r>
      <w:r w:rsidRPr="00FB16AA">
        <w:t>caurskatāmīb</w:t>
      </w:r>
      <w:r>
        <w:t>u</w:t>
      </w:r>
      <w:r w:rsidRPr="00FB16AA">
        <w:t xml:space="preserve"> un godīgas konkurences princip</w:t>
      </w:r>
      <w:r>
        <w:t>u</w:t>
      </w:r>
      <w:r w:rsidRPr="00FB16AA">
        <w:t xml:space="preserve">s, kā arī </w:t>
      </w:r>
      <w:r>
        <w:t xml:space="preserve">nodrošināt </w:t>
      </w:r>
      <w:r w:rsidRPr="00FB16AA">
        <w:t>piešķirtā finansējuma</w:t>
      </w:r>
      <w:r>
        <w:t xml:space="preserve"> lietderīgu</w:t>
      </w:r>
      <w:r w:rsidRPr="00FB16AA">
        <w:t xml:space="preserve"> izlietojum</w:t>
      </w:r>
      <w:r>
        <w:t xml:space="preserve">u. Vienlaikus, finansējuma saņēmējiem bija noteikts pienākums veikt cenu aptauju vai tirgus izpēti gadījumos, kad </w:t>
      </w:r>
      <w:r w:rsidRPr="0093421F">
        <w:t xml:space="preserve">līdzīga veida preču </w:t>
      </w:r>
      <w:r w:rsidRPr="0093421F">
        <w:lastRenderedPageBreak/>
        <w:t>iegād</w:t>
      </w:r>
      <w:r>
        <w:t>es</w:t>
      </w:r>
      <w:r w:rsidRPr="0093421F">
        <w:t>, pakalpojumu saņemšan</w:t>
      </w:r>
      <w:r>
        <w:t>as</w:t>
      </w:r>
      <w:r w:rsidRPr="0093421F">
        <w:t xml:space="preserve"> vai būvdarb</w:t>
      </w:r>
      <w:r>
        <w:t>u kopējā summa</w:t>
      </w:r>
      <w:r w:rsidRPr="0093421F">
        <w:t xml:space="preserve"> </w:t>
      </w:r>
      <w:r>
        <w:t>bija</w:t>
      </w:r>
      <w:r w:rsidRPr="0093421F">
        <w:t xml:space="preserve"> lielāka par 1 500 </w:t>
      </w:r>
      <w:r>
        <w:rPr>
          <w:i/>
          <w:iCs/>
        </w:rPr>
        <w:t>euro</w:t>
      </w:r>
      <w:r>
        <w:t>. Šādos gadījumos bija jāapkopo vismaz 3 pretendentu piedāvājumi</w:t>
      </w:r>
      <w:r>
        <w:rPr>
          <w:i/>
          <w:iCs/>
        </w:rPr>
        <w:t xml:space="preserve">, </w:t>
      </w:r>
      <w:r>
        <w:t>izvēloties piegādātāju ar zemāko cenu piedāvājumu</w:t>
      </w:r>
      <w:r>
        <w:rPr>
          <w:i/>
          <w:iCs/>
        </w:rPr>
        <w:t xml:space="preserve">. </w:t>
      </w:r>
    </w:p>
    <w:p w14:paraId="54217FC7" w14:textId="3E730331" w:rsidR="00386EDF" w:rsidRDefault="008904E5" w:rsidP="00386EDF">
      <w:r w:rsidRPr="008904E5">
        <w:t>Papildu tam, valsts pārvaldes iestādēm kā finansējuma saņēmējiem bija saistošas Publiskā iepirkumu likumu prasības, kurās ir noteiktas līgumcenu robežvērtības, kas nosaka obligātu publiskā iepirkuma likuma normu piemērošanu, kas ir vērstas uz iepirkuma atklātumu, vienlīdzīgas konkurences nodrošināšanu, līdzekļu efektīvu izlietošanu un optimālākā piegādātāja izvēli, balstoties uz saimnieciski izdevīgāka piedāvājuma principu</w:t>
      </w:r>
      <w:r>
        <w:t xml:space="preserve">. </w:t>
      </w:r>
      <w:r w:rsidR="00386EDF">
        <w:t xml:space="preserve"> </w:t>
      </w:r>
    </w:p>
    <w:p w14:paraId="0E14C8CF" w14:textId="76A6DBB8" w:rsidR="00DD4C68" w:rsidRPr="00DD4C68" w:rsidRDefault="00DD4C68" w:rsidP="00DD4C68">
      <w:r w:rsidRPr="00DD4C68">
        <w:t>Programmas administratīvā sloga novērtējumā, izmantojot skalu no 1 līdz 5 (kur 1 apzīmē lielu administratīvo slogu, bet 5 — optimālu), finansējuma saņēmēji to vidēji novērtē ar 2,</w:t>
      </w:r>
      <w:r w:rsidR="00CF5971">
        <w:t>33</w:t>
      </w:r>
      <w:r w:rsidRPr="00DD4C68">
        <w:t xml:space="preserve">, kas norāda, ka </w:t>
      </w:r>
      <w:r w:rsidR="00EF5831">
        <w:t>administratīvais</w:t>
      </w:r>
      <w:r w:rsidRPr="00DD4C68">
        <w:t xml:space="preserve"> slogs ir bijis drīzāk liels. </w:t>
      </w:r>
    </w:p>
    <w:p w14:paraId="4AF2AB89" w14:textId="3AB5F41E" w:rsidR="00EC0C14" w:rsidRDefault="00EC0C14" w:rsidP="00EC0C14">
      <w:r>
        <w:t>F</w:t>
      </w:r>
      <w:r w:rsidRPr="00215DED">
        <w:t>inansējuma saņēmēju vērtējum</w:t>
      </w:r>
      <w:r>
        <w:t>ā</w:t>
      </w:r>
      <w:r w:rsidRPr="00215DED">
        <w:t xml:space="preserve"> projektu īstenošan</w:t>
      </w:r>
      <w:r>
        <w:t>as</w:t>
      </w:r>
      <w:r w:rsidRPr="00215DED">
        <w:t xml:space="preserve"> gaitu</w:t>
      </w:r>
      <w:r>
        <w:t xml:space="preserve"> visvairāk ietekmējušas administratīvas procedūras kā, i</w:t>
      </w:r>
      <w:r w:rsidRPr="00215DED">
        <w:t>epirkumu procedūru dokumentācijas sagatavošan</w:t>
      </w:r>
      <w:r>
        <w:t>a</w:t>
      </w:r>
      <w:r w:rsidRPr="00215DED">
        <w:t xml:space="preserve"> un</w:t>
      </w:r>
      <w:r>
        <w:t xml:space="preserve"> iepirkumu</w:t>
      </w:r>
      <w:r w:rsidRPr="00215DED">
        <w:t xml:space="preserve"> īstenošan</w:t>
      </w:r>
      <w:r>
        <w:t xml:space="preserve">a un </w:t>
      </w:r>
      <w:r w:rsidRPr="0021385E">
        <w:t>grozījumu veikšana projektu līgumos, tai skaitā iesnieguma formās</w:t>
      </w:r>
      <w:r>
        <w:t xml:space="preserve">. Tāpat finansējuma saņēmēji norāda, ka projektu īstenošanas gaitu ietekmēja arī </w:t>
      </w:r>
      <w:r w:rsidRPr="00BA059D">
        <w:t>vienotas projektu uzraudzības sistēmas trūkum</w:t>
      </w:r>
      <w:r>
        <w:t>s (</w:t>
      </w:r>
      <w:r>
        <w:rPr>
          <w:highlight w:val="yellow"/>
        </w:rPr>
        <w:fldChar w:fldCharType="begin"/>
      </w:r>
      <w:r>
        <w:instrText xml:space="preserve"> REF _Ref190871657 \h </w:instrText>
      </w:r>
      <w:r>
        <w:rPr>
          <w:highlight w:val="yellow"/>
        </w:rPr>
      </w:r>
      <w:r>
        <w:rPr>
          <w:highlight w:val="yellow"/>
        </w:rPr>
        <w:fldChar w:fldCharType="separate"/>
      </w:r>
      <w:r w:rsidR="000523B6">
        <w:t xml:space="preserve">Attēls </w:t>
      </w:r>
      <w:r w:rsidR="000523B6">
        <w:rPr>
          <w:noProof/>
        </w:rPr>
        <w:t>22</w:t>
      </w:r>
      <w:r>
        <w:rPr>
          <w:highlight w:val="yellow"/>
        </w:rPr>
        <w:fldChar w:fldCharType="end"/>
      </w:r>
      <w:r>
        <w:t>)</w:t>
      </w:r>
      <w:r w:rsidRPr="00BA059D">
        <w:t>.</w:t>
      </w:r>
      <w:r>
        <w:t xml:space="preserve"> </w:t>
      </w:r>
    </w:p>
    <w:p w14:paraId="003C06F6" w14:textId="5BDEF738" w:rsidR="00CB50CB" w:rsidRDefault="00CB50CB" w:rsidP="00CB50CB">
      <w:r>
        <w:t xml:space="preserve">IDF </w:t>
      </w:r>
      <w:r w:rsidR="008A456D">
        <w:t>policijai, noziedzībai un krīzēm</w:t>
      </w:r>
      <w:r>
        <w:t xml:space="preserve"> projektu finansējuma saņēmēji īpaši izceļ iepirkumu un ar to saistīto procesu ietekmi uz administratīvo slogu. Ņemot vērā </w:t>
      </w:r>
      <w:r w:rsidR="008A456D">
        <w:t>ģeopolitiskās izmaiņas,</w:t>
      </w:r>
      <w:r>
        <w:t xml:space="preserve"> izaicinājumi ir bijuši gan </w:t>
      </w:r>
      <w:r w:rsidR="008A456D">
        <w:t>ar iepirkumu procedūru veikšanu, jo bija nepieciešams veikt izmaiņas iepirkumu dokumentācijā, gan pakalpojumu sniedzēju izraudzīšanu un līgumu izpildi. Piemēram</w:t>
      </w:r>
      <w:r w:rsidR="00DC73F9">
        <w:t>, projektā Nr.</w:t>
      </w:r>
      <w:r w:rsidR="00C33902" w:rsidRPr="00C33902">
        <w:t xml:space="preserve"> VUGD/IDF/2018/5</w:t>
      </w:r>
      <w:r w:rsidR="00C33902">
        <w:t xml:space="preserve"> “</w:t>
      </w:r>
      <w:r w:rsidR="00F12622" w:rsidRPr="00F12622">
        <w:t>CBRNE un cilvēku izraisīto katastrofu glābšanas darbu mācību poligona izveidošana</w:t>
      </w:r>
      <w:r w:rsidR="00C33902">
        <w:t>”</w:t>
      </w:r>
      <w:r w:rsidR="00DC73F9">
        <w:t xml:space="preserve"> būvdarbu veicējam tika ierosināts maksātnespējas process, kā rezultātā netika </w:t>
      </w:r>
      <w:r w:rsidR="002313AD">
        <w:t xml:space="preserve">izpildīts noslēgtais līgums, </w:t>
      </w:r>
      <w:r w:rsidR="0021164B">
        <w:t xml:space="preserve">un </w:t>
      </w:r>
      <w:r w:rsidR="002313AD">
        <w:t>bija nepieciešams izraudzīties jaunu būvnieku</w:t>
      </w:r>
      <w:r w:rsidR="0021164B">
        <w:t>. T</w:t>
      </w:r>
      <w:r w:rsidR="002313AD">
        <w:t>ā rezultātā poligona izbūves pabeigšana tika pārcelta uz 2021</w:t>
      </w:r>
      <w:r w:rsidR="00160561">
        <w:t>.</w:t>
      </w:r>
      <w:r w:rsidR="002313AD">
        <w:t>-2027.</w:t>
      </w:r>
      <w:r w:rsidR="00160561">
        <w:t xml:space="preserve"> </w:t>
      </w:r>
      <w:r w:rsidR="002313AD">
        <w:t>gada plānošanas periodu</w:t>
      </w:r>
      <w:r>
        <w:t xml:space="preserve">. </w:t>
      </w:r>
    </w:p>
    <w:p w14:paraId="2D521314" w14:textId="75A1C9AC" w:rsidR="00007B7C" w:rsidRDefault="00007B7C" w:rsidP="00CB50CB">
      <w:r>
        <w:t xml:space="preserve">Arī revīzijas iestādes pārstāvji identificē </w:t>
      </w:r>
      <w:r w:rsidRPr="00912A72">
        <w:t xml:space="preserve">publisko iepirkumu procedūras kā vienu no būtiskākajiem izaicinājumiem projektu īstenošanā. </w:t>
      </w:r>
      <w:r>
        <w:t>Atbildīgās</w:t>
      </w:r>
      <w:r w:rsidRPr="00912A72">
        <w:t xml:space="preserve"> iestādes ieviestās iepirkumu pirmspārbaudes ir ievērojami uzlabojušas procesu kvalitāti, tādējādi samazinot neatbilstību skaitu iepirkumu īstenošanas gaitā. Tomēr joprojām pastāv izaicinājumi saistībā ar finansējuma saņēmēju ierobežoto kapacitāti</w:t>
      </w:r>
      <w:r>
        <w:t xml:space="preserve">, ko ietekmē gan </w:t>
      </w:r>
      <w:r w:rsidRPr="00912A72">
        <w:t xml:space="preserve"> ievērojamais iepirkumu apjoms, </w:t>
      </w:r>
      <w:r>
        <w:t xml:space="preserve">gan </w:t>
      </w:r>
      <w:r w:rsidRPr="00912A72">
        <w:t xml:space="preserve">prakse, ka </w:t>
      </w:r>
      <w:r>
        <w:t xml:space="preserve">projektu </w:t>
      </w:r>
      <w:r w:rsidRPr="00912A72">
        <w:t xml:space="preserve">iepirkumu </w:t>
      </w:r>
      <w:r>
        <w:t>nodrošināšana</w:t>
      </w:r>
      <w:r w:rsidRPr="00912A72">
        <w:t xml:space="preserve"> bieži tiek noteikta kā papildu darba pienākums esošajiem darbiniekiem.</w:t>
      </w:r>
    </w:p>
    <w:p w14:paraId="6A146DA1" w14:textId="77777777" w:rsidR="004431DA" w:rsidRDefault="004431DA" w:rsidP="004431DA">
      <w:r>
        <w:t>Projektu grozījumu process, lai arī bija iespējams, radīja ievērojamu administratīvo slogu pat relatīvi maznozīmīgu izmaiņu gadījumos, piemēram, veicot projektā iesaistītā personāla izmaiņas. Resursu un laika ietilpīga bija ikmēneša finanšu atskaišu sagatavošana, ņemot vērā tajās ietveramās informācijas detalizācijas pakāpi. Turpretī pozitīvi vērtējama ieviestā prakse, kas ļāva nebūtiskas atskaišu satura neprecizitātes labot nākamajā pārskata periodā, tādējādi neaizkavējot atskaišu apstiprināšanas procesu.</w:t>
      </w:r>
    </w:p>
    <w:p w14:paraId="7E855EDB" w14:textId="77777777" w:rsidR="00C34B46" w:rsidRDefault="004431DA" w:rsidP="004431DA">
      <w:r>
        <w:t>Nozīmīgu administratīvo slogu radīja arī izvēlētais atskaišu iesniegšanas formāts — gan</w:t>
      </w:r>
      <w:r w:rsidRPr="00927C5B">
        <w:rPr>
          <w:i/>
          <w:iCs/>
        </w:rPr>
        <w:t xml:space="preserve"> Excel</w:t>
      </w:r>
      <w:r>
        <w:t xml:space="preserve"> formāta izmantošana projekta progresa pārskatu sagatavošanai, gan pamatojošās dokumentācijas iesniegšanas process, kas plānošanas perioda sākumposmā lielākoties tika nodrošināts papīra formātā. </w:t>
      </w:r>
    </w:p>
    <w:p w14:paraId="2CBEA204" w14:textId="2BC15769" w:rsidR="004431DA" w:rsidRDefault="00C34B46" w:rsidP="004431DA">
      <w:r>
        <w:t>Gan finansējuma saņēmēji, gan revīzijas iestādes pārstāvji pozitīvi novērtēja Programmu īstenošanas gaitā notikušo pāreju uz elektronisko dokumentu apriti, kas sekmēja administratīvā sloga mazināšanu.</w:t>
      </w:r>
      <w:r w:rsidRPr="008D3BCC">
        <w:t xml:space="preserve"> </w:t>
      </w:r>
      <w:r>
        <w:t>Vienlaikus tiek norādīts uz nepieciešamību pēc vienotas projektu uzraudzības sistēmas, kas vienkāršotu atskaišu iesniegšanas procesu.</w:t>
      </w:r>
    </w:p>
    <w:p w14:paraId="285A35D7" w14:textId="1ED26DEA" w:rsidR="004431DA" w:rsidRDefault="004431DA" w:rsidP="004431DA">
      <w:r>
        <w:t xml:space="preserve">Atsevišķi finansējuma saņēmēji </w:t>
      </w:r>
      <w:r w:rsidR="00355A35" w:rsidRPr="00355A35">
        <w:t>identificēja arī komunikācijas problēmas ar uzraugošajām iestādēm</w:t>
      </w:r>
      <w:r>
        <w:t>. Tās galvenokārt izpaudās kā ilgstoša atbilžu gaidīšana problēmsituāciju risināšanas gadījumos</w:t>
      </w:r>
      <w:r w:rsidR="00582231">
        <w:t xml:space="preserve">. Piemēram, lai arī neformālās konsultācijas </w:t>
      </w:r>
      <w:r w:rsidR="00355A35">
        <w:t>tika novērtētas kā</w:t>
      </w:r>
      <w:r w:rsidR="00582231">
        <w:t xml:space="preserve"> efektīvas, tomēr oficiāla korespondence un lēmumu </w:t>
      </w:r>
      <w:r w:rsidR="00582231">
        <w:lastRenderedPageBreak/>
        <w:t>pieņemšana mēdza būt laikietilpīgs process</w:t>
      </w:r>
      <w:r>
        <w:t>.</w:t>
      </w:r>
      <w:r w:rsidR="006A6D35" w:rsidRPr="006A6D35">
        <w:rPr>
          <w:rFonts w:ascii="Segoe UI" w:hAnsi="Segoe UI" w:cs="Segoe UI"/>
          <w:sz w:val="18"/>
          <w:szCs w:val="18"/>
        </w:rPr>
        <w:t xml:space="preserve"> </w:t>
      </w:r>
      <w:r w:rsidR="006A6D35" w:rsidRPr="006A6D35">
        <w:t>Jāuzsver, ka šī komunikācijas problēma tika identificēta tikai daļas finansējuma saņēmēju vidū un neatspoguļo vispārējo situāciju.</w:t>
      </w:r>
    </w:p>
    <w:p w14:paraId="48926DFB" w14:textId="01DCA5AC" w:rsidR="00CB50CB" w:rsidRDefault="00CB50CB" w:rsidP="00CB50CB">
      <w:r>
        <w:t>Finansējuma saņēmēji kopumā pozitīvi vērtē sadarbību ar atbildīgo</w:t>
      </w:r>
      <w:r w:rsidR="00E1327B">
        <w:t xml:space="preserve"> iestādi</w:t>
      </w:r>
      <w:r>
        <w:t>, īpaši iespējas diskutēt par projektu īstenošanas prasībām un to pilnveidošanu. Tomēr tiek atzīmēta nepieciešamība pēc plašāka konsultatīvā atbalsta projektu īstenošanas procesā. Lai gan administratīvās prasības rada papildu slodzi projektu īstenošanā, tās tiek vērtētas kā pamatotas un nepieciešamas, vienlaikus norādot uz vēlmi pēc elastīgākas pieejas atsevišķās situācijās.</w:t>
      </w:r>
    </w:p>
    <w:p w14:paraId="22851AB2" w14:textId="73214AE1" w:rsidR="00D92824" w:rsidRPr="001861FD" w:rsidRDefault="00D92824" w:rsidP="00D92824">
      <w:pPr>
        <w:rPr>
          <w:rFonts w:cstheme="minorHAnsi"/>
        </w:rPr>
      </w:pPr>
      <w:r>
        <w:rPr>
          <w:rFonts w:cstheme="minorHAnsi"/>
        </w:rPr>
        <w:t>Finansējuma saņēmēji aptaujā norāda, ka</w:t>
      </w:r>
      <w:r w:rsidRPr="001861FD">
        <w:rPr>
          <w:rFonts w:cstheme="minorHAnsi"/>
        </w:rPr>
        <w:t xml:space="preserve"> </w:t>
      </w:r>
      <w:r>
        <w:rPr>
          <w:rFonts w:cstheme="minorHAnsi"/>
        </w:rPr>
        <w:t>s</w:t>
      </w:r>
      <w:r w:rsidRPr="001861FD">
        <w:rPr>
          <w:rFonts w:cstheme="minorHAnsi"/>
        </w:rPr>
        <w:t xml:space="preserve">alīdzinot 2007.-2013. gada </w:t>
      </w:r>
      <w:r>
        <w:rPr>
          <w:rFonts w:cstheme="minorHAnsi"/>
        </w:rPr>
        <w:t>un</w:t>
      </w:r>
      <w:r w:rsidRPr="001861FD">
        <w:rPr>
          <w:rFonts w:cstheme="minorHAnsi"/>
        </w:rPr>
        <w:t xml:space="preserve"> 2014.-2020. gada </w:t>
      </w:r>
      <w:r>
        <w:rPr>
          <w:rFonts w:cstheme="minorHAnsi"/>
        </w:rPr>
        <w:t xml:space="preserve">plānošanas </w:t>
      </w:r>
      <w:r w:rsidRPr="001861FD">
        <w:rPr>
          <w:rFonts w:cstheme="minorHAnsi"/>
        </w:rPr>
        <w:t>periodu</w:t>
      </w:r>
      <w:r>
        <w:rPr>
          <w:rFonts w:cstheme="minorHAnsi"/>
        </w:rPr>
        <w:t>s</w:t>
      </w:r>
      <w:r w:rsidRPr="001861FD">
        <w:rPr>
          <w:rFonts w:cstheme="minorHAnsi"/>
        </w:rPr>
        <w:t xml:space="preserve">, 2014.-2020. </w:t>
      </w:r>
      <w:r>
        <w:rPr>
          <w:rFonts w:cstheme="minorHAnsi"/>
        </w:rPr>
        <w:t xml:space="preserve">gadu periodā administratīvais slogs ir bijis mazāks, savukārt salīdzinājumā </w:t>
      </w:r>
      <w:r w:rsidRPr="001861FD">
        <w:rPr>
          <w:rFonts w:cstheme="minorHAnsi"/>
        </w:rPr>
        <w:t>2021.-2027. gada plānošanas periodu</w:t>
      </w:r>
      <w:r>
        <w:rPr>
          <w:rFonts w:cstheme="minorHAnsi"/>
        </w:rPr>
        <w:t xml:space="preserve">, </w:t>
      </w:r>
      <w:r w:rsidRPr="001861FD">
        <w:rPr>
          <w:rFonts w:cstheme="minorHAnsi"/>
        </w:rPr>
        <w:t xml:space="preserve">2014.-2020. </w:t>
      </w:r>
      <w:r>
        <w:rPr>
          <w:rFonts w:cstheme="minorHAnsi"/>
        </w:rPr>
        <w:t>gadu periodā administratīvais slogs ir bijis lielāks (</w:t>
      </w:r>
      <w:r>
        <w:rPr>
          <w:rFonts w:cstheme="minorHAnsi"/>
        </w:rPr>
        <w:fldChar w:fldCharType="begin"/>
      </w:r>
      <w:r>
        <w:rPr>
          <w:rFonts w:cstheme="minorHAnsi"/>
        </w:rPr>
        <w:instrText xml:space="preserve"> REF _Ref190871944 \h </w:instrText>
      </w:r>
      <w:r>
        <w:rPr>
          <w:rFonts w:cstheme="minorHAnsi"/>
        </w:rPr>
      </w:r>
      <w:r>
        <w:rPr>
          <w:rFonts w:cstheme="minorHAnsi"/>
        </w:rPr>
        <w:fldChar w:fldCharType="separate"/>
      </w:r>
      <w:r w:rsidR="000523B6">
        <w:t xml:space="preserve">Attēls </w:t>
      </w:r>
      <w:r w:rsidR="000523B6">
        <w:rPr>
          <w:noProof/>
        </w:rPr>
        <w:t>23</w:t>
      </w:r>
      <w:r>
        <w:rPr>
          <w:rFonts w:cstheme="minorHAnsi"/>
        </w:rPr>
        <w:fldChar w:fldCharType="end"/>
      </w:r>
      <w:r>
        <w:rPr>
          <w:rFonts w:cstheme="minorHAnsi"/>
        </w:rPr>
        <w:t>)</w:t>
      </w:r>
      <w:r w:rsidRPr="001861FD">
        <w:rPr>
          <w:rFonts w:cstheme="minorHAnsi"/>
        </w:rPr>
        <w:t>.</w:t>
      </w:r>
      <w:r>
        <w:rPr>
          <w:rFonts w:cstheme="minorHAnsi"/>
        </w:rPr>
        <w:t xml:space="preserve"> </w:t>
      </w:r>
    </w:p>
    <w:p w14:paraId="3C10C52D" w14:textId="76AF7D59" w:rsidR="001B6144" w:rsidRDefault="001B6144" w:rsidP="001B6144">
      <w:pPr>
        <w:rPr>
          <w:rFonts w:cstheme="minorHAnsi"/>
        </w:rPr>
      </w:pPr>
      <w:r w:rsidRPr="001861FD">
        <w:rPr>
          <w:rFonts w:cstheme="minorHAnsi"/>
        </w:rPr>
        <w:t xml:space="preserve">Attiecībā uz 2021.-2027. gada plānošanas periodu vairākums respondentu norāda uz administratīvā sloga pieaugumu. Šādu vērtējumu būtiski ietekmē deleģētās iestādes projektu finansējuma saņēmēju </w:t>
      </w:r>
      <w:r>
        <w:rPr>
          <w:rFonts w:cstheme="minorHAnsi"/>
        </w:rPr>
        <w:t xml:space="preserve">viedoklis. </w:t>
      </w:r>
    </w:p>
    <w:p w14:paraId="56CD63A0" w14:textId="74E00EE7" w:rsidR="0055685F" w:rsidRDefault="0055685F" w:rsidP="00B76001">
      <w:pPr>
        <w:rPr>
          <w:rFonts w:cstheme="minorHAnsi"/>
        </w:rPr>
      </w:pPr>
      <w:r>
        <w:rPr>
          <w:rFonts w:cstheme="minorHAnsi"/>
        </w:rPr>
        <w:t>Atbildīgā iestāde kā nozīmīgāko izmaiņu, salīdzinot ar 2007</w:t>
      </w:r>
      <w:r w:rsidR="005F274E">
        <w:rPr>
          <w:rFonts w:cstheme="minorHAnsi"/>
        </w:rPr>
        <w:t>.</w:t>
      </w:r>
      <w:r>
        <w:rPr>
          <w:rFonts w:cstheme="minorHAnsi"/>
        </w:rPr>
        <w:t xml:space="preserve">-2013. gada plānošanas periodu, identificē daudzgadu programmu ieviešanu. Šis jaunievedums nodrošināja vairākas priekšrocības: stratēģiskāku atbalstāmo pasākumu plānošanu, elastīgāku pielāgošanos mainīgajiem apstākļiem, kā arī iespēju īstenot projektus garākā laika periodā. </w:t>
      </w:r>
    </w:p>
    <w:p w14:paraId="2073E57E" w14:textId="0A30DC6B" w:rsidR="0055685F" w:rsidRDefault="0055685F" w:rsidP="00B76001">
      <w:pPr>
        <w:rPr>
          <w:rFonts w:cstheme="minorHAnsi"/>
          <w:i/>
          <w:iCs/>
        </w:rPr>
      </w:pPr>
      <w:r>
        <w:rPr>
          <w:rFonts w:cstheme="minorHAnsi"/>
        </w:rPr>
        <w:t>Finansējumu saņēmēju intervijās paustais viedoklis liecina par pozitīvām izmaiņām, salīdzinot ar 2007.-2013.</w:t>
      </w:r>
      <w:r w:rsidR="005F274E">
        <w:rPr>
          <w:rFonts w:cstheme="minorHAnsi"/>
        </w:rPr>
        <w:t xml:space="preserve"> </w:t>
      </w:r>
      <w:r>
        <w:rPr>
          <w:rFonts w:cstheme="minorHAnsi"/>
        </w:rPr>
        <w:t xml:space="preserve">gada </w:t>
      </w:r>
      <w:r w:rsidR="00147A06">
        <w:rPr>
          <w:rFonts w:cstheme="minorHAnsi"/>
        </w:rPr>
        <w:t xml:space="preserve">plānošanas </w:t>
      </w:r>
      <w:r>
        <w:rPr>
          <w:rFonts w:cstheme="minorHAnsi"/>
        </w:rPr>
        <w:t xml:space="preserve">periodu </w:t>
      </w:r>
      <w:r w:rsidR="00295F52">
        <w:rPr>
          <w:rFonts w:cstheme="minorHAnsi"/>
        </w:rPr>
        <w:t>–</w:t>
      </w:r>
      <w:r>
        <w:rPr>
          <w:rFonts w:cstheme="minorHAnsi"/>
        </w:rPr>
        <w:t xml:space="preserve"> būtiski samazinājies nepieciešamās dokumentācijas apjoms un mazinājusies izmaksu pārbaužu detalizācijas pakāpe. </w:t>
      </w:r>
    </w:p>
    <w:p w14:paraId="1937C9A0" w14:textId="2CF61C4E" w:rsidR="0055685F" w:rsidRDefault="0055685F" w:rsidP="00B76001">
      <w:pPr>
        <w:rPr>
          <w:rFonts w:cstheme="minorHAnsi"/>
        </w:rPr>
      </w:pPr>
      <w:r>
        <w:rPr>
          <w:rFonts w:cstheme="minorHAnsi"/>
        </w:rPr>
        <w:t>Analizējot 2021.-2027.</w:t>
      </w:r>
      <w:r w:rsidR="005F274E">
        <w:rPr>
          <w:rFonts w:cstheme="minorHAnsi"/>
        </w:rPr>
        <w:t xml:space="preserve"> </w:t>
      </w:r>
      <w:r>
        <w:rPr>
          <w:rFonts w:cstheme="minorHAnsi"/>
        </w:rPr>
        <w:t>gada plānošanas periodu, atbildīgās iestādes pārraudzībā esošo projektu finansējuma saņēmēji norāda vairākus administratīvā sloga mazināšanas pasākumus, kas novērtēti pozitīvi:</w:t>
      </w:r>
    </w:p>
    <w:p w14:paraId="0C3EB11B" w14:textId="77777777" w:rsidR="0055685F" w:rsidRDefault="0055685F" w:rsidP="0055685F">
      <w:pPr>
        <w:pStyle w:val="Sarakstarindkopa"/>
        <w:numPr>
          <w:ilvl w:val="0"/>
          <w:numId w:val="34"/>
        </w:numPr>
        <w:rPr>
          <w:rFonts w:cstheme="minorHAnsi"/>
        </w:rPr>
      </w:pPr>
      <w:r w:rsidRPr="005C386F">
        <w:rPr>
          <w:rFonts w:cstheme="minorHAnsi"/>
        </w:rPr>
        <w:t xml:space="preserve">atvieglotākus noteikumus gadījumiem, kad ir jāveic oficiāli projekta grozījumi, </w:t>
      </w:r>
    </w:p>
    <w:p w14:paraId="5C1D1234" w14:textId="77777777" w:rsidR="0055685F" w:rsidRDefault="0055685F" w:rsidP="0055685F">
      <w:pPr>
        <w:pStyle w:val="Sarakstarindkopa"/>
        <w:numPr>
          <w:ilvl w:val="0"/>
          <w:numId w:val="34"/>
        </w:numPr>
        <w:rPr>
          <w:rFonts w:cstheme="minorHAnsi"/>
        </w:rPr>
      </w:pPr>
      <w:r w:rsidRPr="005C386F">
        <w:rPr>
          <w:rFonts w:cstheme="minorHAnsi"/>
        </w:rPr>
        <w:t xml:space="preserve">ieviestu mehānismu atskaišu un pamatojošās dokumentācijas augšupielādei elektroniski, </w:t>
      </w:r>
    </w:p>
    <w:p w14:paraId="625033F9" w14:textId="1E52F5F2" w:rsidR="0055685F" w:rsidRDefault="0055685F" w:rsidP="0055685F">
      <w:pPr>
        <w:pStyle w:val="Sarakstarindkopa"/>
        <w:numPr>
          <w:ilvl w:val="0"/>
          <w:numId w:val="34"/>
        </w:numPr>
        <w:rPr>
          <w:rFonts w:cstheme="minorHAnsi"/>
        </w:rPr>
      </w:pPr>
      <w:r w:rsidRPr="005C386F">
        <w:rPr>
          <w:rFonts w:cstheme="minorHAnsi"/>
        </w:rPr>
        <w:t>retāku atskaišu iesniegšanu</w:t>
      </w:r>
      <w:r w:rsidR="005F274E">
        <w:rPr>
          <w:rFonts w:cstheme="minorHAnsi"/>
        </w:rPr>
        <w:t>,</w:t>
      </w:r>
    </w:p>
    <w:p w14:paraId="17EAF1BF" w14:textId="4DA2E102" w:rsidR="00CB50CB" w:rsidRPr="00D51014" w:rsidRDefault="0055685F" w:rsidP="00CB50CB">
      <w:pPr>
        <w:pStyle w:val="Sarakstarindkopa"/>
        <w:numPr>
          <w:ilvl w:val="0"/>
          <w:numId w:val="34"/>
        </w:numPr>
        <w:rPr>
          <w:rFonts w:cstheme="minorHAnsi"/>
        </w:rPr>
      </w:pPr>
      <w:r w:rsidRPr="005C386F">
        <w:rPr>
          <w:rFonts w:cstheme="minorHAnsi"/>
        </w:rPr>
        <w:t xml:space="preserve">samazinātu pamatojošās dokumentācijas apjomu.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57379D29" w14:textId="77777777" w:rsidTr="00220E0C">
        <w:tc>
          <w:tcPr>
            <w:tcW w:w="10252" w:type="dxa"/>
            <w:shd w:val="clear" w:color="auto" w:fill="F3B8FF" w:themeFill="accent6" w:themeFillTint="33"/>
          </w:tcPr>
          <w:p w14:paraId="6D725BC6" w14:textId="77777777" w:rsidR="0049533B" w:rsidRPr="008F64A0" w:rsidRDefault="0049533B" w:rsidP="00A239D8">
            <w:pPr>
              <w:rPr>
                <w:i/>
                <w:iCs/>
                <w:color w:val="5A5A5A" w:themeColor="accent1" w:themeTint="BF"/>
              </w:rPr>
            </w:pPr>
            <w:r w:rsidRPr="008F64A0">
              <w:rPr>
                <w:i/>
                <w:iCs/>
                <w:color w:val="5A5A5A" w:themeColor="accent1" w:themeTint="BF"/>
              </w:rPr>
              <w:t>Apakšjautājums: Cik lielā mērā fonda rezultāti tika sasniegti par saprātīgām izmaksām, ņemot vērā izmantotos finanšu un cilvēkresursus?</w:t>
            </w:r>
          </w:p>
        </w:tc>
      </w:tr>
    </w:tbl>
    <w:p w14:paraId="7C93F8BC" w14:textId="10A2CB78" w:rsidR="00801081" w:rsidRDefault="002D548E" w:rsidP="002D548E">
      <w:pPr>
        <w:rPr>
          <w:bCs/>
        </w:rPr>
      </w:pPr>
      <w:r w:rsidRPr="002D548E">
        <w:rPr>
          <w:bCs/>
        </w:rPr>
        <w:t xml:space="preserve">Izvērtējuma ietvaros tika veikta divu IDF </w:t>
      </w:r>
      <w:r w:rsidR="003D2ACE">
        <w:rPr>
          <w:bCs/>
        </w:rPr>
        <w:t xml:space="preserve">policijai, noziedzībai un krīzēm </w:t>
      </w:r>
      <w:r w:rsidRPr="002D548E">
        <w:rPr>
          <w:bCs/>
        </w:rPr>
        <w:t xml:space="preserve">projektu gadījumu izpēte, ietverot </w:t>
      </w:r>
      <w:r w:rsidR="00F235A5">
        <w:rPr>
          <w:bCs/>
        </w:rPr>
        <w:t>IIA</w:t>
      </w:r>
      <w:r w:rsidRPr="002D548E">
        <w:rPr>
          <w:bCs/>
        </w:rPr>
        <w:t xml:space="preserve"> (skat. 4. pielikumu). Analīzē tika iekļauts </w:t>
      </w:r>
      <w:r w:rsidR="00616CA0">
        <w:rPr>
          <w:bCs/>
        </w:rPr>
        <w:t>VP</w:t>
      </w:r>
      <w:r w:rsidRPr="002D548E">
        <w:rPr>
          <w:bCs/>
        </w:rPr>
        <w:t xml:space="preserve"> īstenotais projekts Nr. </w:t>
      </w:r>
      <w:r w:rsidR="00675487" w:rsidRPr="00DD1872">
        <w:t>VP/IDF/2019/7</w:t>
      </w:r>
      <w:r w:rsidRPr="002D548E">
        <w:rPr>
          <w:bCs/>
        </w:rPr>
        <w:t xml:space="preserve"> “</w:t>
      </w:r>
      <w:r w:rsidR="00A73D1D" w:rsidRPr="00A73D1D">
        <w:rPr>
          <w:bCs/>
        </w:rPr>
        <w:t>Speciālās intervences vienības mācību centra izveidošana</w:t>
      </w:r>
      <w:r w:rsidRPr="002D548E">
        <w:rPr>
          <w:bCs/>
        </w:rPr>
        <w:t xml:space="preserve">” un </w:t>
      </w:r>
      <w:r w:rsidR="00A73D1D">
        <w:rPr>
          <w:bCs/>
        </w:rPr>
        <w:t xml:space="preserve">VUGD </w:t>
      </w:r>
      <w:r w:rsidRPr="002D548E">
        <w:rPr>
          <w:bCs/>
        </w:rPr>
        <w:t xml:space="preserve">īstenotais projekts </w:t>
      </w:r>
      <w:r w:rsidR="00801081" w:rsidRPr="00801081">
        <w:rPr>
          <w:bCs/>
        </w:rPr>
        <w:t>Nr. VUGD/IDF/2016/9</w:t>
      </w:r>
      <w:r w:rsidR="00801081">
        <w:rPr>
          <w:bCs/>
        </w:rPr>
        <w:t xml:space="preserve"> “</w:t>
      </w:r>
      <w:r w:rsidR="00801081" w:rsidRPr="00801081">
        <w:rPr>
          <w:bCs/>
        </w:rPr>
        <w:t>Valsts ugunsdzēsības un glābšanas dienesta CBRNE un cilvēku izraisīto katastrofu glābšanas darbu reaģēšanas spēju kapacitātes stiprināšana</w:t>
      </w:r>
      <w:r w:rsidR="00801081">
        <w:rPr>
          <w:bCs/>
        </w:rPr>
        <w:t xml:space="preserve">” un </w:t>
      </w:r>
      <w:r w:rsidR="00801081" w:rsidRPr="00801081">
        <w:rPr>
          <w:bCs/>
        </w:rPr>
        <w:t xml:space="preserve"> Nr. VUGD/IDF/2018/5 “CBRNE un cilvēku izraisīto katastrofu glābšanas darbu mācību poligona izveidošana”</w:t>
      </w:r>
      <w:r w:rsidR="00801081">
        <w:rPr>
          <w:bCs/>
        </w:rPr>
        <w:t xml:space="preserve">. </w:t>
      </w:r>
    </w:p>
    <w:p w14:paraId="53AD525E" w14:textId="33630B93" w:rsidR="002D548E" w:rsidRDefault="00801081" w:rsidP="002D548E">
      <w:pPr>
        <w:rPr>
          <w:bCs/>
        </w:rPr>
      </w:pPr>
      <w:r>
        <w:rPr>
          <w:bCs/>
        </w:rPr>
        <w:t xml:space="preserve">Abu projektu ietvaros tika attīstīta specializēta mācību infrastruktūra, gan veicot apmācību vietu izbūvi, gan </w:t>
      </w:r>
      <w:r w:rsidR="005A2029">
        <w:rPr>
          <w:bCs/>
        </w:rPr>
        <w:t>iegādājoties specializētu aprīkojumu. Vienlaikus VUGD projektā ticis iegādātas arī</w:t>
      </w:r>
      <w:r w:rsidR="00BB0630">
        <w:rPr>
          <w:bCs/>
        </w:rPr>
        <w:t xml:space="preserve"> automašīnas, kas paredzētas reaģēšanai uz</w:t>
      </w:r>
      <w:r w:rsidR="005A2029">
        <w:rPr>
          <w:bCs/>
        </w:rPr>
        <w:t xml:space="preserve"> CBRNE </w:t>
      </w:r>
      <w:r w:rsidR="00BB0630">
        <w:rPr>
          <w:bCs/>
        </w:rPr>
        <w:t xml:space="preserve">apdraudējumiem. </w:t>
      </w:r>
    </w:p>
    <w:p w14:paraId="25E62FD4" w14:textId="1F5B0C7B" w:rsidR="000147CA" w:rsidRDefault="00D648E4" w:rsidP="002D548E">
      <w:pPr>
        <w:rPr>
          <w:bCs/>
          <w:i/>
          <w:iCs/>
        </w:rPr>
      </w:pPr>
      <w:r>
        <w:rPr>
          <w:bCs/>
        </w:rPr>
        <w:t xml:space="preserve">Attiecībā uz VP speciālās intervences vienības centra ekonomiskajiem ieguvumiem, IIA ietvaros tika </w:t>
      </w:r>
      <w:r w:rsidR="008168A8">
        <w:rPr>
          <w:bCs/>
        </w:rPr>
        <w:t>izstrādāti trīs scenāriji – pesimistiskais, neitrālais un optimistiskais</w:t>
      </w:r>
      <w:r w:rsidR="004C57F1">
        <w:rPr>
          <w:bCs/>
        </w:rPr>
        <w:t xml:space="preserve">. Tie balstās </w:t>
      </w:r>
      <w:r w:rsidR="001C59A7">
        <w:rPr>
          <w:bCs/>
        </w:rPr>
        <w:t xml:space="preserve">uz </w:t>
      </w:r>
      <w:r w:rsidR="005A272B" w:rsidRPr="005A272B">
        <w:rPr>
          <w:bCs/>
        </w:rPr>
        <w:t xml:space="preserve">prognozētajiem intervences vienības darbības efektivitātes pieauguma rādītājiem pēc jaunās apmācību infrastruktūras </w:t>
      </w:r>
      <w:r w:rsidR="005A272B" w:rsidRPr="005A272B">
        <w:rPr>
          <w:bCs/>
        </w:rPr>
        <w:lastRenderedPageBreak/>
        <w:t>ieviešanas</w:t>
      </w:r>
      <w:r w:rsidR="005508C8">
        <w:rPr>
          <w:bCs/>
        </w:rPr>
        <w:t xml:space="preserve">. IIA </w:t>
      </w:r>
      <w:r w:rsidR="005A272B">
        <w:rPr>
          <w:bCs/>
        </w:rPr>
        <w:t>uzrāda</w:t>
      </w:r>
      <w:r w:rsidR="005508C8">
        <w:rPr>
          <w:bCs/>
        </w:rPr>
        <w:t xml:space="preserve"> pozitīvu NPV visos </w:t>
      </w:r>
      <w:r w:rsidR="000147CA">
        <w:rPr>
          <w:bCs/>
        </w:rPr>
        <w:t>scenārijo</w:t>
      </w:r>
      <w:r w:rsidR="005508C8">
        <w:rPr>
          <w:bCs/>
        </w:rPr>
        <w:t>s</w:t>
      </w:r>
      <w:r w:rsidR="005A272B">
        <w:rPr>
          <w:bCs/>
        </w:rPr>
        <w:t xml:space="preserve"> ar</w:t>
      </w:r>
      <w:r w:rsidR="005508C8">
        <w:rPr>
          <w:bCs/>
        </w:rPr>
        <w:t xml:space="preserve"> potenciālajiem ieguvumiem </w:t>
      </w:r>
      <w:r w:rsidR="00AE0991">
        <w:rPr>
          <w:bCs/>
        </w:rPr>
        <w:t xml:space="preserve">svārstoties </w:t>
      </w:r>
      <w:r w:rsidR="005508C8">
        <w:rPr>
          <w:bCs/>
        </w:rPr>
        <w:t xml:space="preserve">no 0,1 miljona </w:t>
      </w:r>
      <w:r w:rsidR="005508C8">
        <w:rPr>
          <w:bCs/>
          <w:i/>
          <w:iCs/>
        </w:rPr>
        <w:t xml:space="preserve">euro </w:t>
      </w:r>
      <w:r w:rsidR="005508C8">
        <w:rPr>
          <w:bCs/>
        </w:rPr>
        <w:t xml:space="preserve">līdz pat 4,9 miljoniem </w:t>
      </w:r>
      <w:r w:rsidR="005508C8">
        <w:rPr>
          <w:bCs/>
          <w:i/>
          <w:iCs/>
        </w:rPr>
        <w:t>euro.</w:t>
      </w:r>
    </w:p>
    <w:p w14:paraId="58734E95" w14:textId="7BF93C00" w:rsidR="00114269" w:rsidRPr="00CA62BC" w:rsidRDefault="00114269" w:rsidP="002D548E">
      <w:pPr>
        <w:rPr>
          <w:bCs/>
          <w:i/>
          <w:iCs/>
        </w:rPr>
      </w:pPr>
      <w:r>
        <w:rPr>
          <w:bCs/>
        </w:rPr>
        <w:t xml:space="preserve">Savukārt VUGD izveidotā apmācību centra IIA analīze ir balstīta </w:t>
      </w:r>
      <w:r w:rsidR="00E6648C">
        <w:rPr>
          <w:bCs/>
        </w:rPr>
        <w:t>pētījuma datos</w:t>
      </w:r>
      <w:r w:rsidR="003D0E28">
        <w:rPr>
          <w:bCs/>
        </w:rPr>
        <w:t xml:space="preserve"> par</w:t>
      </w:r>
      <w:r w:rsidR="003D0E28" w:rsidRPr="003D0E28">
        <w:rPr>
          <w:bCs/>
        </w:rPr>
        <w:t xml:space="preserve"> </w:t>
      </w:r>
      <w:r w:rsidR="003D0E28">
        <w:rPr>
          <w:bCs/>
        </w:rPr>
        <w:t>līdzīgu pasākumu ieviešanu</w:t>
      </w:r>
      <w:r w:rsidR="003D0E28">
        <w:rPr>
          <w:rStyle w:val="Vresatsauce"/>
          <w:bCs/>
        </w:rPr>
        <w:t xml:space="preserve"> </w:t>
      </w:r>
      <w:r w:rsidR="00E6648C">
        <w:rPr>
          <w:rStyle w:val="Vresatsauce"/>
          <w:bCs/>
        </w:rPr>
        <w:footnoteReference w:id="57"/>
      </w:r>
      <w:r w:rsidR="00E6648C">
        <w:rPr>
          <w:bCs/>
        </w:rPr>
        <w:t xml:space="preserve">, kas </w:t>
      </w:r>
      <w:r w:rsidR="00442864" w:rsidRPr="00442864">
        <w:rPr>
          <w:bCs/>
        </w:rPr>
        <w:t>apstiprina ieguldījumu pozitīvo ekonomisko atdev</w:t>
      </w:r>
      <w:r w:rsidR="00EF472B">
        <w:rPr>
          <w:bCs/>
        </w:rPr>
        <w:t>i. A</w:t>
      </w:r>
      <w:r w:rsidR="002F7BC2">
        <w:rPr>
          <w:bCs/>
        </w:rPr>
        <w:t xml:space="preserve">tbilstoši Latvijas tirgus cenu līmenim </w:t>
      </w:r>
      <w:r w:rsidR="00EF472B">
        <w:rPr>
          <w:bCs/>
        </w:rPr>
        <w:t>katrs</w:t>
      </w:r>
      <w:r w:rsidR="002F7BC2">
        <w:rPr>
          <w:bCs/>
        </w:rPr>
        <w:t xml:space="preserve"> ieguldīt</w:t>
      </w:r>
      <w:r w:rsidR="00EF472B">
        <w:rPr>
          <w:bCs/>
        </w:rPr>
        <w:t>ais</w:t>
      </w:r>
      <w:r w:rsidR="002F7BC2">
        <w:rPr>
          <w:bCs/>
        </w:rPr>
        <w:t xml:space="preserve"> </w:t>
      </w:r>
      <w:r w:rsidR="002F7BC2">
        <w:rPr>
          <w:bCs/>
          <w:i/>
          <w:iCs/>
        </w:rPr>
        <w:t xml:space="preserve">euro </w:t>
      </w:r>
      <w:r w:rsidR="002F7BC2">
        <w:rPr>
          <w:bCs/>
        </w:rPr>
        <w:t>rad</w:t>
      </w:r>
      <w:r w:rsidR="00EF472B">
        <w:rPr>
          <w:bCs/>
        </w:rPr>
        <w:t>a</w:t>
      </w:r>
      <w:r w:rsidR="002F7BC2">
        <w:rPr>
          <w:bCs/>
        </w:rPr>
        <w:t xml:space="preserve"> ieguvumu 1,4 </w:t>
      </w:r>
      <w:r w:rsidR="002F7BC2">
        <w:rPr>
          <w:bCs/>
          <w:i/>
          <w:iCs/>
        </w:rPr>
        <w:t xml:space="preserve">euro </w:t>
      </w:r>
      <w:r w:rsidR="002F7BC2">
        <w:rPr>
          <w:bCs/>
        </w:rPr>
        <w:t xml:space="preserve">apmērā. Vienlaikus iegādātās CBRNE ķīmisko darbu </w:t>
      </w:r>
      <w:r w:rsidR="003E4CF2">
        <w:rPr>
          <w:bCs/>
        </w:rPr>
        <w:t xml:space="preserve">un glābšanas </w:t>
      </w:r>
      <w:r w:rsidR="002F7BC2">
        <w:rPr>
          <w:bCs/>
        </w:rPr>
        <w:t xml:space="preserve">automašīnas </w:t>
      </w:r>
      <w:r w:rsidR="00BF59E3" w:rsidRPr="00BF59E3">
        <w:rPr>
          <w:bCs/>
        </w:rPr>
        <w:t>sniedz papildu ekonomiskos ieguvumus, pateicoties gan ekonomiskākam degvielas patēriņam, gan ātrākai reaģēšanai uz izsaukumiem</w:t>
      </w:r>
      <w:r w:rsidR="00063B40">
        <w:rPr>
          <w:bCs/>
        </w:rPr>
        <w:t xml:space="preserve">. </w:t>
      </w:r>
      <w:r w:rsidR="00CA62BC">
        <w:rPr>
          <w:bCs/>
        </w:rPr>
        <w:t xml:space="preserve">IIA aprēķini liecina, ka projekta NPV sasniedz 4,9 miljonus </w:t>
      </w:r>
      <w:r w:rsidR="00CA62BC">
        <w:rPr>
          <w:bCs/>
          <w:i/>
          <w:iCs/>
        </w:rPr>
        <w:t xml:space="preserve">euro. </w:t>
      </w:r>
    </w:p>
    <w:p w14:paraId="701A002C" w14:textId="036EBBA0" w:rsidR="0049533B" w:rsidRDefault="003E4730" w:rsidP="0049533B">
      <w:pPr>
        <w:rPr>
          <w:rFonts w:cstheme="minorHAnsi"/>
        </w:rPr>
      </w:pPr>
      <w:r w:rsidRPr="003E4730">
        <w:rPr>
          <w:rFonts w:cstheme="minorHAnsi"/>
        </w:rPr>
        <w:t>Būtiski uzsvērt, ka šie pasākumi rada arī ievērojamus nekvantificējamus ieguvumus. Galvenokārt tie attiecas uz sabiedrības drošību – uzlabotu spēju ātri un efektīvi reaģēt ārkārtas situācijās, glābjot cilvēku dzīvības, kā arī uzlabotiem darba apstākļiem operatīvajam personālam. Papildu tam, VUGD iegādātie jaunie automobiļi samazina SEG emisiju daudzumu, radot arī vides ilgtspējas ieguvumus.</w:t>
      </w:r>
    </w:p>
    <w:p w14:paraId="23295355" w14:textId="1F7AB781" w:rsidR="003E4730" w:rsidRPr="00C05D33" w:rsidRDefault="00C05D33" w:rsidP="0049533B">
      <w:pPr>
        <w:rPr>
          <w:bCs/>
        </w:rPr>
      </w:pPr>
      <w:r>
        <w:rPr>
          <w:bCs/>
        </w:rPr>
        <w:t>Secināms, ka īstenoto</w:t>
      </w:r>
      <w:r w:rsidRPr="00C05D33">
        <w:rPr>
          <w:bCs/>
        </w:rPr>
        <w:t xml:space="preserve"> projektu ekonomiskā atdeve ir pozitīva un pārsniedz sākotnējos ieguldījumus. Papildu kvantitatīvi izmērāmajiem ieguvumiem projekti sniedz būtiskus kvalitatīvus uzlabojumus sabiedrības drošības</w:t>
      </w:r>
      <w:r>
        <w:rPr>
          <w:bCs/>
        </w:rPr>
        <w:t xml:space="preserve"> un</w:t>
      </w:r>
      <w:r w:rsidRPr="00C05D33">
        <w:rPr>
          <w:bCs/>
        </w:rPr>
        <w:t xml:space="preserve"> personāla darba apstākļu jomā. </w:t>
      </w:r>
      <w:r w:rsidR="00A5601C">
        <w:rPr>
          <w:bCs/>
        </w:rPr>
        <w:t>Tādējādi š</w:t>
      </w:r>
      <w:r w:rsidRPr="00C05D33">
        <w:rPr>
          <w:bCs/>
        </w:rPr>
        <w:t>ādi ieguldījumi drošības un ārkārtas reaģēšanas infrastruktūrā ir gan ekonomiski, gan sociāli pamatoti.</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0E5A9023" w14:textId="77777777" w:rsidTr="00220E0C">
        <w:tc>
          <w:tcPr>
            <w:tcW w:w="10252" w:type="dxa"/>
            <w:shd w:val="clear" w:color="auto" w:fill="F3B8FF" w:themeFill="accent6" w:themeFillTint="33"/>
          </w:tcPr>
          <w:p w14:paraId="30858C0D" w14:textId="77777777" w:rsidR="0049533B" w:rsidRPr="008F64A0" w:rsidRDefault="0049533B" w:rsidP="00A239D8">
            <w:pPr>
              <w:rPr>
                <w:i/>
                <w:iCs/>
                <w:color w:val="5A5A5A" w:themeColor="accent1" w:themeTint="BF"/>
              </w:rPr>
            </w:pPr>
            <w:r w:rsidRPr="008F64A0">
              <w:rPr>
                <w:i/>
                <w:iCs/>
                <w:color w:val="5A5A5A" w:themeColor="accent1" w:themeTint="BF"/>
              </w:rPr>
              <w:t>Apakšjautājums: Kādi pasākumi tika veikti, lai novērstu, atklātu un pārraudzītu krāpšanas gadījumus un citus pārkāpumus, un ziņotu par tiem, un kā šie pasākumi darbojās?</w:t>
            </w:r>
          </w:p>
        </w:tc>
      </w:tr>
    </w:tbl>
    <w:p w14:paraId="0ADDB4EE" w14:textId="19759B92" w:rsidR="00BA4948" w:rsidRPr="00B33342" w:rsidRDefault="00BA4948" w:rsidP="00BA4948">
      <w:r w:rsidRPr="00B33342">
        <w:t>Saskaņā ar Ministru kabineta 2015. gada 28. jūlija noteikumiem Nr. 433</w:t>
      </w:r>
      <w:r w:rsidRPr="00B33342">
        <w:rPr>
          <w:rStyle w:val="Vresatsauce"/>
        </w:rPr>
        <w:footnoteReference w:id="58"/>
      </w:r>
      <w:r w:rsidRPr="00B33342">
        <w:t xml:space="preserve">, kas reglamentē </w:t>
      </w:r>
      <w:r w:rsidR="00E21F41">
        <w:t>IDF</w:t>
      </w:r>
      <w:r w:rsidRPr="00B33342">
        <w:t xml:space="preserve"> un </w:t>
      </w:r>
      <w:r w:rsidR="00E21F41">
        <w:t>PMIF</w:t>
      </w:r>
      <w:r w:rsidRPr="00B33342">
        <w:t xml:space="preserve"> 2014.–2020. gada plānošanas perioda pārvaldības sistēmu, tiek noteikta projektu īstenošanas uzraudzības un kontroles kārtība, kā arī neatbilstošo izdevumu identificēšanas un ziņošanas procedūras </w:t>
      </w:r>
      <w:r w:rsidR="00777E7E">
        <w:t>EK</w:t>
      </w:r>
      <w:r w:rsidRPr="00B33342">
        <w:t>.</w:t>
      </w:r>
    </w:p>
    <w:p w14:paraId="7672BDBD" w14:textId="63DA1922" w:rsidR="00BA4948" w:rsidRPr="00B33342" w:rsidRDefault="00BA4948" w:rsidP="00BA4948">
      <w:r w:rsidRPr="00B33342">
        <w:t xml:space="preserve">Projektu administratīvā uzraudzība tiek īstenota vairākos līmeņos, kur atbildīgā un deleģētā iestāde veic finansējuma saņēmēju iesniegto </w:t>
      </w:r>
      <w:r w:rsidRPr="005B6C94">
        <w:rPr>
          <w:bCs/>
        </w:rPr>
        <w:t>iepirkuma plānu, iepirkuma dokumentācijas un iepirkuma norises pirmspārbaud</w:t>
      </w:r>
      <w:r>
        <w:rPr>
          <w:bCs/>
        </w:rPr>
        <w:t>i</w:t>
      </w:r>
      <w:r w:rsidRPr="005B6C94">
        <w:rPr>
          <w:bCs/>
        </w:rPr>
        <w:t>, finansējuma pieprasījumu, izdevumu pārskatu un izdevumu attaisnojuma dokumentu pārbaud</w:t>
      </w:r>
      <w:r>
        <w:rPr>
          <w:bCs/>
        </w:rPr>
        <w:t>i</w:t>
      </w:r>
      <w:r w:rsidRPr="005B6C94">
        <w:rPr>
          <w:bCs/>
        </w:rPr>
        <w:t xml:space="preserve"> un projekt</w:t>
      </w:r>
      <w:r w:rsidR="000828D7">
        <w:rPr>
          <w:bCs/>
        </w:rPr>
        <w:t>u</w:t>
      </w:r>
      <w:r w:rsidRPr="005B6C94">
        <w:rPr>
          <w:bCs/>
        </w:rPr>
        <w:t xml:space="preserve"> īstenošanas progresa pārbaud</w:t>
      </w:r>
      <w:r>
        <w:rPr>
          <w:bCs/>
        </w:rPr>
        <w:t xml:space="preserve">i. </w:t>
      </w:r>
      <w:r w:rsidRPr="00B33342">
        <w:t>Papildu tam tiek nodrošinātas pārbaudes projektu īstenošanas vietās, kā arī revīzijas iestāde izlases veid</w:t>
      </w:r>
      <w:r>
        <w:t>ā</w:t>
      </w:r>
      <w:r w:rsidRPr="00B33342">
        <w:t xml:space="preserve"> veic projektu izdevumu auditus.</w:t>
      </w:r>
    </w:p>
    <w:p w14:paraId="2AE5ED1A" w14:textId="77777777" w:rsidR="00BA4948" w:rsidRDefault="00BA4948" w:rsidP="00BA4948">
      <w:r w:rsidRPr="00B33342">
        <w:t xml:space="preserve">Ieviestā kontroles sistēma </w:t>
      </w:r>
      <w:r>
        <w:rPr>
          <w:bCs/>
        </w:rPr>
        <w:t xml:space="preserve">ir sekmējusi pārkāpumu identificēšanu un novēršanu. Šī perioda ietvaros, piemēram, ir uzsākta iepirkumu pirmspārbaužu īstenošana, kas ir nodrošinājusi savlaicīgu neatbilstību gadījumu identificēšanu Publisko iepirkumu likuma prasībām. Šī pieeja ir ļāvusi finansējuma saņēmējiem veikt nepieciešamās izmaiņas iepirkuma dokumentācijā, lai nodrošinātu iepirkumu prasību izpildi un izvairītos no finanšu korekcijām vēlākā projekta īstenošanas stadijā. </w:t>
      </w:r>
    </w:p>
    <w:p w14:paraId="3E4ED1A7" w14:textId="35871E5B" w:rsidR="00CD3608" w:rsidRPr="00B33342" w:rsidRDefault="00CD3608" w:rsidP="00CD3608">
      <w:r>
        <w:rPr>
          <w:bCs/>
        </w:rPr>
        <w:t>Vienlaikus auditu ietvaros arī revīzijas iestāde izlases kārtība nodrošināja projektu izdevumu pārbaudi, kas nodrošinājuši potenciālu pārkāpumu identificēšanu. Piemēram,</w:t>
      </w:r>
      <w:r w:rsidRPr="00B33342">
        <w:t xml:space="preserve"> </w:t>
      </w:r>
      <w:r w:rsidR="00AB3E03">
        <w:t>2019</w:t>
      </w:r>
      <w:r w:rsidRPr="00B33342">
        <w:t xml:space="preserve">. gada revīzijas </w:t>
      </w:r>
      <w:r>
        <w:t xml:space="preserve">ziņojumā </w:t>
      </w:r>
      <w:r w:rsidRPr="00B33342">
        <w:t xml:space="preserve">projektā Nr. </w:t>
      </w:r>
      <w:r w:rsidR="00BC1B64" w:rsidRPr="00BC1B64">
        <w:t>VP/IDF/2017/1</w:t>
      </w:r>
      <w:r w:rsidRPr="00B33342">
        <w:t xml:space="preserve"> "</w:t>
      </w:r>
      <w:r w:rsidR="001E7848" w:rsidRPr="001E7848">
        <w:t>Valsts policijas kapacitātes pilnveidošana ar augsto tehnoloģiju palīdzību izdarīto noziedzīgo nodarījumu prevencijā un apkarošanā</w:t>
      </w:r>
      <w:r w:rsidR="001E7848">
        <w:t>”</w:t>
      </w:r>
      <w:r w:rsidRPr="00B33342">
        <w:t xml:space="preserve">, </w:t>
      </w:r>
      <w:r w:rsidR="001E7848">
        <w:t xml:space="preserve">tika identificēti </w:t>
      </w:r>
      <w:r w:rsidR="006F3C0E">
        <w:t xml:space="preserve">iepirkuma procedūras pārkāpumi, kas </w:t>
      </w:r>
      <w:r w:rsidR="006F3C0E">
        <w:lastRenderedPageBreak/>
        <w:t>saistīti ar ierobežot</w:t>
      </w:r>
      <w:r w:rsidR="001C30E5">
        <w:t xml:space="preserve">ām prasībām un vienlīdzīgas attieksmes nodrošināšanu. Tā rezultātā projektam tika piemērota finanšu korekcija 15 276,32 </w:t>
      </w:r>
      <w:r w:rsidR="001C30E5">
        <w:rPr>
          <w:i/>
          <w:iCs/>
        </w:rPr>
        <w:t xml:space="preserve">euro </w:t>
      </w:r>
      <w:r w:rsidR="001C30E5">
        <w:t>apmērā.</w:t>
      </w:r>
      <w:r>
        <w:rPr>
          <w:rStyle w:val="Vresatsauce"/>
        </w:rPr>
        <w:footnoteReference w:id="59"/>
      </w:r>
    </w:p>
    <w:p w14:paraId="70CDCD94" w14:textId="0F5CDF73" w:rsidR="00CD3608" w:rsidRDefault="009B48E1" w:rsidP="00CD3608">
      <w:r>
        <w:t>R</w:t>
      </w:r>
      <w:r w:rsidR="00CD3608">
        <w:t>evīzijas ziņojumi ietvēra arī rekomendācijas uzlabojumiem projektu uzraudzības sistēmā un p</w:t>
      </w:r>
      <w:r w:rsidR="00CD3608" w:rsidRPr="00B33342">
        <w:t>reventīv</w:t>
      </w:r>
      <w:r w:rsidR="00CD3608">
        <w:t>iem pasākumiem</w:t>
      </w:r>
      <w:r w:rsidR="00C90F33">
        <w:t>, piemēram, attiecībā uz Programmas</w:t>
      </w:r>
      <w:r w:rsidR="00223C4F">
        <w:t xml:space="preserve"> nacionālai programmai atbilstošo rezultatīvo rādītāju definēšanu projektos. </w:t>
      </w:r>
    </w:p>
    <w:p w14:paraId="0AB82656" w14:textId="031A7833" w:rsidR="00684532" w:rsidRDefault="008C6FC6" w:rsidP="00CD3608">
      <w:r w:rsidRPr="00FE3A95">
        <w:rPr>
          <w:bCs/>
        </w:rPr>
        <w:t>Revīzijas iestāde</w:t>
      </w:r>
      <w:r>
        <w:rPr>
          <w:bCs/>
        </w:rPr>
        <w:t>s pārstāvji norāda</w:t>
      </w:r>
      <w:r w:rsidRPr="00FE3A95">
        <w:rPr>
          <w:bCs/>
        </w:rPr>
        <w:t xml:space="preserve">, ka projektu administratīvā uzraudzība kopumā ir bijusi efektīva. Neatbilstības tika savlaicīgi identificētas gan projektu pirmspārbaužu posmā, gan projektu pārskatu izvērtēšanas laikā. Lai gan revīzijas iestāde konstatēja atsevišķus trūkumus, piemēram, iepirkumu līgumu izpildes uzraudzībā, šie pārkāpumi nebija būtiski. Līdz ar to sniegtie ieteikumi </w:t>
      </w:r>
      <w:r>
        <w:rPr>
          <w:bCs/>
        </w:rPr>
        <w:t xml:space="preserve">lielākoties </w:t>
      </w:r>
      <w:r w:rsidRPr="00FE3A95">
        <w:rPr>
          <w:bCs/>
        </w:rPr>
        <w:t>bija rekomendējoša rakstura.</w:t>
      </w:r>
      <w:r>
        <w:rPr>
          <w:bCs/>
        </w:rPr>
        <w:t xml:space="preserve"> </w:t>
      </w:r>
    </w:p>
    <w:p w14:paraId="378B7DF9" w14:textId="6D8C0366" w:rsidR="00EE4117" w:rsidRPr="00D51014" w:rsidRDefault="00D52E50" w:rsidP="0049533B">
      <w:pPr>
        <w:rPr>
          <w:bCs/>
        </w:rPr>
      </w:pPr>
      <w:r>
        <w:rPr>
          <w:bCs/>
        </w:rPr>
        <w:t xml:space="preserve">Tāpat Programmu uzraudzības līmenī tika nodrošināti informācijas apmaiņas mehānismi, kas ļāva savlaicīgi identificēt potenciālās problēmas un savlaicīgi rast tām risinājumus. </w:t>
      </w:r>
      <w:r>
        <w:t xml:space="preserve">Būtiska nozīme ir izveidotajiem daudzpusējiem komunikācijas kanāliem </w:t>
      </w:r>
      <w:r w:rsidR="00295F52">
        <w:rPr>
          <w:rFonts w:cstheme="minorHAnsi"/>
        </w:rPr>
        <w:t>–</w:t>
      </w:r>
      <w:r>
        <w:t xml:space="preserve"> no augsta līmeņa stratēģiskajām konsultācijām valsts sekretāra vietnieka vadībā līdz regulārām Projektu uzraudzības padomes sanāksmēm. Šāda pieeja nodrošina tiešu dialogu starp atbildīgās iestādes pārstāvjiem un finansējuma saņēmējiem no dažādām institūcijām, ļaujot operatīvi apzināt projektu īstenošanas izaicinājumus un kolektīvi izstrādāt efektīvus risinājumus.</w:t>
      </w:r>
    </w:p>
    <w:p w14:paraId="2F3A5D95" w14:textId="77777777" w:rsidR="0049533B" w:rsidRPr="008F64A0" w:rsidRDefault="0049533B" w:rsidP="00BF4167">
      <w:pPr>
        <w:pStyle w:val="Sarakstarindkopa"/>
        <w:numPr>
          <w:ilvl w:val="2"/>
          <w:numId w:val="42"/>
        </w:numPr>
        <w:rPr>
          <w:b/>
        </w:rPr>
      </w:pPr>
      <w:r w:rsidRPr="008F64A0">
        <w:rPr>
          <w:b/>
        </w:rPr>
        <w:t>Kritērijs “Atbilstība”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3B5799F8" w14:textId="77777777" w:rsidTr="00D40533">
        <w:tc>
          <w:tcPr>
            <w:tcW w:w="10252" w:type="dxa"/>
            <w:shd w:val="clear" w:color="auto" w:fill="82009B" w:themeFill="accent6"/>
          </w:tcPr>
          <w:p w14:paraId="6D24E44F" w14:textId="77777777" w:rsidR="0049533B" w:rsidRPr="008F64A0" w:rsidRDefault="0049533B" w:rsidP="00A239D8">
            <w:pPr>
              <w:rPr>
                <w:b/>
              </w:rPr>
            </w:pPr>
            <w:r w:rsidRPr="008F64A0">
              <w:rPr>
                <w:b/>
              </w:rPr>
              <w:t xml:space="preserve">Izvērtēšanas kritērija jautājums: </w:t>
            </w:r>
            <w:r w:rsidRPr="008F64A0">
              <w:rPr>
                <w:bCs/>
              </w:rPr>
              <w:t>Vai fonda finansēto pasākumu mērķi atbilda aktuālajām vajadzībām?</w:t>
            </w:r>
          </w:p>
        </w:tc>
      </w:tr>
    </w:tbl>
    <w:p w14:paraId="508CACC1" w14:textId="4AEEA008" w:rsidR="00C66683" w:rsidRDefault="00B663A9" w:rsidP="004C7B9A">
      <w:pPr>
        <w:rPr>
          <w:rFonts w:cstheme="minorHAnsi"/>
        </w:rPr>
      </w:pPr>
      <w:r>
        <w:t xml:space="preserve">Veiktās izvērtēšanas rezultāti apliecina fonda finansēto pasākumu atbilstību nozares aktuālajām prioritātēm. </w:t>
      </w:r>
      <w:r>
        <w:rPr>
          <w:rFonts w:cstheme="minorHAnsi"/>
        </w:rPr>
        <w:t xml:space="preserve">Finansējuma saņēmēju </w:t>
      </w:r>
      <w:r w:rsidR="00C8103E">
        <w:rPr>
          <w:rFonts w:cstheme="minorHAnsi"/>
        </w:rPr>
        <w:t xml:space="preserve">un UK pārstāvju </w:t>
      </w:r>
      <w:r>
        <w:rPr>
          <w:rFonts w:cstheme="minorHAnsi"/>
        </w:rPr>
        <w:t xml:space="preserve">vērtējumā </w:t>
      </w:r>
      <w:r w:rsidR="004C7B9A">
        <w:rPr>
          <w:rFonts w:cstheme="minorHAnsi"/>
        </w:rPr>
        <w:t xml:space="preserve">fonda finansēto pasākumu mērķi pilnībā atbilda aktuālajām vajadzībām, turklāt sniedza iespēju īstenot nozīmīgas un nepieciešamas aktivitātes, kurām finansējums no valsts budžeta līdzekļiem vai citiem ārējiem finanšu avotiem, ir ierobežots. Šādas aktivitātes ietvēra, piemēram, OMEGA mācību centra un CBRNE apmācību poligona izveidi, </w:t>
      </w:r>
      <w:r w:rsidR="00B35ADA">
        <w:rPr>
          <w:rFonts w:cstheme="minorHAnsi"/>
        </w:rPr>
        <w:t xml:space="preserve">pasākumus </w:t>
      </w:r>
      <w:r w:rsidR="008F375F">
        <w:rPr>
          <w:rFonts w:cstheme="minorHAnsi"/>
        </w:rPr>
        <w:t>VP</w:t>
      </w:r>
      <w:r w:rsidR="00B35ADA">
        <w:rPr>
          <w:rFonts w:cstheme="minorHAnsi"/>
        </w:rPr>
        <w:t xml:space="preserve"> Kriminālistikas pārvaldes kapacitātes stiprināšanai, </w:t>
      </w:r>
      <w:r w:rsidR="001B7FB1">
        <w:rPr>
          <w:rFonts w:cstheme="minorHAnsi"/>
        </w:rPr>
        <w:t>IS</w:t>
      </w:r>
      <w:r w:rsidR="00B35ADA">
        <w:rPr>
          <w:rFonts w:cstheme="minorHAnsi"/>
        </w:rPr>
        <w:t xml:space="preserve"> pilnveidi, lai </w:t>
      </w:r>
      <w:r w:rsidR="00C66683">
        <w:rPr>
          <w:rFonts w:cstheme="minorHAnsi"/>
        </w:rPr>
        <w:t>to funkcionalitāte nodrošinātu datu apmai</w:t>
      </w:r>
      <w:r w:rsidR="005F274E">
        <w:rPr>
          <w:rFonts w:cstheme="minorHAnsi"/>
        </w:rPr>
        <w:t>ņ</w:t>
      </w:r>
      <w:r w:rsidR="00C66683">
        <w:rPr>
          <w:rFonts w:cstheme="minorHAnsi"/>
        </w:rPr>
        <w:t>u ar citām iestādēm</w:t>
      </w:r>
      <w:r w:rsidR="004C7B9A">
        <w:rPr>
          <w:rFonts w:cstheme="minorHAnsi"/>
        </w:rPr>
        <w:t xml:space="preserve"> u.c. aktivitātes.</w:t>
      </w:r>
    </w:p>
    <w:p w14:paraId="676BBF3C" w14:textId="07ECB145" w:rsidR="004C7B9A" w:rsidRDefault="004C7B9A" w:rsidP="004C7B9A">
      <w:pPr>
        <w:rPr>
          <w:rFonts w:cstheme="minorHAnsi"/>
        </w:rPr>
      </w:pPr>
      <w:r>
        <w:rPr>
          <w:rFonts w:cstheme="minorHAnsi"/>
        </w:rPr>
        <w:t>Vienlaikus, pasākumu ietvaros ir bijusi iespēja</w:t>
      </w:r>
      <w:r w:rsidR="00C66683">
        <w:rPr>
          <w:rFonts w:cstheme="minorHAnsi"/>
        </w:rPr>
        <w:t xml:space="preserve"> veikt ieguldījumus infrastruktūrā, kas citu atbalsta instrumentu ietvaros </w:t>
      </w:r>
      <w:r w:rsidR="00890F9A">
        <w:rPr>
          <w:rFonts w:cstheme="minorHAnsi"/>
        </w:rPr>
        <w:t>ir ierobežots, kā</w:t>
      </w:r>
      <w:r>
        <w:rPr>
          <w:rFonts w:cstheme="minorHAnsi"/>
        </w:rPr>
        <w:t xml:space="preserve"> arī īstenot </w:t>
      </w:r>
      <w:r w:rsidR="00C66683">
        <w:rPr>
          <w:rFonts w:cstheme="minorHAnsi"/>
        </w:rPr>
        <w:t>plašākas aktivitātes</w:t>
      </w:r>
      <w:r>
        <w:rPr>
          <w:rFonts w:cstheme="minorHAnsi"/>
        </w:rPr>
        <w:t xml:space="preserve"> nekā sākotnēji plānots, piemēram, iegādājoties papildu aprīkojumu, kas ļāv</w:t>
      </w:r>
      <w:r w:rsidR="00C66683">
        <w:rPr>
          <w:rFonts w:cstheme="minorHAnsi"/>
        </w:rPr>
        <w:t>is</w:t>
      </w:r>
      <w:r>
        <w:rPr>
          <w:rFonts w:cstheme="minorHAnsi"/>
        </w:rPr>
        <w:t xml:space="preserve"> paplašināt īstenoto pasākumu rezultātus un stiprināt to ietekmi. </w:t>
      </w:r>
    </w:p>
    <w:p w14:paraId="54DA872A" w14:textId="6115C100" w:rsidR="007A620F" w:rsidRDefault="007A620F" w:rsidP="007A620F">
      <w:pPr>
        <w:rPr>
          <w:rFonts w:cstheme="minorHAnsi"/>
        </w:rPr>
      </w:pPr>
      <w:r>
        <w:rPr>
          <w:rFonts w:cstheme="minorHAnsi"/>
        </w:rPr>
        <w:t>Attiecībā uz programmas elastību un spēju adaptēties mainīgajām vajadzībām lielākā daļa jeb  58</w:t>
      </w:r>
      <w:r w:rsidRPr="00587838">
        <w:rPr>
          <w:rFonts w:cstheme="minorHAnsi"/>
        </w:rPr>
        <w:t> %</w:t>
      </w:r>
      <w:r>
        <w:rPr>
          <w:rFonts w:cstheme="minorHAnsi"/>
        </w:rPr>
        <w:t xml:space="preserve"> respondentu jaunu aktivitāšu pievienošanu projektos vērtē kā </w:t>
      </w:r>
      <w:r w:rsidRPr="00587838">
        <w:rPr>
          <w:rFonts w:cstheme="minorHAnsi"/>
        </w:rPr>
        <w:t xml:space="preserve">drīzāk </w:t>
      </w:r>
      <w:r>
        <w:rPr>
          <w:rFonts w:cstheme="minorHAnsi"/>
        </w:rPr>
        <w:t>vieglu procesu</w:t>
      </w:r>
      <w:r w:rsidRPr="00587838">
        <w:rPr>
          <w:rFonts w:cstheme="minorHAnsi"/>
        </w:rPr>
        <w:t xml:space="preserve">, </w:t>
      </w:r>
      <w:r>
        <w:rPr>
          <w:rFonts w:cstheme="minorHAnsi"/>
        </w:rPr>
        <w:t xml:space="preserve">savukārt </w:t>
      </w:r>
      <w:r w:rsidRPr="00587838">
        <w:rPr>
          <w:rFonts w:cstheme="minorHAnsi"/>
        </w:rPr>
        <w:t>3</w:t>
      </w:r>
      <w:r>
        <w:rPr>
          <w:rFonts w:cstheme="minorHAnsi"/>
        </w:rPr>
        <w:t>3</w:t>
      </w:r>
      <w:r w:rsidRPr="00587838">
        <w:rPr>
          <w:rFonts w:cstheme="minorHAnsi"/>
        </w:rPr>
        <w:t> %</w:t>
      </w:r>
      <w:r>
        <w:rPr>
          <w:rFonts w:cstheme="minorHAnsi"/>
        </w:rPr>
        <w:t xml:space="preserve"> to vērtē </w:t>
      </w:r>
      <w:r w:rsidRPr="00587838">
        <w:rPr>
          <w:rFonts w:cstheme="minorHAnsi"/>
        </w:rPr>
        <w:t>k</w:t>
      </w:r>
      <w:r>
        <w:rPr>
          <w:rFonts w:cstheme="minorHAnsi"/>
        </w:rPr>
        <w:t>ā</w:t>
      </w:r>
      <w:r w:rsidRPr="00587838">
        <w:rPr>
          <w:rFonts w:cstheme="minorHAnsi"/>
        </w:rPr>
        <w:t xml:space="preserve"> drīzāk </w:t>
      </w:r>
      <w:r>
        <w:rPr>
          <w:rFonts w:cstheme="minorHAnsi"/>
        </w:rPr>
        <w:t>sarežģītu</w:t>
      </w:r>
      <w:r w:rsidRPr="00587838">
        <w:rPr>
          <w:rFonts w:cstheme="minorHAnsi"/>
        </w:rPr>
        <w:t xml:space="preserve"> (</w:t>
      </w:r>
      <w:r>
        <w:rPr>
          <w:rFonts w:cstheme="minorHAnsi"/>
        </w:rPr>
        <w:fldChar w:fldCharType="begin"/>
      </w:r>
      <w:r>
        <w:rPr>
          <w:rFonts w:cstheme="minorHAnsi"/>
        </w:rPr>
        <w:instrText xml:space="preserve"> REF _Ref190872257 \h </w:instrText>
      </w:r>
      <w:r>
        <w:rPr>
          <w:rFonts w:cstheme="minorHAnsi"/>
        </w:rPr>
      </w:r>
      <w:r>
        <w:rPr>
          <w:rFonts w:cstheme="minorHAnsi"/>
        </w:rPr>
        <w:fldChar w:fldCharType="separate"/>
      </w:r>
      <w:r w:rsidR="000523B6">
        <w:t xml:space="preserve">Attēls </w:t>
      </w:r>
      <w:r w:rsidR="000523B6">
        <w:rPr>
          <w:noProof/>
        </w:rPr>
        <w:t>24</w:t>
      </w:r>
      <w:r>
        <w:rPr>
          <w:rFonts w:cstheme="minorHAnsi"/>
        </w:rPr>
        <w:fldChar w:fldCharType="end"/>
      </w:r>
      <w:r w:rsidRPr="00587838">
        <w:rPr>
          <w:rFonts w:cstheme="minorHAnsi"/>
        </w:rPr>
        <w:t xml:space="preserve">). </w:t>
      </w:r>
    </w:p>
    <w:p w14:paraId="0C340566" w14:textId="1A9A1749" w:rsidR="009074EB" w:rsidRDefault="009074EB" w:rsidP="009074EB">
      <w:pPr>
        <w:rPr>
          <w:rFonts w:cstheme="minorHAnsi"/>
        </w:rPr>
      </w:pPr>
      <w:r>
        <w:t xml:space="preserve">Analizējot šķēršļus projektu pielāgošanai mainīgajām vajadzībām, identificēti vairāki izaicinājumi. </w:t>
      </w:r>
      <w:r>
        <w:rPr>
          <w:rFonts w:cstheme="minorHAnsi"/>
        </w:rPr>
        <w:t>F</w:t>
      </w:r>
      <w:r w:rsidRPr="007765F4">
        <w:rPr>
          <w:rFonts w:cstheme="minorHAnsi"/>
        </w:rPr>
        <w:t>inansējuma saņēmēji</w:t>
      </w:r>
      <w:r>
        <w:rPr>
          <w:rFonts w:cstheme="minorHAnsi"/>
        </w:rPr>
        <w:t xml:space="preserve"> norāda, ka ir bijis ilgs grozījumu saskaņošanas process, kā arī nepietiekami administratīvie resursi (</w:t>
      </w:r>
      <w:r>
        <w:rPr>
          <w:rFonts w:cstheme="minorHAnsi"/>
        </w:rPr>
        <w:fldChar w:fldCharType="begin"/>
      </w:r>
      <w:r>
        <w:rPr>
          <w:rFonts w:cstheme="minorHAnsi"/>
        </w:rPr>
        <w:instrText xml:space="preserve"> REF _Ref190872327 \h </w:instrText>
      </w:r>
      <w:r>
        <w:rPr>
          <w:rFonts w:cstheme="minorHAnsi"/>
        </w:rPr>
      </w:r>
      <w:r>
        <w:rPr>
          <w:rFonts w:cstheme="minorHAnsi"/>
        </w:rPr>
        <w:fldChar w:fldCharType="separate"/>
      </w:r>
      <w:r w:rsidR="000523B6">
        <w:t xml:space="preserve">Attēls </w:t>
      </w:r>
      <w:r w:rsidR="000523B6">
        <w:rPr>
          <w:noProof/>
        </w:rPr>
        <w:t>25</w:t>
      </w:r>
      <w:r>
        <w:rPr>
          <w:rFonts w:cstheme="minorHAnsi"/>
        </w:rPr>
        <w:fldChar w:fldCharType="end"/>
      </w:r>
      <w:r>
        <w:rPr>
          <w:rFonts w:cstheme="minorHAnsi"/>
        </w:rPr>
        <w:t xml:space="preserve">). </w:t>
      </w:r>
    </w:p>
    <w:p w14:paraId="092EA2A0" w14:textId="0EDBDF40" w:rsidR="00193DA0" w:rsidRPr="00A507A0" w:rsidRDefault="00193DA0" w:rsidP="00193DA0">
      <w:r>
        <w:rPr>
          <w:rFonts w:cstheme="minorHAnsi"/>
        </w:rPr>
        <w:t xml:space="preserve">Finansējuma saņēmēji kopumā ļoti pozitīvi vērtē Programmu elastību, ļaujot pielāgot projektu aktivitātes pēc nepieciešamības, tai skaitā, mainot sākotnēji plānotās vai ieplānojot jaunas aktivitātes, vai rodot papildu finanšu līdzekļus, ja tas bija nepieciešams. Atbildīgā iestāde ir demonstrējusi atsaucību attiecībā uz ārējiem apstākļiem, kas ietekmējuši projektu īstenošanas gaitu, kā arī iesaistījusies problēmsituāciju risinājumu izstrādē, lai tiktu nodrošināta projektu mērķu sasniegšana. Vienlaikus </w:t>
      </w:r>
      <w:r w:rsidRPr="0081041D">
        <w:t xml:space="preserve">tika norādīts, ka </w:t>
      </w:r>
      <w:r w:rsidRPr="0081041D">
        <w:lastRenderedPageBreak/>
        <w:t>komunikācija par izmaiņām, īpaši termiņu pagarinājumiem, varē</w:t>
      </w:r>
      <w:r>
        <w:t>ja</w:t>
      </w:r>
      <w:r w:rsidRPr="0081041D">
        <w:t xml:space="preserve"> būt savlaicīgāka, lai </w:t>
      </w:r>
      <w:r>
        <w:t xml:space="preserve">sekmētu </w:t>
      </w:r>
      <w:r w:rsidRPr="0081041D">
        <w:t>efektīvāku projektu plānošanu un īstenošanu.</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31B4A62E" w14:textId="77777777" w:rsidTr="00220E0C">
        <w:tc>
          <w:tcPr>
            <w:tcW w:w="10252" w:type="dxa"/>
            <w:shd w:val="clear" w:color="auto" w:fill="F3B8FF" w:themeFill="accent6" w:themeFillTint="33"/>
          </w:tcPr>
          <w:p w14:paraId="5208ABD3" w14:textId="77777777" w:rsidR="0049533B" w:rsidRPr="008F64A0" w:rsidRDefault="0049533B" w:rsidP="00A239D8">
            <w:pPr>
              <w:rPr>
                <w:i/>
                <w:iCs/>
                <w:color w:val="5A5A5A" w:themeColor="accent1" w:themeTint="BF"/>
              </w:rPr>
            </w:pPr>
            <w:r w:rsidRPr="008F64A0">
              <w:rPr>
                <w:i/>
                <w:iCs/>
                <w:color w:val="5A5A5A" w:themeColor="accent1" w:themeTint="BF"/>
              </w:rPr>
              <w:t>Apakšjautājums: Vai dalībvalsts valsts programmā izvirzītie mērķi atbilda apzinātajām vajadzībām?</w:t>
            </w:r>
          </w:p>
        </w:tc>
      </w:tr>
    </w:tbl>
    <w:p w14:paraId="412184B1" w14:textId="77777777" w:rsidR="00444999" w:rsidRDefault="00444999" w:rsidP="00B76001">
      <w:pPr>
        <w:rPr>
          <w:rFonts w:cstheme="minorHAnsi"/>
        </w:rPr>
      </w:pPr>
      <w:r>
        <w:rPr>
          <w:rFonts w:cstheme="minorHAnsi"/>
        </w:rPr>
        <w:t xml:space="preserve">Nacionālā programmā izvirzītie mērķi un to sasniegšanai definētās aktivitātes ir balstītas esošās situācijas analīzē. </w:t>
      </w:r>
      <w:r w:rsidRPr="004018A8">
        <w:rPr>
          <w:rFonts w:cstheme="minorHAnsi"/>
        </w:rPr>
        <w:t>Nacionālās programmas izstrādes proces</w:t>
      </w:r>
      <w:r>
        <w:rPr>
          <w:rFonts w:cstheme="minorHAnsi"/>
        </w:rPr>
        <w:t xml:space="preserve">s ietvēra vairākus savstarpēji papildinošus elementus – tā saskaņošanu ar nacionāla līmeņa politikas plānošanas dokumentiem un Iekšlietu nozares politikas stratēģiju, kā arī </w:t>
      </w:r>
      <w:r w:rsidRPr="004018A8">
        <w:rPr>
          <w:rFonts w:cstheme="minorHAnsi"/>
        </w:rPr>
        <w:t>konsultācijas ar nozares kompetento iestāžu pārstāvjiem</w:t>
      </w:r>
      <w:r>
        <w:rPr>
          <w:rFonts w:cstheme="minorHAnsi"/>
        </w:rPr>
        <w:t xml:space="preserve">. </w:t>
      </w:r>
    </w:p>
    <w:p w14:paraId="7A57F518" w14:textId="4AAEAC34" w:rsidR="0049533B" w:rsidRPr="00DD77F7" w:rsidRDefault="00444999" w:rsidP="0049533B">
      <w:pPr>
        <w:rPr>
          <w:rFonts w:cstheme="minorHAnsi"/>
        </w:rPr>
      </w:pPr>
      <w:r>
        <w:rPr>
          <w:rFonts w:cstheme="minorHAnsi"/>
        </w:rPr>
        <w:t xml:space="preserve">Īpaša uzmanība tika pievērsta programmas </w:t>
      </w:r>
      <w:r w:rsidRPr="004018A8">
        <w:rPr>
          <w:rFonts w:cstheme="minorHAnsi"/>
        </w:rPr>
        <w:t>prioritā</w:t>
      </w:r>
      <w:r>
        <w:rPr>
          <w:rFonts w:cstheme="minorHAnsi"/>
        </w:rPr>
        <w:t>šu noteikšanai</w:t>
      </w:r>
      <w:r w:rsidRPr="004018A8">
        <w:rPr>
          <w:rFonts w:cstheme="minorHAnsi"/>
        </w:rPr>
        <w:t xml:space="preserve"> </w:t>
      </w:r>
      <w:r>
        <w:rPr>
          <w:rFonts w:cstheme="minorHAnsi"/>
        </w:rPr>
        <w:t>IDF</w:t>
      </w:r>
      <w:r w:rsidRPr="004018A8">
        <w:rPr>
          <w:rFonts w:cstheme="minorHAnsi"/>
        </w:rPr>
        <w:t xml:space="preserve"> nacionālās programmas </w:t>
      </w:r>
      <w:r>
        <w:rPr>
          <w:rFonts w:cstheme="minorHAnsi"/>
        </w:rPr>
        <w:t xml:space="preserve">kontekstā, šo procesu koordinējot </w:t>
      </w:r>
      <w:r w:rsidRPr="004018A8">
        <w:rPr>
          <w:rFonts w:cstheme="minorHAnsi"/>
        </w:rPr>
        <w:t>IeM valsts sekretāra līmenī</w:t>
      </w:r>
      <w:r>
        <w:rPr>
          <w:rFonts w:cstheme="minorHAnsi"/>
        </w:rPr>
        <w:t>. Šāda augsta līmeņa koordinācija</w:t>
      </w:r>
      <w:r w:rsidRPr="004018A8">
        <w:rPr>
          <w:rFonts w:cstheme="minorHAnsi"/>
        </w:rPr>
        <w:t xml:space="preserve"> nodrošinā</w:t>
      </w:r>
      <w:r>
        <w:rPr>
          <w:rFonts w:cstheme="minorHAnsi"/>
        </w:rPr>
        <w:t>ja programmas ciešu sasaisti ar</w:t>
      </w:r>
      <w:r w:rsidRPr="004018A8">
        <w:rPr>
          <w:rFonts w:cstheme="minorHAnsi"/>
        </w:rPr>
        <w:t xml:space="preserve"> kopēj</w:t>
      </w:r>
      <w:r>
        <w:rPr>
          <w:rFonts w:cstheme="minorHAnsi"/>
        </w:rPr>
        <w:t>o</w:t>
      </w:r>
      <w:r w:rsidRPr="004018A8">
        <w:rPr>
          <w:rFonts w:cstheme="minorHAnsi"/>
        </w:rPr>
        <w:t xml:space="preserve"> nozares attīstības virzien</w:t>
      </w:r>
      <w:r>
        <w:rPr>
          <w:rFonts w:cstheme="minorHAnsi"/>
        </w:rPr>
        <w:t>u</w:t>
      </w:r>
      <w:r w:rsidRPr="004018A8">
        <w:rPr>
          <w:rFonts w:cstheme="minorHAnsi"/>
        </w:rPr>
        <w:t xml:space="preserve"> un </w:t>
      </w:r>
      <w:r>
        <w:rPr>
          <w:rFonts w:cstheme="minorHAnsi"/>
        </w:rPr>
        <w:t xml:space="preserve">stratēģiskajām </w:t>
      </w:r>
      <w:r w:rsidRPr="004018A8">
        <w:rPr>
          <w:rFonts w:cstheme="minorHAnsi"/>
        </w:rPr>
        <w:t>prioritātēm.</w:t>
      </w:r>
      <w:r>
        <w:rPr>
          <w:rFonts w:cstheme="minorHAnsi"/>
        </w:rPr>
        <w:t xml:space="preserve">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305608E1" w14:textId="77777777" w:rsidTr="00220E0C">
        <w:tc>
          <w:tcPr>
            <w:tcW w:w="10252" w:type="dxa"/>
            <w:shd w:val="clear" w:color="auto" w:fill="F3B8FF" w:themeFill="accent6" w:themeFillTint="33"/>
          </w:tcPr>
          <w:p w14:paraId="1B629760" w14:textId="77777777" w:rsidR="0049533B" w:rsidRPr="008F64A0" w:rsidRDefault="0049533B" w:rsidP="00A239D8">
            <w:pPr>
              <w:rPr>
                <w:i/>
                <w:iCs/>
                <w:color w:val="5A5A5A" w:themeColor="accent1" w:themeTint="BF"/>
              </w:rPr>
            </w:pPr>
            <w:r w:rsidRPr="008F64A0">
              <w:rPr>
                <w:i/>
                <w:iCs/>
                <w:color w:val="5A5A5A" w:themeColor="accent1" w:themeTint="BF"/>
              </w:rPr>
              <w:t>Apakšjautājums: Vai gada darba programmā (Savienības darbības) izvirzītie mērķi pievērsās aktuālajām vajadzībām?</w:t>
            </w:r>
          </w:p>
        </w:tc>
      </w:tr>
    </w:tbl>
    <w:p w14:paraId="29A7C848" w14:textId="2F6B6428" w:rsidR="00F05CAB" w:rsidRDefault="006D3843" w:rsidP="000F35E8">
      <w:pPr>
        <w:rPr>
          <w:rFonts w:cstheme="minorHAnsi"/>
        </w:rPr>
      </w:pPr>
      <w:r>
        <w:rPr>
          <w:rFonts w:cstheme="minorHAnsi"/>
        </w:rPr>
        <w:t>Latvijas iestādes</w:t>
      </w:r>
      <w:r w:rsidR="000A1AC6">
        <w:rPr>
          <w:rFonts w:cstheme="minorHAnsi"/>
        </w:rPr>
        <w:t xml:space="preserve">, piemēram, </w:t>
      </w:r>
      <w:r w:rsidR="008F375F">
        <w:rPr>
          <w:rFonts w:cstheme="minorHAnsi"/>
        </w:rPr>
        <w:t>VP</w:t>
      </w:r>
      <w:r w:rsidR="000A1AC6">
        <w:rPr>
          <w:rFonts w:cstheme="minorHAnsi"/>
        </w:rPr>
        <w:t xml:space="preserve"> un IeM Informācijas centrs</w:t>
      </w:r>
      <w:r>
        <w:rPr>
          <w:rFonts w:cstheme="minorHAnsi"/>
        </w:rPr>
        <w:t xml:space="preserve"> </w:t>
      </w:r>
      <w:r w:rsidR="00471928">
        <w:rPr>
          <w:rFonts w:cstheme="minorHAnsi"/>
        </w:rPr>
        <w:t>periodā no 2014</w:t>
      </w:r>
      <w:r w:rsidR="00295F52">
        <w:rPr>
          <w:rFonts w:cstheme="minorHAnsi"/>
        </w:rPr>
        <w:t>.</w:t>
      </w:r>
      <w:r w:rsidR="00471928">
        <w:rPr>
          <w:rFonts w:cstheme="minorHAnsi"/>
        </w:rPr>
        <w:t xml:space="preserve">-2020.gadam </w:t>
      </w:r>
      <w:r>
        <w:rPr>
          <w:rFonts w:cstheme="minorHAnsi"/>
        </w:rPr>
        <w:t>ir īstenojušas vairākus projektus</w:t>
      </w:r>
      <w:r w:rsidR="00C01675">
        <w:rPr>
          <w:rFonts w:cstheme="minorHAnsi"/>
        </w:rPr>
        <w:t xml:space="preserve"> atbilstoši </w:t>
      </w:r>
      <w:r w:rsidR="00F05CAB">
        <w:rPr>
          <w:rFonts w:cstheme="minorHAnsi"/>
        </w:rPr>
        <w:t>Savienības darbīb</w:t>
      </w:r>
      <w:r w:rsidR="00855191">
        <w:rPr>
          <w:rFonts w:cstheme="minorHAnsi"/>
        </w:rPr>
        <w:t>u</w:t>
      </w:r>
      <w:r w:rsidR="00F05CAB">
        <w:rPr>
          <w:rFonts w:cstheme="minorHAnsi"/>
        </w:rPr>
        <w:t xml:space="preserve"> gada programmās </w:t>
      </w:r>
      <w:r w:rsidR="00C01675">
        <w:rPr>
          <w:rFonts w:cstheme="minorHAnsi"/>
        </w:rPr>
        <w:t>definētajiem mērķiem un noteiktajām p</w:t>
      </w:r>
      <w:r w:rsidR="002B6CDC">
        <w:rPr>
          <w:rFonts w:cstheme="minorHAnsi"/>
        </w:rPr>
        <w:t>rioritātēm</w:t>
      </w:r>
      <w:r w:rsidR="00A93972">
        <w:rPr>
          <w:rFonts w:cstheme="minorHAnsi"/>
        </w:rPr>
        <w:t xml:space="preserve">, apliecinot tajās noteikto mērķu aktualitāti un atbilstību vajadzībām. </w:t>
      </w:r>
      <w:r>
        <w:rPr>
          <w:rFonts w:cstheme="minorHAnsi"/>
        </w:rPr>
        <w:t xml:space="preserve"> </w:t>
      </w:r>
    </w:p>
    <w:p w14:paraId="0A4C7526" w14:textId="3A1EA936" w:rsidR="00D840C9" w:rsidRDefault="00471928" w:rsidP="0049533B">
      <w:pPr>
        <w:rPr>
          <w:rFonts w:cstheme="minorHAnsi"/>
        </w:rPr>
      </w:pPr>
      <w:r>
        <w:rPr>
          <w:rFonts w:cstheme="minorHAnsi"/>
        </w:rPr>
        <w:t xml:space="preserve">Piemēram, Latvija </w:t>
      </w:r>
      <w:r w:rsidR="00D64AF8">
        <w:rPr>
          <w:rFonts w:cstheme="minorHAnsi"/>
        </w:rPr>
        <w:t>īstenoja vairākus starpvalstu</w:t>
      </w:r>
      <w:r>
        <w:rPr>
          <w:rFonts w:cstheme="minorHAnsi"/>
        </w:rPr>
        <w:t xml:space="preserve"> projektu</w:t>
      </w:r>
      <w:r w:rsidR="000A1AC6">
        <w:rPr>
          <w:rFonts w:cstheme="minorHAnsi"/>
        </w:rPr>
        <w:t>s</w:t>
      </w:r>
      <w:r w:rsidR="00D64AF8">
        <w:rPr>
          <w:rFonts w:cstheme="minorHAnsi"/>
        </w:rPr>
        <w:t xml:space="preserve"> </w:t>
      </w:r>
      <w:r w:rsidR="00CE72F6">
        <w:rPr>
          <w:rFonts w:cstheme="minorHAnsi"/>
        </w:rPr>
        <w:t>informācijas apmaiņas sekmēšan</w:t>
      </w:r>
      <w:r w:rsidR="00D64AF8">
        <w:rPr>
          <w:rFonts w:cstheme="minorHAnsi"/>
        </w:rPr>
        <w:t>ai</w:t>
      </w:r>
      <w:r w:rsidR="00CE72F6">
        <w:rPr>
          <w:rFonts w:cstheme="minorHAnsi"/>
        </w:rPr>
        <w:t xml:space="preserve"> dalībvalstu starpā. </w:t>
      </w:r>
      <w:r w:rsidR="00855191">
        <w:rPr>
          <w:rFonts w:cstheme="minorHAnsi"/>
        </w:rPr>
        <w:t xml:space="preserve">Savienības darbību </w:t>
      </w:r>
      <w:r w:rsidR="000F35E8" w:rsidRPr="006772AC">
        <w:rPr>
          <w:rFonts w:cstheme="minorHAnsi"/>
        </w:rPr>
        <w:t>2014.</w:t>
      </w:r>
      <w:r w:rsidR="00855191">
        <w:rPr>
          <w:rFonts w:cstheme="minorHAnsi"/>
        </w:rPr>
        <w:t xml:space="preserve"> </w:t>
      </w:r>
      <w:r w:rsidR="000F35E8" w:rsidRPr="006772AC">
        <w:rPr>
          <w:rFonts w:cstheme="minorHAnsi"/>
        </w:rPr>
        <w:t>gada programm</w:t>
      </w:r>
      <w:r w:rsidR="00855191">
        <w:rPr>
          <w:rFonts w:cstheme="minorHAnsi"/>
        </w:rPr>
        <w:t xml:space="preserve">ā tika </w:t>
      </w:r>
      <w:r w:rsidR="00D62465">
        <w:rPr>
          <w:rFonts w:cstheme="minorHAnsi"/>
        </w:rPr>
        <w:t xml:space="preserve">paredzēts granta finansējums </w:t>
      </w:r>
      <w:r w:rsidR="000F35E8" w:rsidRPr="006772AC">
        <w:rPr>
          <w:rFonts w:cstheme="minorHAnsi"/>
        </w:rPr>
        <w:t>tiesībsargājošo iestāžu informācijas apmaiņas projektu īstenošan</w:t>
      </w:r>
      <w:r w:rsidR="00D62465">
        <w:rPr>
          <w:rFonts w:cstheme="minorHAnsi"/>
        </w:rPr>
        <w:t>ai</w:t>
      </w:r>
      <w:r w:rsidR="000F35E8" w:rsidRPr="006772AC">
        <w:rPr>
          <w:rStyle w:val="Vresatsauce"/>
          <w:rFonts w:cstheme="minorHAnsi"/>
        </w:rPr>
        <w:footnoteReference w:id="60"/>
      </w:r>
      <w:r w:rsidR="00D62465">
        <w:rPr>
          <w:rFonts w:cstheme="minorHAnsi"/>
        </w:rPr>
        <w:t xml:space="preserve">, kas tika </w:t>
      </w:r>
      <w:r w:rsidR="000F35E8" w:rsidRPr="006772AC">
        <w:rPr>
          <w:rFonts w:cstheme="minorHAnsi"/>
        </w:rPr>
        <w:t xml:space="preserve"> </w:t>
      </w:r>
      <w:r w:rsidR="00D62465">
        <w:rPr>
          <w:rFonts w:cstheme="minorHAnsi"/>
        </w:rPr>
        <w:t xml:space="preserve">izmantots projekta </w:t>
      </w:r>
      <w:r w:rsidR="000F35E8" w:rsidRPr="006772AC">
        <w:rPr>
          <w:rFonts w:cstheme="minorHAnsi"/>
        </w:rPr>
        <w:t>“Integrētās informācijas apmaiņas platformas attīstība”</w:t>
      </w:r>
      <w:r w:rsidR="00D62465">
        <w:rPr>
          <w:rFonts w:cstheme="minorHAnsi"/>
        </w:rPr>
        <w:t xml:space="preserve"> īstenošanai</w:t>
      </w:r>
      <w:r w:rsidR="000F35E8" w:rsidRPr="006772AC">
        <w:rPr>
          <w:rStyle w:val="Vresatsauce"/>
          <w:rFonts w:cstheme="minorHAnsi"/>
        </w:rPr>
        <w:footnoteReference w:id="61"/>
      </w:r>
      <w:r w:rsidR="000A1AC6">
        <w:rPr>
          <w:rFonts w:cstheme="minorHAnsi"/>
        </w:rPr>
        <w:t xml:space="preserve">. Savukārt </w:t>
      </w:r>
      <w:r w:rsidR="00D840C9" w:rsidRPr="006772AC">
        <w:rPr>
          <w:rFonts w:cstheme="minorHAnsi"/>
        </w:rPr>
        <w:t xml:space="preserve">2017.gada darba programma paredzēja sniegt atbalstu </w:t>
      </w:r>
      <w:r w:rsidR="000A1AC6">
        <w:rPr>
          <w:rFonts w:cstheme="minorHAnsi"/>
        </w:rPr>
        <w:t>Vienotā ziņojuma formātam</w:t>
      </w:r>
      <w:r w:rsidR="00EC49C1" w:rsidRPr="006772AC">
        <w:rPr>
          <w:rStyle w:val="Vresatsauce"/>
          <w:rFonts w:cstheme="minorHAnsi"/>
          <w:i/>
          <w:iCs/>
        </w:rPr>
        <w:footnoteReference w:id="62"/>
      </w:r>
      <w:r w:rsidR="005E22CB" w:rsidRPr="006772AC">
        <w:rPr>
          <w:rFonts w:cstheme="minorHAnsi"/>
        </w:rPr>
        <w:t>, k</w:t>
      </w:r>
      <w:r w:rsidR="009B00C6">
        <w:rPr>
          <w:rFonts w:cstheme="minorHAnsi"/>
        </w:rPr>
        <w:t>as ļāva īstenot</w:t>
      </w:r>
      <w:r w:rsidR="005E22CB" w:rsidRPr="006772AC">
        <w:rPr>
          <w:rFonts w:cstheme="minorHAnsi"/>
        </w:rPr>
        <w:t xml:space="preserve"> projekt</w:t>
      </w:r>
      <w:r w:rsidR="009B00C6">
        <w:rPr>
          <w:rFonts w:cstheme="minorHAnsi"/>
        </w:rPr>
        <w:t>u</w:t>
      </w:r>
      <w:r w:rsidR="005E22CB" w:rsidRPr="006772AC">
        <w:rPr>
          <w:rFonts w:cstheme="minorHAnsi"/>
        </w:rPr>
        <w:t xml:space="preserve"> “Vienotā ziņojuma formāts</w:t>
      </w:r>
      <w:r w:rsidR="00357DB5" w:rsidRPr="006772AC">
        <w:rPr>
          <w:rFonts w:cstheme="minorHAnsi"/>
        </w:rPr>
        <w:t xml:space="preserve"> 3 plus</w:t>
      </w:r>
      <w:r w:rsidR="005E22CB" w:rsidRPr="006772AC">
        <w:rPr>
          <w:rFonts w:cstheme="minorHAnsi"/>
        </w:rPr>
        <w:t>”</w:t>
      </w:r>
      <w:r w:rsidR="00AE0ACE" w:rsidRPr="006772AC">
        <w:rPr>
          <w:rStyle w:val="Vresatsauce"/>
          <w:rFonts w:cstheme="minorHAnsi"/>
        </w:rPr>
        <w:footnoteReference w:id="63"/>
      </w:r>
      <w:r w:rsidR="005E22CB" w:rsidRPr="006772AC">
        <w:rPr>
          <w:rFonts w:cstheme="minorHAnsi"/>
        </w:rPr>
        <w:t xml:space="preserve">, kura </w:t>
      </w:r>
      <w:r w:rsidR="004F2AF1" w:rsidRPr="006772AC">
        <w:rPr>
          <w:rFonts w:cstheme="minorHAnsi"/>
        </w:rPr>
        <w:t xml:space="preserve">mērķis bija pilnveidot un paplašināt </w:t>
      </w:r>
      <w:r w:rsidR="00357DB5" w:rsidRPr="006772AC">
        <w:rPr>
          <w:rFonts w:cstheme="minorHAnsi"/>
        </w:rPr>
        <w:t>vienotā</w:t>
      </w:r>
      <w:r w:rsidR="004F2AF1" w:rsidRPr="006772AC">
        <w:rPr>
          <w:rFonts w:cstheme="minorHAnsi"/>
        </w:rPr>
        <w:t xml:space="preserve"> ziņojumu formāta standarta izmantošanu, nodrošinot efektīvāku informācijas apmaiņu starp valstu tiesībsargājošajām iestādēm un Eiropas aģentūrām.</w:t>
      </w:r>
    </w:p>
    <w:p w14:paraId="74E95FE4" w14:textId="5B8C8B05" w:rsidR="000A1AC6" w:rsidRDefault="004651AD" w:rsidP="0049533B">
      <w:pPr>
        <w:rPr>
          <w:rFonts w:cstheme="minorHAnsi"/>
        </w:rPr>
      </w:pPr>
      <w:r w:rsidRPr="004651AD">
        <w:rPr>
          <w:rFonts w:cstheme="minorHAnsi"/>
        </w:rPr>
        <w:t xml:space="preserve">Tiesībsargājošās iestādes īstenoja aktivitātes </w:t>
      </w:r>
      <w:r w:rsidR="00777E7E">
        <w:rPr>
          <w:rFonts w:cstheme="minorHAnsi"/>
        </w:rPr>
        <w:t>EK</w:t>
      </w:r>
      <w:r w:rsidRPr="004651AD">
        <w:rPr>
          <w:rFonts w:cstheme="minorHAnsi"/>
        </w:rPr>
        <w:t xml:space="preserve"> ieteikumu ieviešanai par samērīgām policijas pārbaudēm un sadarbību Šengenas zonā</w:t>
      </w:r>
      <w:r>
        <w:rPr>
          <w:rFonts w:cstheme="minorHAnsi"/>
        </w:rPr>
        <w:t xml:space="preserve">, kas bija </w:t>
      </w:r>
      <w:r w:rsidR="00E61B2B">
        <w:rPr>
          <w:rFonts w:cstheme="minorHAnsi"/>
        </w:rPr>
        <w:t>iekļautas vairākās Savienības darba programmās</w:t>
      </w:r>
      <w:r w:rsidR="004953C0">
        <w:rPr>
          <w:rFonts w:cstheme="minorHAnsi"/>
        </w:rPr>
        <w:t xml:space="preserve">, piemēram </w:t>
      </w:r>
      <w:r w:rsidR="00E61B2B">
        <w:rPr>
          <w:rFonts w:cstheme="minorHAnsi"/>
        </w:rPr>
        <w:t>2017.gadā</w:t>
      </w:r>
      <w:r w:rsidR="004953C0">
        <w:rPr>
          <w:rFonts w:cstheme="minorHAnsi"/>
        </w:rPr>
        <w:t xml:space="preserve"> un </w:t>
      </w:r>
      <w:r w:rsidR="00E61B2B">
        <w:rPr>
          <w:rFonts w:cstheme="minorHAnsi"/>
        </w:rPr>
        <w:t xml:space="preserve">2018.gadā. </w:t>
      </w:r>
      <w:r w:rsidR="00566DA9" w:rsidRPr="006772AC">
        <w:rPr>
          <w:rFonts w:cstheme="minorHAnsi"/>
        </w:rPr>
        <w:t>V</w:t>
      </w:r>
      <w:r w:rsidR="008F375F">
        <w:rPr>
          <w:rFonts w:cstheme="minorHAnsi"/>
        </w:rPr>
        <w:t>P</w:t>
      </w:r>
      <w:r w:rsidR="00566DA9" w:rsidRPr="006772AC">
        <w:rPr>
          <w:rFonts w:cstheme="minorHAnsi"/>
        </w:rPr>
        <w:t xml:space="preserve"> īstenoja projektu “Policijas pārrobežu sadarbības stiprināšana Baltijas jūras reģionā”, kura mērķis bija stiprināt policijas sadarbību Baltijas jūras reģionā, nodrošinot platformu apmācībām, lai maksimāli efektīvi izmantotu esošos pārrobežu sadarbības rīkus, aizpildītu nepilnības esošajos divpusējos nolīgumos un citos pasākumos, kā arī izveidotu inovatīvus analīzes un e-apmācību rīkus.</w:t>
      </w:r>
      <w:r w:rsidR="00566DA9" w:rsidRPr="006772AC">
        <w:rPr>
          <w:rStyle w:val="Vresatsauce"/>
          <w:rFonts w:cstheme="minorHAnsi"/>
        </w:rPr>
        <w:footnoteReference w:id="64"/>
      </w:r>
      <w:r w:rsidR="00566DA9">
        <w:rPr>
          <w:rFonts w:cstheme="minorHAnsi"/>
        </w:rPr>
        <w:t xml:space="preserve"> </w:t>
      </w:r>
      <w:r w:rsidR="004953C0">
        <w:rPr>
          <w:rFonts w:cstheme="minorHAnsi"/>
        </w:rPr>
        <w:t>Papildu tika īstenots arī projekts “</w:t>
      </w:r>
      <w:r w:rsidR="004953C0" w:rsidRPr="003536B3">
        <w:rPr>
          <w:rFonts w:cstheme="minorHAnsi"/>
        </w:rPr>
        <w:t>Novērošanas sadarbība Šengenas zonā</w:t>
      </w:r>
      <w:r w:rsidR="004953C0">
        <w:rPr>
          <w:rFonts w:cstheme="minorHAnsi"/>
        </w:rPr>
        <w:t>”, kura mērķis bija p</w:t>
      </w:r>
      <w:r w:rsidR="004953C0" w:rsidRPr="002F0C93">
        <w:rPr>
          <w:rFonts w:cstheme="minorHAnsi"/>
        </w:rPr>
        <w:t>alielināt pārrobežu un starptautiskās policijas sadarbības efektivitāti novērošanas jomā Šengenas zonā, kas veicinātu lielāku ES pilsoņu drošību</w:t>
      </w:r>
      <w:r w:rsidR="004953C0">
        <w:rPr>
          <w:rFonts w:cstheme="minorHAnsi"/>
        </w:rPr>
        <w:t>.</w:t>
      </w:r>
      <w:r w:rsidR="004953C0">
        <w:rPr>
          <w:rStyle w:val="Vresatsauce"/>
          <w:rFonts w:cstheme="minorHAnsi"/>
        </w:rPr>
        <w:footnoteReference w:id="65"/>
      </w:r>
    </w:p>
    <w:p w14:paraId="442797C6" w14:textId="19F81333" w:rsidR="005C430B" w:rsidRDefault="00566DA9" w:rsidP="0049533B">
      <w:pPr>
        <w:rPr>
          <w:rFonts w:cstheme="minorHAnsi"/>
        </w:rPr>
      </w:pPr>
      <w:r>
        <w:rPr>
          <w:rFonts w:cstheme="minorHAnsi"/>
        </w:rPr>
        <w:t xml:space="preserve">Vienlaikus </w:t>
      </w:r>
      <w:r w:rsidR="00641CE5">
        <w:rPr>
          <w:rFonts w:cstheme="minorHAnsi"/>
        </w:rPr>
        <w:t>tika īstenoti projekti</w:t>
      </w:r>
      <w:r w:rsidR="009A349C">
        <w:rPr>
          <w:rFonts w:cstheme="minorHAnsi"/>
        </w:rPr>
        <w:t xml:space="preserve"> organizētās noziedzības apkarošanas jomā</w:t>
      </w:r>
      <w:r w:rsidR="00641CE5">
        <w:rPr>
          <w:rFonts w:cstheme="minorHAnsi"/>
        </w:rPr>
        <w:t xml:space="preserve">. Piemēram, </w:t>
      </w:r>
      <w:r w:rsidR="009A349C" w:rsidRPr="006772AC">
        <w:rPr>
          <w:rFonts w:cstheme="minorHAnsi"/>
        </w:rPr>
        <w:t xml:space="preserve">VP </w:t>
      </w:r>
      <w:r w:rsidR="009A349C">
        <w:rPr>
          <w:rFonts w:cstheme="minorHAnsi"/>
        </w:rPr>
        <w:t xml:space="preserve">īstenotais </w:t>
      </w:r>
      <w:r w:rsidR="009A349C" w:rsidRPr="006772AC">
        <w:rPr>
          <w:rFonts w:cstheme="minorHAnsi"/>
        </w:rPr>
        <w:t>projekt</w:t>
      </w:r>
      <w:r w:rsidR="009A349C">
        <w:rPr>
          <w:rFonts w:cstheme="minorHAnsi"/>
        </w:rPr>
        <w:t>s</w:t>
      </w:r>
      <w:r w:rsidR="009A349C" w:rsidRPr="006772AC">
        <w:rPr>
          <w:rFonts w:cstheme="minorHAnsi"/>
        </w:rPr>
        <w:t xml:space="preserve"> “Agrīna cīņa pret augsta riska Eirāzijas kriminālajiem tīkliem” īstenošanā, kura mērķis bija ieviest </w:t>
      </w:r>
      <w:r w:rsidR="009A349C" w:rsidRPr="006772AC">
        <w:rPr>
          <w:rFonts w:cstheme="minorHAnsi"/>
        </w:rPr>
        <w:lastRenderedPageBreak/>
        <w:t>jaunas proaktīvas metodes cīņai pret augsta līmeņa mērķiem Eirāzijas noziedzīgajos tīklos, koncentrējoties uz tādu pārrobežu kriminālo grupējumu identificēšanu un likvidēšanu, kas darbojas vairākās ES dalībvalstīs un noziedzības jomās, izmantojot sarežģītu konspirāciju un pretdarbības taktiku</w:t>
      </w:r>
      <w:r w:rsidR="009A349C" w:rsidRPr="006772AC">
        <w:rPr>
          <w:rStyle w:val="Vresatsauce"/>
          <w:rFonts w:cstheme="minorHAnsi"/>
        </w:rPr>
        <w:footnoteReference w:id="66"/>
      </w:r>
      <w:r w:rsidR="009A349C">
        <w:rPr>
          <w:rFonts w:cstheme="minorHAnsi"/>
        </w:rPr>
        <w:t xml:space="preserve">, tika īstenots atbilstoši </w:t>
      </w:r>
      <w:r w:rsidR="005C430B" w:rsidRPr="006772AC">
        <w:rPr>
          <w:rFonts w:cstheme="minorHAnsi"/>
        </w:rPr>
        <w:t>2016.gada</w:t>
      </w:r>
      <w:r w:rsidR="009A349C">
        <w:rPr>
          <w:rFonts w:cstheme="minorHAnsi"/>
        </w:rPr>
        <w:t xml:space="preserve"> Savienības darbību gada p</w:t>
      </w:r>
      <w:r w:rsidR="005C430B" w:rsidRPr="006772AC">
        <w:rPr>
          <w:rFonts w:cstheme="minorHAnsi"/>
        </w:rPr>
        <w:t xml:space="preserve">rogrammā </w:t>
      </w:r>
      <w:r w:rsidR="009A349C">
        <w:rPr>
          <w:rFonts w:cstheme="minorHAnsi"/>
        </w:rPr>
        <w:t xml:space="preserve">noteiktajai prioritātei </w:t>
      </w:r>
      <w:r w:rsidR="00250B54" w:rsidRPr="006772AC">
        <w:rPr>
          <w:rFonts w:cstheme="minorHAnsi"/>
        </w:rPr>
        <w:t>“cī</w:t>
      </w:r>
      <w:r w:rsidR="00571230" w:rsidRPr="006772AC">
        <w:rPr>
          <w:rFonts w:cstheme="minorHAnsi"/>
        </w:rPr>
        <w:t>ņa pret mobilo noziedzību</w:t>
      </w:r>
      <w:r w:rsidR="00250B54" w:rsidRPr="006772AC">
        <w:rPr>
          <w:rFonts w:cstheme="minorHAnsi"/>
        </w:rPr>
        <w:t>”</w:t>
      </w:r>
      <w:r w:rsidR="00EE780C" w:rsidRPr="006772AC">
        <w:rPr>
          <w:rStyle w:val="Vresatsauce"/>
          <w:rFonts w:cstheme="minorHAnsi"/>
        </w:rPr>
        <w:footnoteReference w:id="67"/>
      </w:r>
      <w:r w:rsidR="00571230" w:rsidRPr="006772AC">
        <w:rPr>
          <w:rFonts w:cstheme="minorHAnsi"/>
        </w:rPr>
        <w:t xml:space="preserve">. </w:t>
      </w:r>
    </w:p>
    <w:p w14:paraId="75352FE5" w14:textId="73D42ADC" w:rsidR="00641CE5" w:rsidRDefault="00641CE5" w:rsidP="00641CE5">
      <w:pPr>
        <w:rPr>
          <w:rFonts w:cstheme="minorHAnsi"/>
        </w:rPr>
      </w:pPr>
      <w:r>
        <w:rPr>
          <w:rFonts w:cstheme="minorHAnsi"/>
        </w:rPr>
        <w:t>Papildu tam</w:t>
      </w:r>
      <w:r w:rsidR="00DD72C6">
        <w:rPr>
          <w:rFonts w:cstheme="minorHAnsi"/>
        </w:rPr>
        <w:t xml:space="preserve"> saskaņā ar </w:t>
      </w:r>
      <w:r>
        <w:rPr>
          <w:rFonts w:cstheme="minorHAnsi"/>
        </w:rPr>
        <w:t xml:space="preserve"> </w:t>
      </w:r>
      <w:r w:rsidR="00DD72C6">
        <w:rPr>
          <w:rFonts w:cstheme="minorHAnsi"/>
        </w:rPr>
        <w:t>2018.gada Savienības darbību gada programmā noteikto prioritāti “cīņa pret vides noziegumiem”</w:t>
      </w:r>
      <w:r w:rsidR="00DD72C6" w:rsidRPr="00DD72C6">
        <w:rPr>
          <w:rStyle w:val="Vresatsauce"/>
          <w:rFonts w:cstheme="minorHAnsi"/>
        </w:rPr>
        <w:t xml:space="preserve"> </w:t>
      </w:r>
      <w:r w:rsidR="00DD72C6">
        <w:rPr>
          <w:rStyle w:val="Vresatsauce"/>
          <w:rFonts w:cstheme="minorHAnsi"/>
        </w:rPr>
        <w:footnoteReference w:id="68"/>
      </w:r>
      <w:r w:rsidR="00DD72C6">
        <w:rPr>
          <w:rFonts w:cstheme="minorHAnsi"/>
        </w:rPr>
        <w:t xml:space="preserve"> </w:t>
      </w:r>
      <w:r w:rsidR="009A349C">
        <w:rPr>
          <w:rFonts w:cstheme="minorHAnsi"/>
        </w:rPr>
        <w:t xml:space="preserve">tika </w:t>
      </w:r>
      <w:r w:rsidR="00DD72C6">
        <w:rPr>
          <w:rFonts w:cstheme="minorHAnsi"/>
        </w:rPr>
        <w:t>realizēts projekts “</w:t>
      </w:r>
      <w:r w:rsidR="00DD72C6" w:rsidRPr="009974EF">
        <w:rPr>
          <w:rFonts w:cstheme="minorHAnsi"/>
        </w:rPr>
        <w:t>Darbības mehānisms nelikumīgas atkritumu tirdzniecības apkarošanai</w:t>
      </w:r>
      <w:r w:rsidR="00DD72C6">
        <w:rPr>
          <w:rFonts w:cstheme="minorHAnsi"/>
        </w:rPr>
        <w:t xml:space="preserve">”, kura mērķis bija </w:t>
      </w:r>
      <w:r w:rsidR="00DD72C6" w:rsidRPr="00791A9A">
        <w:rPr>
          <w:rFonts w:cstheme="minorHAnsi"/>
        </w:rPr>
        <w:t>veicināt starptautisko policijas sadarbību un izstrādāt vienotas izmeklēšanas metodes nelikumīgas atkritumu tirdzniecības apkarošanai, nodrošinot operatīvu atbalstu tiesībsargājošajām iestādēm visā ES</w:t>
      </w:r>
      <w:r w:rsidR="00DD72C6">
        <w:rPr>
          <w:rFonts w:cstheme="minorHAnsi"/>
        </w:rPr>
        <w:t>.</w:t>
      </w:r>
      <w:r w:rsidR="00DD72C6">
        <w:rPr>
          <w:rStyle w:val="Vresatsauce"/>
          <w:rFonts w:cstheme="minorHAnsi"/>
        </w:rPr>
        <w:footnoteReference w:id="69"/>
      </w:r>
      <w:r>
        <w:rPr>
          <w:rFonts w:cstheme="minorHAnsi"/>
        </w:rPr>
        <w:t xml:space="preserve"> </w:t>
      </w:r>
    </w:p>
    <w:p w14:paraId="776962EC" w14:textId="4BF72979" w:rsidR="00DA3D0C" w:rsidRDefault="00DA3D0C" w:rsidP="0049533B">
      <w:pPr>
        <w:rPr>
          <w:rFonts w:cstheme="minorHAnsi"/>
        </w:rPr>
      </w:pPr>
      <w:r>
        <w:rPr>
          <w:rFonts w:cstheme="minorHAnsi"/>
        </w:rPr>
        <w:t>Citas jomas ietvēra, piemēram t</w:t>
      </w:r>
      <w:r w:rsidRPr="00DA3D0C">
        <w:rPr>
          <w:rFonts w:cstheme="minorHAnsi"/>
        </w:rPr>
        <w:t>iesu ekspertīzes jom</w:t>
      </w:r>
      <w:r>
        <w:rPr>
          <w:rFonts w:cstheme="minorHAnsi"/>
        </w:rPr>
        <w:t>u, kurā</w:t>
      </w:r>
      <w:r w:rsidRPr="00DA3D0C">
        <w:rPr>
          <w:rFonts w:cstheme="minorHAnsi"/>
        </w:rPr>
        <w:t xml:space="preserve"> tika īstenots projekts "Baltijas valstu kapacitātes palielināšana kriminālistikas jomā", kas veicināja DNS profilu un pirkstu nospiedumu datu apmaiņu Prīmes sistēmā.</w:t>
      </w:r>
      <w:r w:rsidRPr="00DA3D0C">
        <w:rPr>
          <w:rStyle w:val="Vresatsauce"/>
          <w:rFonts w:cstheme="minorHAnsi"/>
        </w:rPr>
        <w:t xml:space="preserve"> </w:t>
      </w:r>
      <w:r>
        <w:rPr>
          <w:rStyle w:val="Vresatsauce"/>
          <w:rFonts w:cstheme="minorHAnsi"/>
        </w:rPr>
        <w:footnoteReference w:id="70"/>
      </w:r>
      <w:r w:rsidRPr="00DA3D0C">
        <w:rPr>
          <w:rFonts w:cstheme="minorHAnsi"/>
        </w:rPr>
        <w:t xml:space="preserve"> </w:t>
      </w:r>
      <w:r>
        <w:rPr>
          <w:rFonts w:cstheme="minorHAnsi"/>
        </w:rPr>
        <w:t xml:space="preserve">Savukārt </w:t>
      </w:r>
      <w:r w:rsidR="003B0641">
        <w:rPr>
          <w:rFonts w:cstheme="minorHAnsi"/>
        </w:rPr>
        <w:t>n</w:t>
      </w:r>
      <w:r w:rsidRPr="00DA3D0C">
        <w:rPr>
          <w:rFonts w:cstheme="minorHAnsi"/>
        </w:rPr>
        <w:t>arkotiku kontrabandas apkarošanas jomā tika realizēts projekts "Inovatīvu proaktīvu instrumentu izstrāde un pielietošana", kas pilnveidoja pārrobežu informācijas apmaiņu augsta riska mērķu identificēšanai narkotiku tirdzniecības organizācijās.</w:t>
      </w:r>
      <w:r>
        <w:rPr>
          <w:rStyle w:val="Vresatsauce"/>
          <w:rFonts w:cstheme="minorHAnsi"/>
        </w:rPr>
        <w:footnoteReference w:id="71"/>
      </w:r>
    </w:p>
    <w:p w14:paraId="0381A61A" w14:textId="1300610A" w:rsidR="000F35E8" w:rsidRPr="006772AC" w:rsidRDefault="00481F7F" w:rsidP="0049533B">
      <w:pPr>
        <w:rPr>
          <w:rFonts w:cstheme="minorHAnsi"/>
        </w:rPr>
      </w:pPr>
      <w:r>
        <w:rPr>
          <w:rFonts w:cstheme="minorHAnsi"/>
        </w:rPr>
        <w:t>V</w:t>
      </w:r>
      <w:r w:rsidRPr="00481F7F">
        <w:rPr>
          <w:rFonts w:cstheme="minorHAnsi"/>
        </w:rPr>
        <w:t>ar secināt, ka Savienības darbības gada programmās izvirzītie mērķi un prioritātes ir bijuši atbilstoši aktuālajām vajadzībām tiesībaizsardzības jomā. To apliecina Latvijas institūciju sekmīgi īstenotie projekti vairākās būtiskās jomās</w:t>
      </w:r>
      <w:r>
        <w:rPr>
          <w:rFonts w:cstheme="minorHAnsi"/>
        </w:rPr>
        <w:t xml:space="preserve">, kas </w:t>
      </w:r>
      <w:r w:rsidRPr="00481F7F">
        <w:rPr>
          <w:rFonts w:cstheme="minorHAnsi"/>
        </w:rPr>
        <w:t xml:space="preserve">ir veicinājuši gan </w:t>
      </w:r>
      <w:r w:rsidR="003331D7">
        <w:rPr>
          <w:rFonts w:cstheme="minorHAnsi"/>
        </w:rPr>
        <w:t>iesaistīto iestāžu</w:t>
      </w:r>
      <w:r w:rsidRPr="00481F7F">
        <w:rPr>
          <w:rFonts w:cstheme="minorHAnsi"/>
        </w:rPr>
        <w:t xml:space="preserve"> kapacitātes celšanu, gan starptautiskās sadarbības efektivitātes uzlabošanu.</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1D31A21B" w14:textId="77777777" w:rsidTr="00220E0C">
        <w:tc>
          <w:tcPr>
            <w:tcW w:w="10252" w:type="dxa"/>
            <w:shd w:val="clear" w:color="auto" w:fill="F3B8FF" w:themeFill="accent6" w:themeFillTint="33"/>
          </w:tcPr>
          <w:p w14:paraId="53026035" w14:textId="77777777" w:rsidR="0049533B" w:rsidRPr="008F64A0" w:rsidRDefault="0049533B" w:rsidP="00A239D8">
            <w:pPr>
              <w:rPr>
                <w:i/>
                <w:iCs/>
                <w:color w:val="5A5A5A" w:themeColor="accent1" w:themeTint="BF"/>
              </w:rPr>
            </w:pPr>
            <w:r w:rsidRPr="008F64A0">
              <w:rPr>
                <w:i/>
                <w:iCs/>
                <w:color w:val="5A5A5A" w:themeColor="accent1" w:themeTint="BF"/>
              </w:rPr>
              <w:t>Apakšjautājums: Vai gada darba programmā (ārkārtas palīdzība) izvirzītie mērķi pievērsās aktuālajām vajadzībām?</w:t>
            </w:r>
          </w:p>
        </w:tc>
      </w:tr>
    </w:tbl>
    <w:p w14:paraId="142498EA" w14:textId="38EBBB98" w:rsidR="0049533B" w:rsidRPr="002D15F8" w:rsidRDefault="00600979" w:rsidP="0049533B">
      <w:pPr>
        <w:rPr>
          <w:rFonts w:cstheme="minorHAnsi"/>
        </w:rPr>
      </w:pPr>
      <w:r>
        <w:rPr>
          <w:rFonts w:cstheme="minorHAnsi"/>
        </w:rPr>
        <w:t>Saskaņā ar atbildīgās iestādes sniegto informāciju, 2014</w:t>
      </w:r>
      <w:r w:rsidR="00656070">
        <w:rPr>
          <w:rFonts w:cstheme="minorHAnsi"/>
        </w:rPr>
        <w:t>.</w:t>
      </w:r>
      <w:r>
        <w:rPr>
          <w:rFonts w:cstheme="minorHAnsi"/>
        </w:rPr>
        <w:t>-2020.</w:t>
      </w:r>
      <w:r w:rsidR="005F274E">
        <w:rPr>
          <w:rFonts w:cstheme="minorHAnsi"/>
        </w:rPr>
        <w:t xml:space="preserve"> </w:t>
      </w:r>
      <w:r>
        <w:rPr>
          <w:rFonts w:cstheme="minorHAnsi"/>
        </w:rPr>
        <w:t xml:space="preserve">gada plānošanas periodā </w:t>
      </w:r>
      <w:r w:rsidR="00656070">
        <w:rPr>
          <w:rFonts w:cstheme="minorHAnsi"/>
        </w:rPr>
        <w:t xml:space="preserve">Latvijas finansējuma saņēmēji papildu aktivitāšu ieviešanai nav piesaistījuši </w:t>
      </w:r>
      <w:r>
        <w:rPr>
          <w:rFonts w:cstheme="minorHAnsi"/>
        </w:rPr>
        <w:t>ārkārtas palīdzības līdzek</w:t>
      </w:r>
      <w:r w:rsidR="00656070">
        <w:rPr>
          <w:rFonts w:cstheme="minorHAnsi"/>
        </w:rPr>
        <w:t>ļus.</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4ED2BABD" w14:textId="77777777" w:rsidTr="00220E0C">
        <w:tc>
          <w:tcPr>
            <w:tcW w:w="10252" w:type="dxa"/>
            <w:shd w:val="clear" w:color="auto" w:fill="F3B8FF" w:themeFill="accent6" w:themeFillTint="33"/>
          </w:tcPr>
          <w:p w14:paraId="5B0AF7D6" w14:textId="77777777" w:rsidR="0049533B" w:rsidRPr="008F64A0" w:rsidRDefault="0049533B" w:rsidP="00A239D8">
            <w:pPr>
              <w:rPr>
                <w:i/>
                <w:iCs/>
                <w:color w:val="5A5A5A" w:themeColor="accent1" w:themeTint="BF"/>
              </w:rPr>
            </w:pPr>
            <w:r w:rsidRPr="008F64A0">
              <w:rPr>
                <w:i/>
                <w:iCs/>
                <w:color w:val="5A5A5A" w:themeColor="accent1" w:themeTint="BF"/>
              </w:rPr>
              <w:t>Apakšjautājums: Kādus pasākumus dalībvalsts veica, lai risinātu mainīgās vajadzības?</w:t>
            </w:r>
          </w:p>
        </w:tc>
      </w:tr>
    </w:tbl>
    <w:p w14:paraId="7197943E" w14:textId="247235F2" w:rsidR="00AB4A9F" w:rsidRDefault="00AB4A9F" w:rsidP="00F71EC2">
      <w:r>
        <w:t xml:space="preserve">Skalā no 1 līdz 5, kur 1 nozīmē, ka Programmas ir neelastīgas, bet 5 </w:t>
      </w:r>
      <w:r w:rsidR="0004059B">
        <w:rPr>
          <w:rFonts w:cstheme="minorHAnsi"/>
        </w:rPr>
        <w:t>–</w:t>
      </w:r>
      <w:r>
        <w:t xml:space="preserve"> ļoti elastīgas, vidējais finansējuma saņēmēju vērtējums par  Programmu spēju pielāgoties projekta/-u mainīgajām vajadzībām ir 3,</w:t>
      </w:r>
      <w:r w:rsidR="006C5262">
        <w:t>5</w:t>
      </w:r>
      <w:r>
        <w:t xml:space="preserve">. Tas nozīmē, ka kopumā finansējuma saņēmēji Programmas vērtē kā drīzāk elastīgas. </w:t>
      </w:r>
    </w:p>
    <w:p w14:paraId="7626C939" w14:textId="09F75C2B" w:rsidR="00BA2FF6" w:rsidRDefault="00F71EC2" w:rsidP="00F71EC2">
      <w:r w:rsidRPr="007D4F33">
        <w:t xml:space="preserve">Latvija īstenoja virkni mērķtiecīgu pasākumu, lai efektīvi reaģētu uz mainīgajām vajadzībām </w:t>
      </w:r>
      <w:r>
        <w:t xml:space="preserve">IDF </w:t>
      </w:r>
      <w:r w:rsidRPr="007D4F33">
        <w:t xml:space="preserve">programmas īstenošanas laikā. </w:t>
      </w:r>
    </w:p>
    <w:p w14:paraId="416E516C" w14:textId="77ECB7AE" w:rsidR="00F71EC2" w:rsidRDefault="00F71EC2" w:rsidP="00F71EC2">
      <w:r w:rsidRPr="007D4F33">
        <w:lastRenderedPageBreak/>
        <w:t>Būtiska uzmanība tika pievērsta finanšu resursu pārplānošanai, kas ietvēra</w:t>
      </w:r>
      <w:r w:rsidR="00B92A25">
        <w:t>, piemēram</w:t>
      </w:r>
      <w:r w:rsidRPr="007D4F33">
        <w:t>, at</w:t>
      </w:r>
      <w:r w:rsidR="00B92A25">
        <w:t>teikšanos</w:t>
      </w:r>
      <w:r w:rsidRPr="007D4F33">
        <w:t xml:space="preserve"> no Kriminālprocesu standartizācijas </w:t>
      </w:r>
      <w:r w:rsidR="008F375F">
        <w:t>VP</w:t>
      </w:r>
      <w:r w:rsidRPr="007D4F33">
        <w:t>, lai nodrošinātu NKIM darbības finansējumu</w:t>
      </w:r>
      <w:r>
        <w:rPr>
          <w:rStyle w:val="Vresatsauce"/>
        </w:rPr>
        <w:footnoteReference w:id="72"/>
      </w:r>
      <w:r w:rsidR="00BA2FF6">
        <w:t xml:space="preserve">, kā arī </w:t>
      </w:r>
      <w:r w:rsidR="00193DA0">
        <w:t>pasākumu īstenošanai paredzēto līdzekļu pārdali.</w:t>
      </w:r>
      <w:r w:rsidRPr="007D4F33">
        <w:t xml:space="preserve"> </w:t>
      </w:r>
    </w:p>
    <w:p w14:paraId="40367B8B" w14:textId="19032C78" w:rsidR="00F71EC2" w:rsidRDefault="00F71EC2" w:rsidP="00F71EC2">
      <w:r w:rsidRPr="007D4F33">
        <w:t>Programmas elastību apliecināja arī spēja pielāgoties C</w:t>
      </w:r>
      <w:r w:rsidR="005F274E">
        <w:t>ovid</w:t>
      </w:r>
      <w:r w:rsidRPr="007D4F33">
        <w:t xml:space="preserve">-19 pandēmijas radītajiem izaicinājumiem, veicot risku apkopojumu un ieviešot atbilstošus atvieglojumus projektu īstenošanā, tostarp precizējot virsstundu likmju nosacījumus un pielāgojot mācību norises koncepciju. </w:t>
      </w:r>
    </w:p>
    <w:p w14:paraId="0552B104" w14:textId="26810BF1" w:rsidR="0049533B" w:rsidRPr="00193DA0" w:rsidRDefault="00F71EC2" w:rsidP="0049533B">
      <w:r w:rsidRPr="007D4F33">
        <w:t>Projektu īstenošana tika pielāgota arī citiem ārējiem apstākļiem, piemēram, risinot jautājumus saistībā ar izmaksu pieaugumu Ukrainas karadarbības ietekmē un pieņemot lēmumus par atsevišķu projektu pārcelšanu uz 2021</w:t>
      </w:r>
      <w:r w:rsidR="005F274E">
        <w:t>.</w:t>
      </w:r>
      <w:r w:rsidRPr="007D4F33">
        <w:t>-2027</w:t>
      </w:r>
      <w:r w:rsidR="005F274E">
        <w:t>. gada</w:t>
      </w:r>
      <w:r w:rsidRPr="007D4F33">
        <w:t xml:space="preserve"> plānošanas periodu. Visu šo izmaiņu efektīvu ieviešanu nodrošināja sistemātiska uzraudzība IDF </w:t>
      </w:r>
      <w:r w:rsidR="00567BE2">
        <w:t>UK</w:t>
      </w:r>
      <w:r w:rsidRPr="007D4F33">
        <w:t xml:space="preserve"> un Projektu uzraudzības padomes sēdēs, kas ļāva operatīvi pieņemt lēmumus par nepieciešamajām izmaiņām un pielāgojumiem.</w:t>
      </w:r>
    </w:p>
    <w:p w14:paraId="505D9D73" w14:textId="77777777" w:rsidR="0049533B" w:rsidRPr="008F64A0" w:rsidRDefault="0049533B" w:rsidP="00BF4167">
      <w:pPr>
        <w:pStyle w:val="Sarakstarindkopa"/>
        <w:numPr>
          <w:ilvl w:val="2"/>
          <w:numId w:val="42"/>
        </w:numPr>
        <w:rPr>
          <w:b/>
        </w:rPr>
      </w:pPr>
      <w:r w:rsidRPr="008F64A0">
        <w:rPr>
          <w:b/>
        </w:rPr>
        <w:t>Kritērijs “Saskaņotība”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47768F9A" w14:textId="77777777" w:rsidTr="00D40533">
        <w:tc>
          <w:tcPr>
            <w:tcW w:w="10252" w:type="dxa"/>
            <w:shd w:val="clear" w:color="auto" w:fill="82009B" w:themeFill="accent6"/>
          </w:tcPr>
          <w:p w14:paraId="326E2B0E" w14:textId="77777777" w:rsidR="0049533B" w:rsidRPr="008F64A0" w:rsidRDefault="0049533B" w:rsidP="00A239D8">
            <w:pPr>
              <w:rPr>
                <w:b/>
              </w:rPr>
            </w:pPr>
            <w:r w:rsidRPr="008F64A0">
              <w:rPr>
                <w:b/>
              </w:rPr>
              <w:t xml:space="preserve">Izvērtēšanas kritērija jautājums: </w:t>
            </w:r>
            <w:r w:rsidRPr="008F64A0">
              <w:rPr>
                <w:bCs/>
              </w:rPr>
              <w:t>Vai fonda valsts programmā izvirzītie mērķi saskanēja ar citās no ES līdzekļiem finansētajās programmās izvirzītajiem mērķiem un vai tie tika piemēroti līdzīgās darba jomās? Vai saskaņotība tika nodrošināta arī fonda īstenošanas laikā?</w:t>
            </w:r>
          </w:p>
        </w:tc>
      </w:tr>
    </w:tbl>
    <w:p w14:paraId="56E0A13D" w14:textId="0754EB5E" w:rsidR="00BC31A7" w:rsidRPr="008B7D7B" w:rsidRDefault="00BC31A7" w:rsidP="007C03B5">
      <w:r w:rsidRPr="008B7D7B">
        <w:t>Izanalizējot sniegto informāciju, var secināt, ka IDF programmas aktivitātes policijas, noziedzības un krīžu jomā bija specifiskas nozarei, un to mērķiem nebija plaši pieejams atbalsts citu fondu programmās. Tomēr vairākas citas finanšu instrumentu programmas uzrādīja būtisku mērķu saskaņotību ar IDF programmu.</w:t>
      </w:r>
    </w:p>
    <w:p w14:paraId="6C747253" w14:textId="1EE0ED60" w:rsidR="00440129" w:rsidRPr="008B7D7B" w:rsidRDefault="00440129" w:rsidP="00440129">
      <w:r w:rsidRPr="00440129">
        <w:t xml:space="preserve">Īpaši nozīmīga saskaņotība tika novērota ar </w:t>
      </w:r>
      <w:r w:rsidR="00CC7FB1">
        <w:t>EEZ</w:t>
      </w:r>
      <w:r w:rsidRPr="00440129">
        <w:t xml:space="preserve"> finanšu instrumenta 2014.-2021. gada perioda programmu "Starptautiskā policijas sadarbība un noziedzības apkarošana". Šīs programmas primārais mērķis bija stiprināt tiesībsargājošo iestāžu sadarbību ekonomisko noziegumu novēršanā un apkarošanā Latvijā</w:t>
      </w:r>
      <w:r w:rsidRPr="008B7D7B">
        <w:rPr>
          <w:rStyle w:val="Vresatsauce"/>
        </w:rPr>
        <w:footnoteReference w:id="73"/>
      </w:r>
      <w:r w:rsidRPr="00440129">
        <w:t xml:space="preserve">. </w:t>
      </w:r>
      <w:r w:rsidR="008F375F">
        <w:t>VP</w:t>
      </w:r>
      <w:r w:rsidRPr="00440129">
        <w:t xml:space="preserve"> īstenoja divus būtiskus projektus šīs programmas ietvaros</w:t>
      </w:r>
      <w:r w:rsidRPr="008B7D7B">
        <w:t xml:space="preserve"> —</w:t>
      </w:r>
      <w:r w:rsidR="005F274E">
        <w:t xml:space="preserve"> </w:t>
      </w:r>
      <w:r w:rsidRPr="008B7D7B">
        <w:t>Nr.</w:t>
      </w:r>
      <w:r w:rsidR="005F274E">
        <w:t xml:space="preserve"> </w:t>
      </w:r>
      <w:r w:rsidRPr="008B7D7B">
        <w:t>EEZ/VP/2020/1 “Atbalsts Valsts policijai ekonomisko noziegumu izmeklēšanas paātrināšanai un kvalitātes uzlabošanai Latvijai”</w:t>
      </w:r>
      <w:r w:rsidRPr="008B7D7B">
        <w:rPr>
          <w:rStyle w:val="Vresatsauce"/>
        </w:rPr>
        <w:footnoteReference w:id="74"/>
      </w:r>
      <w:r w:rsidRPr="008B7D7B">
        <w:t xml:space="preserve"> un Nr.</w:t>
      </w:r>
      <w:r w:rsidRPr="008B7D7B">
        <w:rPr>
          <w:rFonts w:ascii="RobustaTLPro-Medium" w:eastAsia="Times New Roman" w:hAnsi="RobustaTLPro-Medium" w:cs="Times New Roman"/>
          <w:color w:val="1C1C1C"/>
          <w:kern w:val="36"/>
          <w:sz w:val="48"/>
          <w:szCs w:val="48"/>
          <w14:ligatures w14:val="none"/>
        </w:rPr>
        <w:t xml:space="preserve"> </w:t>
      </w:r>
      <w:r w:rsidRPr="008B7D7B">
        <w:t>EEZ/TM/2022/7 “Tiesu ekspertīžu sistēmas un notikumu vietas apskates kapacitātes stiprināšana”</w:t>
      </w:r>
      <w:r w:rsidRPr="008B7D7B">
        <w:rPr>
          <w:rStyle w:val="Vresatsauce"/>
        </w:rPr>
        <w:footnoteReference w:id="75"/>
      </w:r>
      <w:r w:rsidRPr="00440129">
        <w:t>, kas saskanēja ar IDF mērķi noziegumu novēršanas un apkarošanas jomā.</w:t>
      </w:r>
    </w:p>
    <w:p w14:paraId="37C9394B" w14:textId="20EB028E" w:rsidR="00404E9C" w:rsidRPr="00404E9C" w:rsidRDefault="00404E9C" w:rsidP="00404E9C">
      <w:r w:rsidRPr="00404E9C">
        <w:t xml:space="preserve">Īpaši jāuzsver sinerģija starp IDF un EEZ projektu aktivitātēm, kas vērstas uz </w:t>
      </w:r>
      <w:r w:rsidR="00D65FEE">
        <w:t>NKIM</w:t>
      </w:r>
      <w:r w:rsidRPr="00404E9C">
        <w:t xml:space="preserve"> ieviešanu. Šī saskaņotība izpaudās divos aspektos</w:t>
      </w:r>
      <w:r w:rsidRPr="008B7D7B">
        <w:t>. Pirmkārt,</w:t>
      </w:r>
      <w:r w:rsidRPr="00404E9C">
        <w:t xml:space="preserve"> </w:t>
      </w:r>
      <w:r w:rsidRPr="008B7D7B">
        <w:t>VP</w:t>
      </w:r>
      <w:r w:rsidRPr="00404E9C">
        <w:t xml:space="preserve"> projekta Nr. VP/IDF/2019/1 "Nacionālā kriminālizlūkošanas modeļa infrastruktūras un analītiskās platformas izveide" un </w:t>
      </w:r>
      <w:r w:rsidRPr="008B7D7B">
        <w:t>VID</w:t>
      </w:r>
      <w:r w:rsidRPr="00404E9C">
        <w:t xml:space="preserve"> EEZ projekta Nr. EEZ/VID/2020/3 "Tiesībsargājošo iestāžu sadarbības veicināšana ekonomisko noziegumu novēršanā un apkarošanā Latvijā"</w:t>
      </w:r>
      <w:r w:rsidR="001E26E9">
        <w:rPr>
          <w:rStyle w:val="Vresatsauce"/>
        </w:rPr>
        <w:footnoteReference w:id="76"/>
      </w:r>
      <w:r w:rsidRPr="00404E9C">
        <w:t xml:space="preserve"> savstarpējā papildināšanā. IDF projekts nodrošināja NKIM pamatinfrastruktūras izveidi, kamēr EEZ projekts attīstīja VID digitālās atbalsta sistēmas, nodrošinot to savietojamību ar </w:t>
      </w:r>
      <w:r w:rsidR="008F375F">
        <w:t>VP</w:t>
      </w:r>
      <w:r w:rsidRPr="00404E9C">
        <w:t xml:space="preserve"> datubāzi.</w:t>
      </w:r>
    </w:p>
    <w:p w14:paraId="3DA7B874" w14:textId="3A566642" w:rsidR="00404E9C" w:rsidRPr="008B7D7B" w:rsidRDefault="00404E9C" w:rsidP="00404E9C">
      <w:r w:rsidRPr="00404E9C">
        <w:t xml:space="preserve">Vienlaikus tika veikta arī aktivitāšu pārstrukturēšana starp abiem finanšu instrumentiem </w:t>
      </w:r>
      <w:r w:rsidR="0004059B">
        <w:rPr>
          <w:rFonts w:cstheme="minorHAnsi"/>
        </w:rPr>
        <w:t>–</w:t>
      </w:r>
      <w:r w:rsidRPr="00404E9C">
        <w:t xml:space="preserve"> sākotnēji </w:t>
      </w:r>
      <w:r w:rsidRPr="008B7D7B">
        <w:t>VP</w:t>
      </w:r>
      <w:r w:rsidRPr="00404E9C">
        <w:t xml:space="preserve"> EEZ projektā Nr. EEZ/VP/2020/1 "Atbalsts Valsts policijai ekonomisko noziegumu izmeklēšanas paātrināšanai un kvalitātes uzlabošanai Latvijā" plānotā IT rīka ENAP ieviešana tika pārcelta uz IDF projektu Nr. VP/IDF/2019/1 "Nacionālās kriminālizlūkošanas infrastruktūras un sistēmas izveide". </w:t>
      </w:r>
    </w:p>
    <w:p w14:paraId="553A20D5" w14:textId="707F0FB5" w:rsidR="001611DC" w:rsidRPr="001611DC" w:rsidRDefault="001611DC" w:rsidP="001611DC">
      <w:r w:rsidRPr="008B7D7B">
        <w:lastRenderedPageBreak/>
        <w:t>S</w:t>
      </w:r>
      <w:r w:rsidRPr="001611DC">
        <w:t>askaņotība tika identificēta ar</w:t>
      </w:r>
      <w:r w:rsidRPr="008B7D7B">
        <w:t>ī ar</w:t>
      </w:r>
      <w:r w:rsidRPr="001611DC">
        <w:t xml:space="preserve"> Latvijas-Lietuvas pārrobežu sadarbības programmu 2014</w:t>
      </w:r>
      <w:r w:rsidR="005F274E">
        <w:t>.</w:t>
      </w:r>
      <w:r w:rsidRPr="001611DC">
        <w:t>-2020. gadam, kuras viens no galvenajiem mērķiem bija "Publisko iestāžu un iesaistīto personu institucionālo spēju un valsts pārvaldes efektivitātes uzlabošana"</w:t>
      </w:r>
      <w:r w:rsidRPr="008B7D7B">
        <w:rPr>
          <w:rStyle w:val="Vresatsauce"/>
        </w:rPr>
        <w:footnoteReference w:id="77"/>
      </w:r>
      <w:r w:rsidRPr="008B7D7B">
        <w:t>, kura ietvaros īstenotās aktivitātes ir saskanīgas ar IDF mērķiem</w:t>
      </w:r>
      <w:r w:rsidRPr="001611DC">
        <w:t xml:space="preserve">. </w:t>
      </w:r>
      <w:r w:rsidRPr="008B7D7B">
        <w:t>Piemēram, VUGD</w:t>
      </w:r>
      <w:r w:rsidRPr="001611DC">
        <w:t xml:space="preserve"> īstenoja divus būtiskus projektus CBRNE krīžu pārvaldības jomā - "CBRN negadījumu seku likvidēšana un piesārņojuma mazināšana Latvijas-Lietuvas pierobežā"</w:t>
      </w:r>
      <w:r w:rsidRPr="008B7D7B">
        <w:rPr>
          <w:vertAlign w:val="superscript"/>
        </w:rPr>
        <w:footnoteReference w:id="78"/>
      </w:r>
      <w:r w:rsidRPr="001611DC">
        <w:t xml:space="preserve"> un "Vides risku pārvaldības resursu pilnveidošana pierobežas reģionā, lai efektīvi veiktu vides aizsardzības pasākumus"</w:t>
      </w:r>
      <w:r w:rsidRPr="008B7D7B">
        <w:rPr>
          <w:vertAlign w:val="superscript"/>
        </w:rPr>
        <w:footnoteReference w:id="79"/>
      </w:r>
      <w:r w:rsidRPr="001611DC">
        <w:t xml:space="preserve">. Šie projekti ietvēra kompleksu pieeju </w:t>
      </w:r>
      <w:r w:rsidR="003A2FE3">
        <w:rPr>
          <w:rFonts w:cstheme="minorHAnsi"/>
        </w:rPr>
        <w:t>–</w:t>
      </w:r>
      <w:r w:rsidRPr="001611DC">
        <w:t xml:space="preserve"> personāla apmācības, pieredzes apmaiņu, sabiedrības izglītošanas aktivitātes un tehniskā aprīkojuma modernizāciju.</w:t>
      </w:r>
    </w:p>
    <w:p w14:paraId="51ABA68F" w14:textId="3B7D4911" w:rsidR="004653C3" w:rsidRPr="008B7D7B" w:rsidRDefault="001611DC" w:rsidP="009E53B2">
      <w:r w:rsidRPr="008B7D7B">
        <w:t>Savukārt VP</w:t>
      </w:r>
      <w:r w:rsidRPr="001611DC">
        <w:t xml:space="preserve"> īstenoja projektus, kas fokusējās uz pārrobežu </w:t>
      </w:r>
      <w:r w:rsidR="00D65FEE">
        <w:t>noziedzības apkarošanas</w:t>
      </w:r>
      <w:r w:rsidRPr="001611DC">
        <w:t xml:space="preserve"> stiprināšanu </w:t>
      </w:r>
      <w:r w:rsidR="003A2FE3">
        <w:rPr>
          <w:rFonts w:cstheme="minorHAnsi"/>
        </w:rPr>
        <w:t>–</w:t>
      </w:r>
      <w:r w:rsidRPr="001611DC">
        <w:t xml:space="preserve"> "Sinerģiskas drošības platformas izveide Austrumlatvijas un Lietuvas pierobežā"</w:t>
      </w:r>
      <w:r w:rsidR="006A1DDC">
        <w:rPr>
          <w:rStyle w:val="Vresatsauce"/>
        </w:rPr>
        <w:footnoteReference w:id="80"/>
      </w:r>
      <w:r w:rsidRPr="001611DC">
        <w:t xml:space="preserve"> un "Latvijas un Lietuvas policiju K9 kapacitātes stiprināšana Latvijas un Lietuvas pierobežas teritorijās"</w:t>
      </w:r>
      <w:r w:rsidR="000F1727">
        <w:rPr>
          <w:rStyle w:val="Vresatsauce"/>
        </w:rPr>
        <w:footnoteReference w:id="81"/>
      </w:r>
      <w:r w:rsidRPr="001611DC">
        <w:t>. Šie projekti bija vērsti uz pārrobežu noziedzības un nelegālās migrācijas apkarošanas kapacitātes celšanu.</w:t>
      </w:r>
      <w:r w:rsidR="00071CC7" w:rsidRPr="008B7D7B">
        <w:t xml:space="preserve">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599886F1" w14:textId="77777777" w:rsidTr="00220E0C">
        <w:tc>
          <w:tcPr>
            <w:tcW w:w="10252" w:type="dxa"/>
            <w:shd w:val="clear" w:color="auto" w:fill="F3B8FF" w:themeFill="accent6" w:themeFillTint="33"/>
          </w:tcPr>
          <w:p w14:paraId="21F54659" w14:textId="77777777" w:rsidR="0049533B" w:rsidRPr="008F64A0" w:rsidRDefault="0049533B" w:rsidP="00A239D8">
            <w:pPr>
              <w:rPr>
                <w:i/>
                <w:iCs/>
                <w:color w:val="5A5A5A" w:themeColor="accent1" w:themeTint="BF"/>
              </w:rPr>
            </w:pPr>
            <w:r w:rsidRPr="008F64A0">
              <w:rPr>
                <w:i/>
                <w:iCs/>
                <w:color w:val="5A5A5A" w:themeColor="accent1" w:themeTint="BF"/>
              </w:rPr>
              <w:t>Apakšjautājums: Vai programmu veidošanas laikā tika veikta un ņemta vērā citu pasākumu izvērtēšana, kuru mērķis bija līdzīgs?</w:t>
            </w:r>
          </w:p>
        </w:tc>
      </w:tr>
    </w:tbl>
    <w:p w14:paraId="7B248B86" w14:textId="0C0FCE71" w:rsidR="006B3565" w:rsidRPr="006B3565" w:rsidRDefault="00C10029" w:rsidP="006B3565">
      <w:pPr>
        <w:rPr>
          <w:bCs/>
        </w:rPr>
      </w:pPr>
      <w:r>
        <w:rPr>
          <w:bCs/>
        </w:rPr>
        <w:t xml:space="preserve">IDF </w:t>
      </w:r>
      <w:r w:rsidR="006B3565" w:rsidRPr="006B3565">
        <w:rPr>
          <w:bCs/>
        </w:rPr>
        <w:t xml:space="preserve">nacionālās </w:t>
      </w:r>
      <w:r w:rsidR="009B1546">
        <w:rPr>
          <w:bCs/>
        </w:rPr>
        <w:t>p</w:t>
      </w:r>
      <w:r w:rsidR="009B1546" w:rsidRPr="003A3BB3">
        <w:t xml:space="preserve">rogrammas </w:t>
      </w:r>
      <w:r w:rsidR="009B1546">
        <w:t>satura saskaņošana</w:t>
      </w:r>
      <w:r w:rsidR="009B1546" w:rsidRPr="003A3BB3">
        <w:t xml:space="preserve"> tika nodrošināta</w:t>
      </w:r>
      <w:r w:rsidR="009B1546">
        <w:t xml:space="preserve"> IeM</w:t>
      </w:r>
      <w:r w:rsidR="009B1546" w:rsidRPr="003A3BB3">
        <w:t xml:space="preserve"> valsts sekretāra līmenī, kas ļāva </w:t>
      </w:r>
      <w:r w:rsidR="009B1546">
        <w:t xml:space="preserve">ne tikai </w:t>
      </w:r>
      <w:r w:rsidR="009B1546" w:rsidRPr="003A3BB3">
        <w:t>pārliecināties par programmas atbilstību kopējam nozares attīstības virzienam un prioritātēm</w:t>
      </w:r>
      <w:r w:rsidR="009B1546">
        <w:t>, bet arī</w:t>
      </w:r>
      <w:r w:rsidR="009B1546" w:rsidRPr="003A3BB3">
        <w:t xml:space="preserve"> izvērtēt </w:t>
      </w:r>
      <w:r w:rsidR="009B1546">
        <w:t>tā</w:t>
      </w:r>
      <w:r w:rsidR="009B1546" w:rsidRPr="003A3BB3">
        <w:t>s saskaņotīb</w:t>
      </w:r>
      <w:r w:rsidR="009B1546">
        <w:t>u</w:t>
      </w:r>
      <w:r w:rsidR="009B1546" w:rsidRPr="003A3BB3">
        <w:t xml:space="preserve"> ar citām līdzīgām iniciatīvām un pasākumiem nozarē.</w:t>
      </w:r>
    </w:p>
    <w:p w14:paraId="6DD7829D" w14:textId="09C2DB3F" w:rsidR="002717F9" w:rsidRDefault="002717F9" w:rsidP="00A239D8">
      <w:r>
        <w:t>Lai nodrošinātu dažādu pasākumu savstarpējo saskaņotību</w:t>
      </w:r>
      <w:r w:rsidR="00EC7FED">
        <w:t>,</w:t>
      </w:r>
      <w:r>
        <w:t xml:space="preserve"> </w:t>
      </w:r>
      <w:r w:rsidR="00567BE2">
        <w:t>UK</w:t>
      </w:r>
      <w:r>
        <w:t xml:space="preserve"> līdzdarbojās pārstāvji no Finanšu ministrijas, Labklājības ministrijas un citām ministrijām, kā arī iesaistītajām iestādēm — IeM IC, VRS, PMLP, VP un citām. Tas deva iespēju identificēt citus īstenotos pasākumus, kuru mērķis ir bijis līdzīgs. </w:t>
      </w:r>
    </w:p>
    <w:p w14:paraId="086F1852" w14:textId="77777777" w:rsidR="00E62A4F" w:rsidRPr="00C54786" w:rsidRDefault="00E62A4F" w:rsidP="00E62A4F">
      <w:r>
        <w:t xml:space="preserve">Vienlaikus projektu iesniegumu formās finansējuma saņēmējiem bija jāiekļauj informācija par citiem to īstenotajiem projektiem. Tas kalpoja kā mehānisms citu īstenoto aktivitāšu identificēšanai, kā arī dažādu </w:t>
      </w:r>
      <w:r w:rsidRPr="00F25358">
        <w:t>finansējuma</w:t>
      </w:r>
      <w:r>
        <w:t xml:space="preserve"> avotu</w:t>
      </w:r>
      <w:r w:rsidRPr="00F25358">
        <w:t xml:space="preserve"> un</w:t>
      </w:r>
      <w:r>
        <w:t xml:space="preserve"> īstenoto</w:t>
      </w:r>
      <w:r w:rsidRPr="00F25358">
        <w:t xml:space="preserve"> projektu nepārklāšanās</w:t>
      </w:r>
      <w:r>
        <w:t xml:space="preserve"> pārbaudei.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4195939A" w14:textId="77777777" w:rsidTr="00220E0C">
        <w:tc>
          <w:tcPr>
            <w:tcW w:w="10252" w:type="dxa"/>
            <w:shd w:val="clear" w:color="auto" w:fill="F3B8FF" w:themeFill="accent6" w:themeFillTint="33"/>
          </w:tcPr>
          <w:p w14:paraId="30FEFF51" w14:textId="77777777" w:rsidR="0049533B" w:rsidRPr="008F64A0" w:rsidRDefault="0049533B" w:rsidP="00A239D8">
            <w:pPr>
              <w:rPr>
                <w:i/>
                <w:iCs/>
                <w:color w:val="5A5A5A" w:themeColor="accent1" w:themeTint="BF"/>
              </w:rPr>
            </w:pPr>
            <w:r w:rsidRPr="008F64A0">
              <w:rPr>
                <w:i/>
                <w:iCs/>
                <w:color w:val="5A5A5A" w:themeColor="accent1" w:themeTint="BF"/>
              </w:rPr>
              <w:t>Apakšjautājums: Vai uz īstenošanas laiku starp fondu un citiem pasākumiem, kuru mērķis bija līdzīgs, tika izveidoti koordinācijas mehānismi?</w:t>
            </w:r>
          </w:p>
        </w:tc>
      </w:tr>
    </w:tbl>
    <w:p w14:paraId="1E3F3AFA" w14:textId="77777777" w:rsidR="004B16E2" w:rsidRDefault="004B16E2" w:rsidP="00B76001">
      <w:pPr>
        <w:rPr>
          <w:rFonts w:cstheme="minorHAnsi"/>
        </w:rPr>
      </w:pPr>
      <w:r>
        <w:rPr>
          <w:rFonts w:cstheme="minorHAnsi"/>
        </w:rPr>
        <w:t>Kā norāda atbildīgā iestāde, iekšlietu sektora iestādēm ir jāiesniedz informāciju par visiem projektu konkursiem, kuros tās plāno iesniegt pieteikumus, tai skaitā, norādot plānotās aktivitātes. Tas sniedz iespēju nozares ietvaros uzraudzīt, piemēram, lai vairākas iestādes neplāno vienādas aktivitātes un izvērtēt, vai tās optimālāk būtu īstenot vienoti vairākām iestādēm, kā arī, vai ir plānotas kādas savstarpēji papildinošas vai tieši otrādi — pretēji vērstas aktivitātes. Tādējādi tika nodrošināta vienota pārraudzība un veicināta saskaņotība dažādu finanšu instrumentu un īstenoto aktivitāšu starpā.</w:t>
      </w:r>
    </w:p>
    <w:p w14:paraId="7AC64F83" w14:textId="4E42F0A1" w:rsidR="004B16E2" w:rsidRDefault="004B16E2" w:rsidP="004B16E2">
      <w:pPr>
        <w:rPr>
          <w:rFonts w:cstheme="minorHAnsi"/>
        </w:rPr>
      </w:pPr>
      <w:r>
        <w:rPr>
          <w:rFonts w:cstheme="minorHAnsi"/>
        </w:rPr>
        <w:t xml:space="preserve">Papildu tam, tika izveidoti arī divi institucionāli uzraudzības un koordinācijas mehānismi — </w:t>
      </w:r>
      <w:r w:rsidR="00567BE2">
        <w:rPr>
          <w:rFonts w:cstheme="minorHAnsi"/>
        </w:rPr>
        <w:t>UK</w:t>
      </w:r>
      <w:r>
        <w:rPr>
          <w:rFonts w:cstheme="minorHAnsi"/>
        </w:rPr>
        <w:t xml:space="preserve"> un Projektu uzraudzības padome. </w:t>
      </w:r>
      <w:r w:rsidR="00567BE2">
        <w:rPr>
          <w:rFonts w:cstheme="minorHAnsi"/>
        </w:rPr>
        <w:t>UK</w:t>
      </w:r>
      <w:r>
        <w:rPr>
          <w:rFonts w:cstheme="minorHAnsi"/>
        </w:rPr>
        <w:t xml:space="preserve">, kas ietvēra pārstāvjus arī no citu nozaru ministrijām kalpoja par mehānismu stratēģiskajai pārraudzībai, nodrošinot dažādu aktivitāšu nepārklāšanos. Savukārt Projektu uzraudzības </w:t>
      </w:r>
      <w:r>
        <w:rPr>
          <w:rFonts w:cstheme="minorHAnsi"/>
        </w:rPr>
        <w:lastRenderedPageBreak/>
        <w:t xml:space="preserve">padome kalpoja kā mehānisms, lai </w:t>
      </w:r>
      <w:r w:rsidRPr="00BC69C6">
        <w:rPr>
          <w:rFonts w:cstheme="minorHAnsi"/>
        </w:rPr>
        <w:t xml:space="preserve">nodrošinātu Latvijas iekšlietu nozares attīstībai stratēģiski nozīmīgu projektu uzraudzību </w:t>
      </w:r>
      <w:r>
        <w:rPr>
          <w:rFonts w:cstheme="minorHAnsi"/>
        </w:rPr>
        <w:t>ES</w:t>
      </w:r>
      <w:r w:rsidRPr="00BC69C6">
        <w:rPr>
          <w:rFonts w:cstheme="minorHAnsi"/>
        </w:rPr>
        <w:t xml:space="preserve"> fondu, Attīstības sadarbības programmas, divpusējo un daudzpusējo finanšu instrumentu ietvaros</w:t>
      </w:r>
      <w:r>
        <w:rPr>
          <w:rFonts w:cstheme="minorHAnsi"/>
        </w:rPr>
        <w:t xml:space="preserve">. Tās ietvaros tika pārrunāti iekšlietu nozares ietvaros īstenoto projektu progress, tai skaitā, to potenciālā saskanība vai papildinātība ar citiem instrumentiem. </w:t>
      </w:r>
    </w:p>
    <w:p w14:paraId="340A6AFA" w14:textId="25AB18ED" w:rsidR="00D908AE" w:rsidRDefault="00D908AE" w:rsidP="004B16E2">
      <w:pPr>
        <w:rPr>
          <w:rFonts w:cstheme="minorHAnsi"/>
        </w:rPr>
      </w:pPr>
      <w:r>
        <w:rPr>
          <w:rFonts w:cstheme="minorHAnsi"/>
        </w:rPr>
        <w:t>Arī finansējuma saņēmēji, piemēram, VP</w:t>
      </w:r>
      <w:r w:rsidR="0012254B">
        <w:rPr>
          <w:rFonts w:cstheme="minorHAnsi"/>
        </w:rPr>
        <w:t xml:space="preserve">, norāda, ka tām ir izstrādātas detalizētas iekšējās procedūras, kādā tiek plānotas un pārraudzītas </w:t>
      </w:r>
      <w:r w:rsidR="007E5918">
        <w:rPr>
          <w:rFonts w:cstheme="minorHAnsi"/>
        </w:rPr>
        <w:t xml:space="preserve">projektu aktivitātes no dažādiem finanšu avotiem. Tās ietver gan iekšējās daudzlīmeņu saskaņošanas procedūras, gan arī plānoto aktivitāšu koordināciju ar IeM. Tādējādi tiek rūpīgi uzraudzīts, lai aktivitātes nepārkātos un </w:t>
      </w:r>
      <w:r w:rsidR="001350E9">
        <w:rPr>
          <w:rFonts w:cstheme="minorHAnsi"/>
        </w:rPr>
        <w:t xml:space="preserve">tiktu sekmēta savstarpējā saskanība dažādu pasākumu ietvaros.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1DF98AAA" w14:textId="77777777" w:rsidTr="00220E0C">
        <w:tc>
          <w:tcPr>
            <w:tcW w:w="10252" w:type="dxa"/>
            <w:shd w:val="clear" w:color="auto" w:fill="F3B8FF" w:themeFill="accent6" w:themeFillTint="33"/>
          </w:tcPr>
          <w:p w14:paraId="65E1AEBE" w14:textId="77777777" w:rsidR="0049533B" w:rsidRPr="008F64A0" w:rsidRDefault="0049533B" w:rsidP="00A239D8">
            <w:pPr>
              <w:rPr>
                <w:i/>
                <w:iCs/>
                <w:color w:val="5A5A5A" w:themeColor="accent1" w:themeTint="BF"/>
              </w:rPr>
            </w:pPr>
            <w:r w:rsidRPr="008F64A0">
              <w:rPr>
                <w:i/>
                <w:iCs/>
                <w:color w:val="5A5A5A" w:themeColor="accent1" w:themeTint="BF"/>
              </w:rPr>
              <w:t>Apakšjautājums: Vai ar fonda palīdzību īstenotās darbības bija saskanīgas ar citiem pasākumiem, kuru mērķis bija līdzīgs, un vai tās nebija pretrunīgas?</w:t>
            </w:r>
          </w:p>
        </w:tc>
      </w:tr>
    </w:tbl>
    <w:p w14:paraId="60A6FE7A" w14:textId="77777777" w:rsidR="005829FE" w:rsidRDefault="005829FE" w:rsidP="005829FE">
      <w:pPr>
        <w:rPr>
          <w:bCs/>
        </w:rPr>
      </w:pPr>
      <w:r>
        <w:rPr>
          <w:bCs/>
        </w:rPr>
        <w:t xml:space="preserve">Finansējuma saņēmēji norāda, ka aktivitātes un pasākumi, kas pārklātos ar projektu ietvaros īstenotajiem pasākumiem nav tikuši ieviesti, taču ir īstenotas aktivitātes, kas papildina IDF ietvaros definēto mērķu sasniegšanu un ir savstarpēji saskaņotas. </w:t>
      </w:r>
    </w:p>
    <w:p w14:paraId="78896F76" w14:textId="0A4FE69B" w:rsidR="009F2328" w:rsidRDefault="005829FE" w:rsidP="009F2328">
      <w:pPr>
        <w:rPr>
          <w:bCs/>
        </w:rPr>
      </w:pPr>
      <w:r>
        <w:rPr>
          <w:bCs/>
        </w:rPr>
        <w:t xml:space="preserve">Piemēram, VP </w:t>
      </w:r>
      <w:r w:rsidR="00602F82">
        <w:rPr>
          <w:bCs/>
        </w:rPr>
        <w:t xml:space="preserve">ir īstenojusi vairākus projektus programmas </w:t>
      </w:r>
      <w:r w:rsidR="00EC7FED">
        <w:rPr>
          <w:bCs/>
        </w:rPr>
        <w:t>“</w:t>
      </w:r>
      <w:r w:rsidR="00602F82">
        <w:rPr>
          <w:bCs/>
        </w:rPr>
        <w:t>Apvārsnis 2020</w:t>
      </w:r>
      <w:r w:rsidR="00EC7FED">
        <w:rPr>
          <w:bCs/>
        </w:rPr>
        <w:t>”</w:t>
      </w:r>
      <w:r w:rsidR="00602F82">
        <w:rPr>
          <w:bCs/>
        </w:rPr>
        <w:t xml:space="preserve"> ietvaros</w:t>
      </w:r>
      <w:r w:rsidR="00C554CC">
        <w:rPr>
          <w:bCs/>
        </w:rPr>
        <w:t>, kas bijuši saskanīgi ar IDF ietvaros īstenotajām aktivitātēm. Īstenotie pasākumi ietvēra, piemēram, s</w:t>
      </w:r>
      <w:r w:rsidR="009F2328" w:rsidRPr="009F2328">
        <w:rPr>
          <w:bCs/>
        </w:rPr>
        <w:t>agatavotība</w:t>
      </w:r>
      <w:r w:rsidR="00C554CC">
        <w:rPr>
          <w:bCs/>
        </w:rPr>
        <w:t>s uzlabošanu</w:t>
      </w:r>
      <w:r w:rsidR="009F2328" w:rsidRPr="009F2328">
        <w:rPr>
          <w:bCs/>
        </w:rPr>
        <w:t xml:space="preserve"> pret CBRNE draudiem, </w:t>
      </w:r>
      <w:r w:rsidR="00C554CC">
        <w:rPr>
          <w:bCs/>
        </w:rPr>
        <w:t xml:space="preserve">aktivitātes </w:t>
      </w:r>
      <w:r w:rsidR="009F2328" w:rsidRPr="009F2328">
        <w:rPr>
          <w:bCs/>
        </w:rPr>
        <w:t>radikalizācijas</w:t>
      </w:r>
      <w:r w:rsidR="000B23E7">
        <w:rPr>
          <w:bCs/>
        </w:rPr>
        <w:t>, terorisma</w:t>
      </w:r>
      <w:r w:rsidR="009F2328" w:rsidRPr="009F2328">
        <w:rPr>
          <w:bCs/>
        </w:rPr>
        <w:t xml:space="preserve"> un vardarbīgā ekstrēmisma novēršanai</w:t>
      </w:r>
      <w:r w:rsidR="00F231BA">
        <w:rPr>
          <w:bCs/>
        </w:rPr>
        <w:t xml:space="preserve"> u.c. </w:t>
      </w:r>
      <w:r w:rsidR="00D05601">
        <w:rPr>
          <w:bCs/>
        </w:rPr>
        <w:t>pasākumus</w:t>
      </w:r>
      <w:r w:rsidR="00F231BA">
        <w:rPr>
          <w:bCs/>
        </w:rPr>
        <w:t>.</w:t>
      </w:r>
      <w:r w:rsidR="00F231BA">
        <w:rPr>
          <w:rStyle w:val="Vresatsauce"/>
          <w:bCs/>
        </w:rPr>
        <w:footnoteReference w:id="82"/>
      </w:r>
    </w:p>
    <w:p w14:paraId="6BF2A079" w14:textId="17F6E11B" w:rsidR="00AB607F" w:rsidRPr="009F2328" w:rsidRDefault="00AB607F" w:rsidP="009F2328">
      <w:pPr>
        <w:rPr>
          <w:bCs/>
        </w:rPr>
      </w:pPr>
      <w:r>
        <w:rPr>
          <w:bCs/>
        </w:rPr>
        <w:t>Tādējādi var secināt, ka ir īstenotas ar IDF policijai, noziedzībai un krīzēm</w:t>
      </w:r>
      <w:r w:rsidR="00855BB3">
        <w:rPr>
          <w:bCs/>
        </w:rPr>
        <w:t xml:space="preserve"> mērķiem</w:t>
      </w:r>
      <w:r>
        <w:rPr>
          <w:bCs/>
        </w:rPr>
        <w:t xml:space="preserve"> un īstenotajiem pasākumiem saskanīgas aktivitātes. </w:t>
      </w:r>
      <w:r w:rsidRPr="00EA56C6">
        <w:rPr>
          <w:bCs/>
        </w:rPr>
        <w:t xml:space="preserve">Izvērtējuma ietvaros nav gūti </w:t>
      </w:r>
      <w:r>
        <w:rPr>
          <w:bCs/>
        </w:rPr>
        <w:t xml:space="preserve">pierādījumi par pretrunīgu pasākumu īstenošanu ne fonda ietvaros, ne attiecībā uz citiem pasākumiem. </w:t>
      </w:r>
    </w:p>
    <w:p w14:paraId="5D4918C5" w14:textId="77777777" w:rsidR="0049533B" w:rsidRPr="008F64A0" w:rsidRDefault="0049533B" w:rsidP="00BF4167">
      <w:pPr>
        <w:pStyle w:val="Sarakstarindkopa"/>
        <w:numPr>
          <w:ilvl w:val="2"/>
          <w:numId w:val="42"/>
        </w:numPr>
        <w:rPr>
          <w:b/>
        </w:rPr>
      </w:pPr>
      <w:r w:rsidRPr="008F64A0">
        <w:rPr>
          <w:b/>
        </w:rPr>
        <w:t>Kritērijs “Papildināmība”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605226FA" w14:textId="77777777" w:rsidTr="00D40533">
        <w:tc>
          <w:tcPr>
            <w:tcW w:w="10252" w:type="dxa"/>
            <w:shd w:val="clear" w:color="auto" w:fill="82009B" w:themeFill="accent6"/>
          </w:tcPr>
          <w:p w14:paraId="584814C8" w14:textId="77777777" w:rsidR="0049533B" w:rsidRPr="008F64A0" w:rsidRDefault="0049533B" w:rsidP="00A239D8">
            <w:pPr>
              <w:rPr>
                <w:b/>
              </w:rPr>
            </w:pPr>
            <w:r w:rsidRPr="008F64A0">
              <w:rPr>
                <w:b/>
              </w:rPr>
              <w:t xml:space="preserve">Izvērtēšanas kritērija jautājums: </w:t>
            </w:r>
            <w:r w:rsidRPr="008F64A0">
              <w:rPr>
                <w:bCs/>
              </w:rPr>
              <w:t>Vai valsts programmā izvirzītie mērķi un atbilstīgās īstenošanas darbības papildināja tās, kas bija aizvirzītas citu politikas jomu satvarā, jo īpaši tās, kuras bija izvirzījusi dalībvalsts?</w:t>
            </w:r>
          </w:p>
        </w:tc>
      </w:tr>
    </w:tbl>
    <w:p w14:paraId="0343559D" w14:textId="20012CD7" w:rsidR="00B3053B" w:rsidRDefault="00B3053B" w:rsidP="00B3053B">
      <w:r>
        <w:t xml:space="preserve">IDF </w:t>
      </w:r>
      <w:r w:rsidR="009A0C28">
        <w:t>p</w:t>
      </w:r>
      <w:r>
        <w:t>olicija</w:t>
      </w:r>
      <w:r w:rsidR="00D01DDF">
        <w:t>i</w:t>
      </w:r>
      <w:r>
        <w:t>, noziedzība</w:t>
      </w:r>
      <w:r w:rsidR="00D01DDF">
        <w:t>i</w:t>
      </w:r>
      <w:r>
        <w:t xml:space="preserve"> un krīz</w:t>
      </w:r>
      <w:r w:rsidR="00D01DDF">
        <w:t>ēm</w:t>
      </w:r>
      <w:r>
        <w:t xml:space="preserve"> nacionālajā programmā izvirzītie mērķi un īstenošanas aktivitātes saskanēja ar citām politikas jomām valsts līmenī. Šī saskaņotība ir identificējama dažādos politikas plānošanas dokumentos.</w:t>
      </w:r>
    </w:p>
    <w:p w14:paraId="49382A32" w14:textId="65B3571D" w:rsidR="00B3053B" w:rsidRDefault="00B3053B" w:rsidP="00B3053B">
      <w:r>
        <w:t xml:space="preserve">Iekšlietu nozares stratēģiskās attīstības kontekstā IDF programma papildināja </w:t>
      </w:r>
      <w:r w:rsidR="00207C65">
        <w:t>IeM</w:t>
      </w:r>
      <w:r>
        <w:t xml:space="preserve"> darbības stratēģijas trīs secīgos periodos </w:t>
      </w:r>
      <w:r w:rsidR="003A2FE3">
        <w:rPr>
          <w:rFonts w:cstheme="minorHAnsi"/>
        </w:rPr>
        <w:t>–</w:t>
      </w:r>
      <w:r>
        <w:t xml:space="preserve"> 2017.-2019. gadam, 2020.-2022. gadam un 2023.-2027. gadam. Nozīmīgi, ka ministrijas stratēģijās noteiktie rīcības virzieni tika mērķtiecīgi integrēti IDF nacionālās programmas aktivitātēs.</w:t>
      </w:r>
    </w:p>
    <w:p w14:paraId="0AB7A8EB" w14:textId="451BEA04" w:rsidR="00B3053B" w:rsidRDefault="00B3053B" w:rsidP="00B3053B">
      <w:r>
        <w:t xml:space="preserve">Programmas saskaņotība izpaudās arī tās saiknē ar iesaistīto iestāžu stratēģiskajiem attīstības plāniem, īpaši ar </w:t>
      </w:r>
      <w:r w:rsidR="008F375F">
        <w:t>VP</w:t>
      </w:r>
      <w:r>
        <w:t xml:space="preserve"> un </w:t>
      </w:r>
      <w:r w:rsidR="008F375F">
        <w:t>VUGD</w:t>
      </w:r>
      <w:r>
        <w:t xml:space="preserve"> darbības stratēģijām.</w:t>
      </w:r>
    </w:p>
    <w:p w14:paraId="42D8074D" w14:textId="77777777" w:rsidR="00B3053B" w:rsidRDefault="00B3053B" w:rsidP="00B3053B">
      <w:r>
        <w:t>Nacionālā līmeņa plānošanas dokumentu kontekstā IDF programma sekmēja tajos noteikto mērķu sasniegšanu. Īpaši tas attiecas uz Valsts civilās aizsardzības plānā un Valsts aizsardzības koncepcijā paredzēto pasākumu īstenošanu.</w:t>
      </w:r>
    </w:p>
    <w:p w14:paraId="4AAE3B5B" w14:textId="0E4F595B" w:rsidR="0049533B" w:rsidRPr="00974798" w:rsidRDefault="00B3053B" w:rsidP="00B3053B">
      <w:r>
        <w:lastRenderedPageBreak/>
        <w:t xml:space="preserve">Šāda vairāku līmeņu saskaņotība nodrošināja, ka IDF programmas aktivitātes sistemātiski papildināja un atbalstīja citos plānošanas dokumentos noteikto mērķu sasniegšanu, veidojot vienotu pieeju </w:t>
      </w:r>
      <w:r w:rsidR="00A239D8">
        <w:t xml:space="preserve">policijas darbības stiprināšanai, noziedzības mazināšanai un krīžu risināšanai.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2D9CD0B1" w14:textId="77777777" w:rsidTr="00220E0C">
        <w:tc>
          <w:tcPr>
            <w:tcW w:w="10252" w:type="dxa"/>
            <w:shd w:val="clear" w:color="auto" w:fill="F3B8FF" w:themeFill="accent6" w:themeFillTint="33"/>
          </w:tcPr>
          <w:p w14:paraId="1927F98A" w14:textId="77777777" w:rsidR="0049533B" w:rsidRPr="008F64A0" w:rsidRDefault="0049533B" w:rsidP="00A239D8">
            <w:pPr>
              <w:rPr>
                <w:i/>
                <w:iCs/>
                <w:color w:val="5A5A5A" w:themeColor="accent1" w:themeTint="BF"/>
              </w:rPr>
            </w:pPr>
            <w:r w:rsidRPr="008F64A0">
              <w:rPr>
                <w:i/>
                <w:iCs/>
                <w:color w:val="5A5A5A" w:themeColor="accent1" w:themeTint="BF"/>
              </w:rPr>
              <w:t>Apakšjautājums: Vai programmu veidošanas laikā tika veikta un ņemta vērā citu pasākumu izvērtēšana, kuru mērķi bija papildinoši?</w:t>
            </w:r>
          </w:p>
        </w:tc>
      </w:tr>
    </w:tbl>
    <w:p w14:paraId="418061D4" w14:textId="77777777" w:rsidR="00DC0C54" w:rsidRDefault="00514397" w:rsidP="00514397">
      <w:r>
        <w:t xml:space="preserve">IDF </w:t>
      </w:r>
      <w:r w:rsidRPr="003A3BB3">
        <w:t xml:space="preserve">nacionālās programmas </w:t>
      </w:r>
      <w:r>
        <w:t xml:space="preserve">satura izstrādes laikā tikusi ņemta vērā potenciālo pasākumu atbilstība nacionālajos plānošanas dokumentos ietvertajiem mērķiem. Vienlaikus IDF </w:t>
      </w:r>
      <w:r w:rsidR="00DC0C54">
        <w:t>nacionālās programmas saskaņošana</w:t>
      </w:r>
      <w:r w:rsidR="00DC0C54" w:rsidRPr="003A3BB3">
        <w:t xml:space="preserve"> tika nodrošināta</w:t>
      </w:r>
      <w:r w:rsidR="00DC0C54">
        <w:t xml:space="preserve"> IeM</w:t>
      </w:r>
      <w:r w:rsidR="00DC0C54" w:rsidRPr="003A3BB3">
        <w:t xml:space="preserve"> valsts sekretāra līmenī, kas ļāva </w:t>
      </w:r>
      <w:r w:rsidR="00DC0C54">
        <w:t xml:space="preserve">ne tikai </w:t>
      </w:r>
      <w:r w:rsidR="00DC0C54" w:rsidRPr="003A3BB3">
        <w:t>pārliecināties par programmas atbilstību kopējam nozares attīstības virzienam un prioritātēm</w:t>
      </w:r>
      <w:r w:rsidR="00DC0C54">
        <w:t>, bet arī</w:t>
      </w:r>
      <w:r w:rsidR="00DC0C54" w:rsidRPr="003A3BB3">
        <w:t xml:space="preserve"> izvērtēt </w:t>
      </w:r>
      <w:r w:rsidR="00DC0C54">
        <w:t>tā</w:t>
      </w:r>
      <w:r w:rsidR="00DC0C54" w:rsidRPr="003A3BB3">
        <w:t xml:space="preserve">s </w:t>
      </w:r>
      <w:r w:rsidR="00DC0C54">
        <w:t>papildinātību ar citiem pasākumiem un nacionāla līmeņa plānošanas dokumentiem</w:t>
      </w:r>
      <w:r w:rsidR="00DC0C54" w:rsidRPr="003A3BB3">
        <w:t>.</w:t>
      </w:r>
    </w:p>
    <w:p w14:paraId="305AE11E" w14:textId="32D85D7F" w:rsidR="00514397" w:rsidRDefault="00514397" w:rsidP="00514397">
      <w:r>
        <w:t>Lai nodrošinātu dažādu pasākumu savstarpējo papildinātību</w:t>
      </w:r>
      <w:r w:rsidR="00EC7FED">
        <w:t>,</w:t>
      </w:r>
      <w:r>
        <w:t xml:space="preserve"> </w:t>
      </w:r>
      <w:r w:rsidR="00567BE2">
        <w:t>UK</w:t>
      </w:r>
      <w:r>
        <w:t xml:space="preserve"> līdzdarbojās pārstāvji no Finanšu ministrijas, </w:t>
      </w:r>
      <w:r w:rsidR="000E758D">
        <w:t>ĀM</w:t>
      </w:r>
      <w:r>
        <w:t xml:space="preserve"> un citām ministrijām, </w:t>
      </w:r>
      <w:r w:rsidR="00213FAF">
        <w:t>kas deva iespēju identificēt citus īstenotos pasākumus, kuru mērķis ir bijis līdzīgs un novērst aktivitāšu pārklāšanās riskus.</w:t>
      </w:r>
    </w:p>
    <w:p w14:paraId="67A45329" w14:textId="77777777" w:rsidR="008E2A21" w:rsidRPr="00BC07AE" w:rsidRDefault="008E2A21" w:rsidP="008E2A21">
      <w:r>
        <w:t xml:space="preserve">Vienlaikus projektu iesniegumu formās finansējuma saņēmējiem bija jāiekļauj informācija par citiem finansējuma saņēmēju īstenotajiem projektiem, kā arī plānoto pasākumu atbilstību nacionālā un ES līmeņa plānošanas dokumentiem un normatīvajiem aktiem. Tādējādi projektu vērtēšanā ticis ietverts arī papildinātības aspekts, nodrošinot, ka īstenotie pasākumi ir vērsti uz ieguldījumiem plašāku mērķu sasniegšanā.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6FEE8CC7" w14:textId="77777777" w:rsidTr="00220E0C">
        <w:tc>
          <w:tcPr>
            <w:tcW w:w="10252" w:type="dxa"/>
            <w:shd w:val="clear" w:color="auto" w:fill="F3B8FF" w:themeFill="accent6" w:themeFillTint="33"/>
          </w:tcPr>
          <w:p w14:paraId="13138C00" w14:textId="77777777" w:rsidR="0049533B" w:rsidRPr="008F64A0" w:rsidRDefault="0049533B" w:rsidP="00A239D8">
            <w:pPr>
              <w:rPr>
                <w:i/>
                <w:iCs/>
                <w:color w:val="5A5A5A" w:themeColor="accent1" w:themeTint="BF"/>
              </w:rPr>
            </w:pPr>
            <w:r w:rsidRPr="008F64A0">
              <w:rPr>
                <w:i/>
                <w:iCs/>
                <w:color w:val="5A5A5A" w:themeColor="accent1" w:themeTint="BF"/>
              </w:rPr>
              <w:t>Apakšjautājums: Vai starp fondu un citiem pasākumiem, kuru mērķi bija līdzīgi, tika izveidoti koordinācijas mehānismi, lai nodrošinātu to papildināmību īstenošanas periodā?</w:t>
            </w:r>
          </w:p>
        </w:tc>
      </w:tr>
    </w:tbl>
    <w:p w14:paraId="227D68E0" w14:textId="77777777" w:rsidR="0068581C" w:rsidRDefault="0068581C" w:rsidP="00B76001">
      <w:pPr>
        <w:rPr>
          <w:rFonts w:cstheme="minorHAnsi"/>
        </w:rPr>
      </w:pPr>
      <w:r>
        <w:rPr>
          <w:rFonts w:cstheme="minorHAnsi"/>
        </w:rPr>
        <w:t xml:space="preserve">Kā norāda atbildīgā iestāde, iekšlietu sektora iestādēm ir jāiesniedz informāciju par visiem projektu konkursiem, kuros tās plāno iesniegt pieteikumus, tai skaitā, norādot plānotās aktivitātes. Tas sniedz iespēju nozares ietvaros uzraudzīt, piemēram, lai vairākas iestādes neplāno vienādas aktivitātes un izvērtēt, vai tās optimālāk būtu īstenot vienoti vairākām iestādēm, kā arī, vai ir plānotas kādas savstarpēji papildinošas vai tieši otrādi — pretēji vērstas aktivitātes. Tādējādi tika nodrošināta vienota pārraudzība un veicināta saskaņotība dažādu finanšu instrumentu un īstenoto aktivitāšu starpā, kā arī uzraudzīti potenciālo aktivitāšu pārklāšanās riski. </w:t>
      </w:r>
    </w:p>
    <w:p w14:paraId="402D1372" w14:textId="23D3E0E3" w:rsidR="0068581C" w:rsidRPr="006C5B5A" w:rsidRDefault="0068581C" w:rsidP="0068581C">
      <w:pPr>
        <w:rPr>
          <w:rFonts w:cstheme="minorHAnsi"/>
        </w:rPr>
      </w:pPr>
      <w:r>
        <w:rPr>
          <w:rFonts w:cstheme="minorHAnsi"/>
        </w:rPr>
        <w:t xml:space="preserve">Papildu tam, tika izveidoti arī divi institucionāli uzraudzības un koordinācijas mehānismi — </w:t>
      </w:r>
      <w:r w:rsidR="00567BE2">
        <w:rPr>
          <w:rFonts w:cstheme="minorHAnsi"/>
        </w:rPr>
        <w:t>UK</w:t>
      </w:r>
      <w:r>
        <w:rPr>
          <w:rFonts w:cstheme="minorHAnsi"/>
        </w:rPr>
        <w:t xml:space="preserve"> un Projektu uzraudzības padome. </w:t>
      </w:r>
      <w:r w:rsidR="00567BE2">
        <w:rPr>
          <w:rFonts w:cstheme="minorHAnsi"/>
        </w:rPr>
        <w:t>UK</w:t>
      </w:r>
      <w:r>
        <w:rPr>
          <w:rFonts w:cstheme="minorHAnsi"/>
        </w:rPr>
        <w:t xml:space="preserve">, kas ietvēra pārstāvjus arī no citu nozaru ministrijām kalpoja par mehānismu stratēģiskajai pārraudzībai, nodrošinot dažādu aktivitāšu nepārklāšanās uzraudzību. Savukārt Projektu uzraudzības padome kalpoja kā mehānisms, lai </w:t>
      </w:r>
      <w:r w:rsidRPr="00BC69C6">
        <w:rPr>
          <w:rFonts w:cstheme="minorHAnsi"/>
        </w:rPr>
        <w:t xml:space="preserve">nodrošinātu Latvijas iekšlietu nozares attīstībai stratēģiski nozīmīgu projektu uzraudzību </w:t>
      </w:r>
      <w:r>
        <w:rPr>
          <w:rFonts w:cstheme="minorHAnsi"/>
        </w:rPr>
        <w:t>ES</w:t>
      </w:r>
      <w:r w:rsidRPr="00BC69C6">
        <w:rPr>
          <w:rFonts w:cstheme="minorHAnsi"/>
        </w:rPr>
        <w:t xml:space="preserve"> fondu, Attīstības sadarbības programmas, divpusējo un daudzpusējo finanšu instrumentu ietvaros</w:t>
      </w:r>
      <w:r>
        <w:rPr>
          <w:rFonts w:cstheme="minorHAnsi"/>
        </w:rPr>
        <w:t xml:space="preserve">. Tās ietvaros tika pārrunāti iekšlietu nozares ietvaros īstenoto projektu progress, tai skaitā, to potenciālā saskanība vai papildinātība ar citiem instrumentiem, kas arī deva iespēju savlaicīgi identificēt aktivitāšu pārklāšanās riskus.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68C5D16C" w14:textId="77777777" w:rsidTr="00D13E6D">
        <w:tc>
          <w:tcPr>
            <w:tcW w:w="10252" w:type="dxa"/>
            <w:tcBorders>
              <w:bottom w:val="single" w:sz="4" w:space="0" w:color="auto"/>
            </w:tcBorders>
            <w:shd w:val="clear" w:color="auto" w:fill="F3B8FF" w:themeFill="accent6" w:themeFillTint="33"/>
          </w:tcPr>
          <w:p w14:paraId="442F61C0" w14:textId="77777777" w:rsidR="0049533B" w:rsidRPr="008F64A0" w:rsidRDefault="0049533B" w:rsidP="00A239D8">
            <w:pPr>
              <w:rPr>
                <w:i/>
                <w:iCs/>
                <w:color w:val="5A5A5A" w:themeColor="accent1" w:themeTint="BF"/>
              </w:rPr>
            </w:pPr>
            <w:r w:rsidRPr="008F64A0">
              <w:rPr>
                <w:i/>
                <w:iCs/>
                <w:color w:val="5A5A5A" w:themeColor="accent1" w:themeTint="BF"/>
              </w:rPr>
              <w:t>Apakšjautājums: Vai tika piemēroti mehānismi, tiecoties novērst finanšu instrumentu pārklāšanos?</w:t>
            </w:r>
          </w:p>
        </w:tc>
      </w:tr>
    </w:tbl>
    <w:p w14:paraId="5779DE32" w14:textId="0DDEFAD4" w:rsidR="00E654EF" w:rsidRDefault="00E654EF" w:rsidP="00E654EF">
      <w:r>
        <w:t xml:space="preserve">Projektu pieteikumu dokumentācijā finansējuma saņēmējiem bija jāietver detalizēta informācija par citiem to īstenotajiem projektiem. Šī prasība ļāva projektu izvērtēšanas procesā veikt finansējuma un projektu aktivitāšu savstarpējās nepārklāšanās pārbaudi. Finansējuma saņēmējiem bija jāiesniedz oficiāls apliecinājums par to, ka tie nesaņem un neplāno piesaistīt līdzekļus no citiem finanšu avotiem projekta </w:t>
      </w:r>
      <w:r>
        <w:lastRenderedPageBreak/>
        <w:t xml:space="preserve">pieteikumā paredzēto aktivitāšu īstenošanai. Vienlaikus, </w:t>
      </w:r>
      <w:r w:rsidR="00567BE2">
        <w:t>UK</w:t>
      </w:r>
      <w:r>
        <w:t xml:space="preserve"> un Projektu uzraudzības padomes institucionālais ietvars nodrošināja papildu kontroles mehānismu finanšu instrumentu pārklāšanās identificēšanai.</w:t>
      </w:r>
    </w:p>
    <w:p w14:paraId="45DC15FE" w14:textId="5FEAA081" w:rsidR="0068581C" w:rsidRDefault="00107411" w:rsidP="0049533B">
      <w:pPr>
        <w:rPr>
          <w:bCs/>
        </w:rPr>
      </w:pPr>
      <w:r>
        <w:rPr>
          <w:bCs/>
        </w:rPr>
        <w:t xml:space="preserve">Kā norāda finansējuma saņēmēji, </w:t>
      </w:r>
      <w:r w:rsidR="00D70BFF">
        <w:rPr>
          <w:bCs/>
        </w:rPr>
        <w:t>IDF projektos īstenotās aktivitātes bija atšķirīgas un nodalāmas no citos finanšu</w:t>
      </w:r>
      <w:r w:rsidR="00DC382D">
        <w:rPr>
          <w:bCs/>
        </w:rPr>
        <w:t xml:space="preserve"> instrumentos </w:t>
      </w:r>
      <w:r w:rsidR="00C10423">
        <w:rPr>
          <w:bCs/>
        </w:rPr>
        <w:t xml:space="preserve">ieviestajiem pasākumiem. Vienlaikus </w:t>
      </w:r>
      <w:r>
        <w:rPr>
          <w:bCs/>
        </w:rPr>
        <w:t xml:space="preserve">arī no atbildīgās iestādes puses tika nodrošināta pastiprināta uzraudzība attiecībā uz dažādu aktivitāšu savstarpējo nepārklāšanos. </w:t>
      </w:r>
    </w:p>
    <w:p w14:paraId="05B798BA" w14:textId="77777777" w:rsidR="0049533B" w:rsidRPr="008F64A0" w:rsidRDefault="0049533B" w:rsidP="00BF4167">
      <w:pPr>
        <w:pStyle w:val="Sarakstarindkopa"/>
        <w:numPr>
          <w:ilvl w:val="2"/>
          <w:numId w:val="42"/>
        </w:numPr>
        <w:rPr>
          <w:b/>
        </w:rPr>
      </w:pPr>
      <w:r w:rsidRPr="008F64A0">
        <w:rPr>
          <w:b/>
        </w:rPr>
        <w:t>Kritērijs “ES pievienotā vērtība”</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7060CCFE" w14:textId="77777777" w:rsidTr="00D40533">
        <w:tc>
          <w:tcPr>
            <w:tcW w:w="10252" w:type="dxa"/>
            <w:shd w:val="clear" w:color="auto" w:fill="82009B" w:themeFill="accent6"/>
          </w:tcPr>
          <w:p w14:paraId="6F6AD456" w14:textId="77777777" w:rsidR="0049533B" w:rsidRPr="008F64A0" w:rsidRDefault="0049533B" w:rsidP="00A239D8">
            <w:pPr>
              <w:rPr>
                <w:b/>
              </w:rPr>
            </w:pPr>
            <w:r w:rsidRPr="008F64A0">
              <w:rPr>
                <w:b/>
              </w:rPr>
              <w:t xml:space="preserve">Izvērtēšanas kritērija jautājums: </w:t>
            </w:r>
            <w:r w:rsidRPr="008F64A0">
              <w:rPr>
                <w:bCs/>
              </w:rPr>
              <w:t>Vai ES atbalsta rezultātā radās pievienotā vērtība?</w:t>
            </w:r>
          </w:p>
        </w:tc>
      </w:tr>
    </w:tbl>
    <w:p w14:paraId="37F067D4" w14:textId="71317693" w:rsidR="00051A80" w:rsidRPr="00051A80" w:rsidRDefault="00051A80" w:rsidP="00051A80">
      <w:r w:rsidRPr="00051A80">
        <w:t>Kopumā ES fondu finansējums ļāvis īstenot visaptverošus attīstības projektus salīdzinoši īsā laik</w:t>
      </w:r>
      <w:r w:rsidR="004C6B53" w:rsidRPr="006C7391">
        <w:t>a posmā</w:t>
      </w:r>
      <w:r w:rsidRPr="00051A80">
        <w:t>, ko valsts budžeta ietvaros nebūtu iespējams realizēt. Programmas mērķtiecīgā pieeja, sasaiste ar ES drošības prioritātēm un pie</w:t>
      </w:r>
      <w:r w:rsidR="00575324" w:rsidRPr="006C7391">
        <w:t>ejamie</w:t>
      </w:r>
      <w:r w:rsidRPr="00051A80">
        <w:t xml:space="preserve"> resursi nodrošin</w:t>
      </w:r>
      <w:r w:rsidR="004C6B53" w:rsidRPr="006C7391">
        <w:t>ājusi būtisku ieguldījumu iekšējās drošības</w:t>
      </w:r>
      <w:r w:rsidRPr="00051A80">
        <w:t xml:space="preserve"> sektora modernizācij</w:t>
      </w:r>
      <w:r w:rsidR="004C6B53" w:rsidRPr="006C7391">
        <w:t>ai, lai efektīvāk risinātu gan vietēja, gan</w:t>
      </w:r>
      <w:r w:rsidRPr="00051A80">
        <w:t xml:space="preserve"> Eiropas līmeņa izaicinājumu</w:t>
      </w:r>
      <w:r w:rsidR="004C6B53" w:rsidRPr="006C7391">
        <w:t>s</w:t>
      </w:r>
      <w:r w:rsidRPr="00051A80">
        <w:t>.</w:t>
      </w:r>
    </w:p>
    <w:p w14:paraId="7D651CDD" w14:textId="123F9420" w:rsidR="00575324" w:rsidRDefault="0006622D" w:rsidP="00575324">
      <w:r>
        <w:t>Pirmo reizi tikusi īstenota programma, kas specifiski vērsta uz p</w:t>
      </w:r>
      <w:r w:rsidR="00575324" w:rsidRPr="00051A80">
        <w:t>olicijas darbības attīstīb</w:t>
      </w:r>
      <w:r w:rsidR="00ED6428">
        <w:t xml:space="preserve">u un </w:t>
      </w:r>
      <w:r w:rsidR="00575324" w:rsidRPr="00051A80">
        <w:t>vajadzībām, nodrošinot</w:t>
      </w:r>
      <w:r w:rsidR="00575324" w:rsidRPr="006C7391">
        <w:t xml:space="preserve"> IT sistēmu </w:t>
      </w:r>
      <w:r w:rsidR="006C7391" w:rsidRPr="006C7391">
        <w:t>attīstību</w:t>
      </w:r>
      <w:r w:rsidR="00575324" w:rsidRPr="006C7391">
        <w:t>, Kriminālistikas pārvaldes kapacitātes stiprināšanu un</w:t>
      </w:r>
      <w:r w:rsidR="00575324" w:rsidRPr="00051A80">
        <w:t xml:space="preserve"> modernas apmācību infrastruktūras izveidi un specializētā aprīkojuma iegādi, ko</w:t>
      </w:r>
      <w:r w:rsidR="00E358E6">
        <w:t xml:space="preserve"> aktīvi</w:t>
      </w:r>
      <w:r w:rsidR="00575324" w:rsidRPr="00051A80">
        <w:t xml:space="preserve"> izmanto vietējās struktūrvienības</w:t>
      </w:r>
      <w:r w:rsidR="00575324" w:rsidRPr="006C7391">
        <w:t xml:space="preserve"> un, par ko interesi izrāda arī</w:t>
      </w:r>
      <w:r w:rsidR="00575324" w:rsidRPr="00051A80">
        <w:t xml:space="preserve"> ārvalstu kolēģi. Šī infrastruktūra ir būtisks ieguvums, jo līdz šim līdzvērtīga bija pieejama tikai N</w:t>
      </w:r>
      <w:r w:rsidR="00C66646" w:rsidRPr="006C7391">
        <w:t>acionālajiem bruņotajiem spēkiem un piekļuve tai bijusi ierobežota</w:t>
      </w:r>
      <w:r w:rsidR="00575324" w:rsidRPr="00051A80">
        <w:t>.</w:t>
      </w:r>
    </w:p>
    <w:p w14:paraId="709382E5" w14:textId="67B859AF" w:rsidR="00C03FB0" w:rsidRDefault="00C03FB0" w:rsidP="00051A80">
      <w:r w:rsidRPr="00C03FB0">
        <w:t xml:space="preserve">Vienlaikus </w:t>
      </w:r>
      <w:r w:rsidR="008F375F">
        <w:t>VP</w:t>
      </w:r>
      <w:r w:rsidRPr="00C03FB0">
        <w:t xml:space="preserve"> īstenotie projekti veicināja sadarbības attīstību ar citām ES dalībvalstīm. </w:t>
      </w:r>
      <w:r w:rsidR="00A12FBD">
        <w:t>Piemēram,</w:t>
      </w:r>
      <w:r w:rsidR="000C77D9">
        <w:t xml:space="preserve"> aktivitātes ietvēra s</w:t>
      </w:r>
      <w:r w:rsidRPr="00C03FB0">
        <w:t>tarptautisk</w:t>
      </w:r>
      <w:r w:rsidR="000C77D9">
        <w:t>a</w:t>
      </w:r>
      <w:r w:rsidRPr="00C03FB0">
        <w:t xml:space="preserve"> seminār</w:t>
      </w:r>
      <w:r w:rsidR="000C77D9">
        <w:t>a organizēšanu</w:t>
      </w:r>
      <w:r w:rsidR="00AE0991">
        <w:t>, kas</w:t>
      </w:r>
      <w:r w:rsidRPr="00C03FB0">
        <w:t xml:space="preserve"> nodrošināja pieredzes apmaiņu ar ārvalstu kolēģiem un zināšanu pārnesi</w:t>
      </w:r>
      <w:r w:rsidR="00DC7C37">
        <w:t>, piemēram, par specializēta aprīkojuma izmantošanu</w:t>
      </w:r>
      <w:r w:rsidRPr="00C03FB0">
        <w:t xml:space="preserve">. Šīs aktivitātes ne tikai stiprināja starptautisko sadarbību, bet arī veicināja </w:t>
      </w:r>
      <w:r w:rsidR="008F375F">
        <w:t>VP</w:t>
      </w:r>
      <w:r w:rsidRPr="00C03FB0">
        <w:t xml:space="preserve"> atpazīstamību starptautiskajā vidē. Praktiskās sadarbības pasākumi guva īpaši pozitīvu novērtējumu no to dalībnieku puses</w:t>
      </w:r>
    </w:p>
    <w:p w14:paraId="6BD75E16" w14:textId="1FB622E0" w:rsidR="00E73A65" w:rsidRDefault="00051A80" w:rsidP="0049533B">
      <w:r w:rsidRPr="00051A80">
        <w:t xml:space="preserve">VUGD attīstībā </w:t>
      </w:r>
      <w:r w:rsidR="00C03FB0">
        <w:t xml:space="preserve">ES </w:t>
      </w:r>
      <w:r w:rsidRPr="00051A80">
        <w:t>fond</w:t>
      </w:r>
      <w:r w:rsidR="00C03FB0">
        <w:t>u</w:t>
      </w:r>
      <w:r w:rsidRPr="00051A80">
        <w:t xml:space="preserve"> finansējums nodrošināja būtiskus uzlabojumus</w:t>
      </w:r>
      <w:r w:rsidR="00E358E6">
        <w:t xml:space="preserve"> CBRNE risku pārvaldībai</w:t>
      </w:r>
      <w:r w:rsidR="00980944">
        <w:t xml:space="preserve"> —</w:t>
      </w:r>
      <w:r w:rsidRPr="00051A80">
        <w:t xml:space="preserve"> specializēto automašīnu iegādi un pirmā specializētā mācību poligona izveidi VUGD vēsturē</w:t>
      </w:r>
      <w:r w:rsidR="00980944">
        <w:t>, tai skaitā</w:t>
      </w:r>
      <w:r w:rsidR="00980944" w:rsidRPr="00980944">
        <w:t xml:space="preserve"> </w:t>
      </w:r>
      <w:r w:rsidR="00980944" w:rsidRPr="00051A80">
        <w:t>multifunkcionālās taktiskās mājas izveidi</w:t>
      </w:r>
      <w:r w:rsidRPr="00051A80">
        <w:t xml:space="preserve">. Šī infrastruktūra nodrošina praktisko iemaņu attīstību, starpinstitūciju mācības un </w:t>
      </w:r>
      <w:r w:rsidR="00980944">
        <w:t xml:space="preserve">stiprina </w:t>
      </w:r>
      <w:r w:rsidRPr="00051A80">
        <w:t xml:space="preserve">operatīvo gatavību </w:t>
      </w:r>
      <w:r w:rsidR="00980944">
        <w:t>efektīvai CBRNE krīžu risināšanai.</w:t>
      </w:r>
    </w:p>
    <w:p w14:paraId="14A1DDB2" w14:textId="5247CDA4" w:rsidR="00C03FB0" w:rsidRPr="00C03FB0" w:rsidRDefault="008B2873" w:rsidP="0049533B">
      <w:r w:rsidRPr="008B2873">
        <w:t xml:space="preserve">Gan </w:t>
      </w:r>
      <w:r>
        <w:t>VP</w:t>
      </w:r>
      <w:r w:rsidRPr="008B2873">
        <w:t xml:space="preserve">, gan </w:t>
      </w:r>
      <w:r>
        <w:t>VUGD</w:t>
      </w:r>
      <w:r w:rsidRPr="008B2873">
        <w:t xml:space="preserve"> izveidotajai apmācību infrastruktūrai ir izstrādāti tālākas attīstības un pilnveides plāni. ES fondu finansējums ir veicinājis stratēģiskāka un plašāka redzējuma īstenošanu, kas nodrošina vispusīgākus rezultātus un uzlabo kopējo mācību infrastruktūru</w:t>
      </w:r>
      <w:r>
        <w:t xml:space="preserve"> krīžu pārvaldības jomā.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282DECE7" w14:textId="77777777" w:rsidTr="00220E0C">
        <w:tc>
          <w:tcPr>
            <w:tcW w:w="10252" w:type="dxa"/>
            <w:shd w:val="clear" w:color="auto" w:fill="F3B8FF" w:themeFill="accent6" w:themeFillTint="33"/>
          </w:tcPr>
          <w:p w14:paraId="75C52BCA" w14:textId="77777777" w:rsidR="0049533B" w:rsidRPr="008F64A0" w:rsidRDefault="0049533B" w:rsidP="00A239D8">
            <w:pPr>
              <w:rPr>
                <w:i/>
                <w:iCs/>
                <w:color w:val="5A5A5A" w:themeColor="accent1" w:themeTint="BF"/>
              </w:rPr>
            </w:pPr>
            <w:r w:rsidRPr="008F64A0">
              <w:rPr>
                <w:i/>
                <w:iCs/>
                <w:color w:val="5A5A5A" w:themeColor="accent1" w:themeTint="BF"/>
              </w:rPr>
              <w:t>Apakšjautājums: Kādi bija galvenie fonda sniegtā atbalsta rezultātā radušās pievienotās vērtības veidi (apjoms, darbības joma, nozīme, process)?</w:t>
            </w:r>
          </w:p>
        </w:tc>
      </w:tr>
    </w:tbl>
    <w:p w14:paraId="334905B7" w14:textId="77777777" w:rsidR="001246B3" w:rsidRPr="001246B3" w:rsidRDefault="001246B3" w:rsidP="001246B3">
      <w:pPr>
        <w:rPr>
          <w:bCs/>
        </w:rPr>
      </w:pPr>
      <w:r w:rsidRPr="001246B3">
        <w:rPr>
          <w:bCs/>
        </w:rPr>
        <w:t>Viens no pievienotās vērtības veidiem ir VP Kriminālistikas pārvaldes kapacitātes stiprināšana, modernizējot materiāltehnisko nodrošinājumu un attīstot IT sistēmas. Šie ieguldījumi kopumā ir vērsti uz efektīvāku iestādes darba nodrošināšanu un veikto ekspertīžu kvalitātes paaugstināšanu.</w:t>
      </w:r>
    </w:p>
    <w:p w14:paraId="04E631F6" w14:textId="4E5D2944" w:rsidR="0049533B" w:rsidRPr="0072461D" w:rsidRDefault="001246B3" w:rsidP="001246B3">
      <w:pPr>
        <w:rPr>
          <w:bCs/>
        </w:rPr>
      </w:pPr>
      <w:r w:rsidRPr="001246B3">
        <w:rPr>
          <w:bCs/>
        </w:rPr>
        <w:t>Vienlaikus izveidotā mācību infrastruktūra sekmē gan efektīvāku iestāžu apmācību nodrošināšanu krīžu pārvaldības jomā, gan arī pozitīvi ietekmē starptautiskās sadarbības aspektus – piemēram, par speciālās intervences vienības mācību centru pastiprinātu interesi izrād</w:t>
      </w:r>
      <w:r w:rsidR="00AE0991">
        <w:rPr>
          <w:bCs/>
        </w:rPr>
        <w:t xml:space="preserve">ījuši </w:t>
      </w:r>
      <w:r w:rsidRPr="001246B3">
        <w:rPr>
          <w:bCs/>
        </w:rPr>
        <w:t>ārvalstu kolēģi. Apvienojumā ar specializētā aprīkojuma iegādi ir tikusi stiprināta kopējā nacionālā kapacitāte krīžu pārvaldības jomā gan vietējā, gan ES līmeņa risku kontekstā.</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33ED7CD2" w14:textId="77777777" w:rsidTr="00220E0C">
        <w:tc>
          <w:tcPr>
            <w:tcW w:w="10252" w:type="dxa"/>
            <w:shd w:val="clear" w:color="auto" w:fill="F3B8FF" w:themeFill="accent6" w:themeFillTint="33"/>
          </w:tcPr>
          <w:p w14:paraId="0E176E41" w14:textId="77777777" w:rsidR="0049533B" w:rsidRPr="008F64A0" w:rsidRDefault="0049533B" w:rsidP="00A239D8">
            <w:pPr>
              <w:rPr>
                <w:i/>
                <w:iCs/>
                <w:color w:val="5A5A5A" w:themeColor="accent1" w:themeTint="BF"/>
              </w:rPr>
            </w:pPr>
            <w:r w:rsidRPr="008F64A0">
              <w:rPr>
                <w:i/>
                <w:iCs/>
                <w:color w:val="5A5A5A" w:themeColor="accent1" w:themeTint="BF"/>
              </w:rPr>
              <w:lastRenderedPageBreak/>
              <w:t>Apakšjautājums: Vai darbības, kas nepieciešamas ES politikas īstenošanai fonda jomās, dalībvalsts būtu varējusi veikt bez fonda finansiālā atbalsta?</w:t>
            </w:r>
          </w:p>
        </w:tc>
      </w:tr>
    </w:tbl>
    <w:p w14:paraId="1B08B49D" w14:textId="247C0FC8" w:rsidR="00006B3C" w:rsidRPr="00952814" w:rsidRDefault="00006B3C" w:rsidP="00006B3C">
      <w:r w:rsidRPr="0055050C">
        <w:t xml:space="preserve">Finansējuma saņēmēju ieskatā ES atbalsts ir bijis nozīmīgs aktivitāšu īstenošanai. </w:t>
      </w:r>
      <w:r>
        <w:t>67</w:t>
      </w:r>
      <w:r w:rsidRPr="0055050C">
        <w:t> % finansējuma saņēmēju norāda, ka bez Programmu atbalsta iespējams tikai atsevišķas aktivitātes būtu ieviestas, savukārt 3</w:t>
      </w:r>
      <w:r>
        <w:t>3</w:t>
      </w:r>
      <w:r w:rsidRPr="0055050C">
        <w:t xml:space="preserve"> % — ka </w:t>
      </w:r>
      <w:r>
        <w:t>bez Programmu atbalsta neviena aktivitāte netiktu ieviesta</w:t>
      </w:r>
      <w:r w:rsidRPr="0055050C">
        <w:rPr>
          <w:bCs/>
        </w:rPr>
        <w:t xml:space="preserve"> (</w:t>
      </w:r>
      <w:r>
        <w:rPr>
          <w:bCs/>
        </w:rPr>
        <w:fldChar w:fldCharType="begin"/>
      </w:r>
      <w:r>
        <w:rPr>
          <w:bCs/>
        </w:rPr>
        <w:instrText xml:space="preserve"> REF _Ref190872669 \h </w:instrText>
      </w:r>
      <w:r>
        <w:rPr>
          <w:bCs/>
        </w:rPr>
      </w:r>
      <w:r>
        <w:rPr>
          <w:bCs/>
        </w:rPr>
        <w:fldChar w:fldCharType="separate"/>
      </w:r>
      <w:r w:rsidR="000523B6">
        <w:t xml:space="preserve">Attēls </w:t>
      </w:r>
      <w:r w:rsidR="000523B6">
        <w:rPr>
          <w:noProof/>
        </w:rPr>
        <w:t>26</w:t>
      </w:r>
      <w:r>
        <w:rPr>
          <w:bCs/>
        </w:rPr>
        <w:fldChar w:fldCharType="end"/>
      </w:r>
      <w:r w:rsidRPr="0055050C">
        <w:rPr>
          <w:bCs/>
        </w:rPr>
        <w:t>).</w:t>
      </w:r>
      <w:r>
        <w:rPr>
          <w:bCs/>
        </w:rPr>
        <w:t xml:space="preserve"> </w:t>
      </w:r>
    </w:p>
    <w:p w14:paraId="2FA740D6" w14:textId="77777777" w:rsidR="00FC3877" w:rsidRPr="00C02107" w:rsidRDefault="00ED1CB8" w:rsidP="00ED1CB8">
      <w:pPr>
        <w:rPr>
          <w:bCs/>
        </w:rPr>
      </w:pPr>
      <w:r w:rsidRPr="00ED1CB8">
        <w:rPr>
          <w:bCs/>
        </w:rPr>
        <w:t>Kopumā, ņemot vērā Eiropas līmeņa izaicinājumus un nepieciešamību stiprināt iekšlietu sektoru, valsts budžeta ietvaros nebūtu iespējams nodrošināt līdzvērtīgu attīstības tempu un kvalitāti ES politikas īstenošanai.</w:t>
      </w:r>
      <w:r w:rsidRPr="00C02107">
        <w:rPr>
          <w:bCs/>
        </w:rPr>
        <w:t xml:space="preserve"> </w:t>
      </w:r>
      <w:r w:rsidRPr="00ED1CB8">
        <w:rPr>
          <w:bCs/>
        </w:rPr>
        <w:t xml:space="preserve">Bez šī atbalsta būtu apgrūtināta </w:t>
      </w:r>
      <w:r w:rsidRPr="00C02107">
        <w:rPr>
          <w:bCs/>
        </w:rPr>
        <w:t>specializētu</w:t>
      </w:r>
      <w:r w:rsidRPr="00ED1CB8">
        <w:rPr>
          <w:bCs/>
        </w:rPr>
        <w:t xml:space="preserve"> iekārtu iegāde, kas ir būtiskas operacionālās darbības nodrošināšanai</w:t>
      </w:r>
      <w:r w:rsidR="00FC3877" w:rsidRPr="00C02107">
        <w:rPr>
          <w:bCs/>
        </w:rPr>
        <w:t xml:space="preserve">. </w:t>
      </w:r>
    </w:p>
    <w:p w14:paraId="5A4FC846" w14:textId="2F787EBD" w:rsidR="00C02107" w:rsidRPr="00C02107" w:rsidRDefault="00C02107" w:rsidP="0049533B">
      <w:pPr>
        <w:rPr>
          <w:bCs/>
        </w:rPr>
      </w:pPr>
      <w:r w:rsidRPr="00C02107">
        <w:rPr>
          <w:bCs/>
        </w:rPr>
        <w:t>Arī NKIM izstrāde un ieviešana ir resursu ietilpīgs process, kas ietver ne tikai sistēmas izstrādi, bet arī sadarbspējas mehānismu ieviešanu arī citu tiesībsargājošo iestāžu IT sistēmās. Šī procesa īstenošanai ārējais finansējums, tai skaitā ES fondu finansējums, ir bijis būtisks.</w:t>
      </w:r>
    </w:p>
    <w:p w14:paraId="38DA4986" w14:textId="367FA7A9" w:rsidR="0049533B" w:rsidRPr="00C02107" w:rsidRDefault="00ED1CB8" w:rsidP="0049533B">
      <w:pPr>
        <w:rPr>
          <w:bCs/>
        </w:rPr>
      </w:pPr>
      <w:r w:rsidRPr="00ED1CB8">
        <w:rPr>
          <w:bCs/>
        </w:rPr>
        <w:t>Valsts budžeta iespējas nespētu nodrošināt nepieciešamo modernizācijas projektu īstenošanu pilnā apmērā</w:t>
      </w:r>
      <w:r w:rsidR="00C61E9B" w:rsidRPr="00C02107">
        <w:rPr>
          <w:bCs/>
        </w:rPr>
        <w:t>, īpaši attiecībā uz vērienīgiem ieguldījumiem infrastruktūras attīstībai</w:t>
      </w:r>
      <w:r w:rsidRPr="00ED1CB8">
        <w:rPr>
          <w:bCs/>
        </w:rPr>
        <w:t>. Lai gan atsevišķu specializētā aprīkojuma vienību iegāde būtu iespējama caur citiem finansējuma avotiem, tas prasītu ievērojami ilgāku laiku un mazāku apjomu.</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1AC211DB" w14:textId="77777777" w:rsidTr="00220E0C">
        <w:tc>
          <w:tcPr>
            <w:tcW w:w="10252" w:type="dxa"/>
            <w:shd w:val="clear" w:color="auto" w:fill="F3B8FF" w:themeFill="accent6" w:themeFillTint="33"/>
          </w:tcPr>
          <w:p w14:paraId="29436D3A" w14:textId="77777777" w:rsidR="0049533B" w:rsidRPr="008F64A0" w:rsidRDefault="0049533B" w:rsidP="00A239D8">
            <w:pPr>
              <w:rPr>
                <w:i/>
                <w:iCs/>
                <w:color w:val="5A5A5A" w:themeColor="accent1" w:themeTint="BF"/>
              </w:rPr>
            </w:pPr>
            <w:r w:rsidRPr="008F64A0">
              <w:rPr>
                <w:i/>
                <w:iCs/>
                <w:color w:val="5A5A5A" w:themeColor="accent1" w:themeTint="BF"/>
              </w:rPr>
              <w:t>Apakšjautājums: Kādas sekas, visticamāk, izraisītu fonda atbalsta pārtraukšana?</w:t>
            </w:r>
          </w:p>
        </w:tc>
      </w:tr>
    </w:tbl>
    <w:p w14:paraId="2233B27C" w14:textId="09F48B89" w:rsidR="0049533B" w:rsidRPr="00AD7150" w:rsidRDefault="004E4AB7" w:rsidP="0049533B">
      <w:pPr>
        <w:rPr>
          <w:rFonts w:cstheme="minorHAnsi"/>
        </w:rPr>
      </w:pPr>
      <w:r>
        <w:rPr>
          <w:rFonts w:cstheme="minorHAnsi"/>
        </w:rPr>
        <w:t>Fonda atbalsta pārtraukšana nozīmētu VP un citu iekšējās drošības un krīžu pārvaldībā iesaistīto ies</w:t>
      </w:r>
      <w:r w:rsidR="00686DE9">
        <w:rPr>
          <w:rFonts w:cstheme="minorHAnsi"/>
        </w:rPr>
        <w:t>t</w:t>
      </w:r>
      <w:r>
        <w:rPr>
          <w:rFonts w:cstheme="minorHAnsi"/>
        </w:rPr>
        <w:t>āžu attīstības</w:t>
      </w:r>
      <w:r w:rsidR="00686DE9">
        <w:rPr>
          <w:rFonts w:cstheme="minorHAnsi"/>
        </w:rPr>
        <w:t xml:space="preserve"> iespēju ierobežošanu. Kā norāda finansējuma saņēmēji, </w:t>
      </w:r>
      <w:r w:rsidRPr="000E4EF5">
        <w:rPr>
          <w:rFonts w:cstheme="minorHAnsi"/>
        </w:rPr>
        <w:t>valsts budžet</w:t>
      </w:r>
      <w:r w:rsidR="00686DE9">
        <w:rPr>
          <w:rFonts w:cstheme="minorHAnsi"/>
        </w:rPr>
        <w:t xml:space="preserve">s līdzekļu iespējas </w:t>
      </w:r>
      <w:r w:rsidR="005045C1">
        <w:rPr>
          <w:rFonts w:cstheme="minorHAnsi"/>
        </w:rPr>
        <w:t>nodrošināt apjomīgu attīstības projektu ie</w:t>
      </w:r>
      <w:r w:rsidR="005B37BC">
        <w:rPr>
          <w:rFonts w:cstheme="minorHAnsi"/>
        </w:rPr>
        <w:t>v</w:t>
      </w:r>
      <w:r w:rsidR="005045C1">
        <w:rPr>
          <w:rFonts w:cstheme="minorHAnsi"/>
        </w:rPr>
        <w:t>iešanu</w:t>
      </w:r>
      <w:r w:rsidRPr="000E4EF5">
        <w:rPr>
          <w:rFonts w:cstheme="minorHAnsi"/>
        </w:rPr>
        <w:t>,</w:t>
      </w:r>
      <w:r w:rsidR="005045C1">
        <w:rPr>
          <w:rFonts w:cstheme="minorHAnsi"/>
        </w:rPr>
        <w:t xml:space="preserve"> </w:t>
      </w:r>
      <w:r w:rsidRPr="000E4EF5">
        <w:rPr>
          <w:rFonts w:cstheme="minorHAnsi"/>
        </w:rPr>
        <w:t>ir būtiski ierobežot</w:t>
      </w:r>
      <w:r w:rsidR="005B37BC">
        <w:rPr>
          <w:rFonts w:cstheme="minorHAnsi"/>
        </w:rPr>
        <w:t>a</w:t>
      </w:r>
      <w:r w:rsidRPr="000E4EF5">
        <w:rPr>
          <w:rFonts w:cstheme="minorHAnsi"/>
        </w:rPr>
        <w:t xml:space="preserve">s. </w:t>
      </w:r>
      <w:r w:rsidR="005045C1">
        <w:rPr>
          <w:rFonts w:cstheme="minorHAnsi"/>
        </w:rPr>
        <w:t>Vienlaikus</w:t>
      </w:r>
      <w:r w:rsidR="005B37BC">
        <w:rPr>
          <w:rFonts w:cstheme="minorHAnsi"/>
        </w:rPr>
        <w:t xml:space="preserve"> arī citu ārējo finanšu instrumentu </w:t>
      </w:r>
      <w:r w:rsidR="00882618">
        <w:rPr>
          <w:rFonts w:cstheme="minorHAnsi"/>
        </w:rPr>
        <w:t xml:space="preserve">izmaksu attiecināmības noteikumi paredz ierobežojumus ieguldījumiem infrastruktūrā, īpaši būvniecībai, </w:t>
      </w:r>
      <w:r w:rsidR="00651AD0">
        <w:rPr>
          <w:rFonts w:cstheme="minorHAnsi"/>
        </w:rPr>
        <w:t xml:space="preserve">kā arī specifiska aprīkojuma iegādei, </w:t>
      </w:r>
      <w:r w:rsidR="00882618">
        <w:rPr>
          <w:rFonts w:cstheme="minorHAnsi"/>
        </w:rPr>
        <w:t xml:space="preserve">kas tikusi nodrošināta IDF policijai, noziedzībai un krīzēm ietvaros. </w:t>
      </w:r>
      <w:r w:rsidR="005B37BC">
        <w:rPr>
          <w:rFonts w:cstheme="minorHAnsi"/>
        </w:rPr>
        <w:t xml:space="preserve"> </w:t>
      </w:r>
      <w:r w:rsidR="005045C1">
        <w:rPr>
          <w:rFonts w:cstheme="minorHAnsi"/>
        </w:rPr>
        <w:t xml:space="preserve">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72397648" w14:textId="77777777" w:rsidTr="00220E0C">
        <w:tc>
          <w:tcPr>
            <w:tcW w:w="10252" w:type="dxa"/>
            <w:shd w:val="clear" w:color="auto" w:fill="F3B8FF" w:themeFill="accent6" w:themeFillTint="33"/>
          </w:tcPr>
          <w:p w14:paraId="3453142B" w14:textId="77777777" w:rsidR="0049533B" w:rsidRPr="008F64A0" w:rsidRDefault="0049533B" w:rsidP="00A239D8">
            <w:pPr>
              <w:rPr>
                <w:i/>
                <w:iCs/>
                <w:color w:val="5A5A5A" w:themeColor="accent1" w:themeTint="BF"/>
              </w:rPr>
            </w:pPr>
            <w:r w:rsidRPr="008F64A0">
              <w:rPr>
                <w:i/>
                <w:iCs/>
                <w:color w:val="5A5A5A" w:themeColor="accent1" w:themeTint="BF"/>
              </w:rPr>
              <w:t>Apakšjautājums: Cik lielā mērā fonda atbalstītās darbības sniedza priekšrocības Savienības līmenī?</w:t>
            </w:r>
          </w:p>
        </w:tc>
      </w:tr>
    </w:tbl>
    <w:p w14:paraId="217B9EFF" w14:textId="3C509EB8" w:rsidR="0049533B" w:rsidRPr="00AE4CB9" w:rsidRDefault="00AE4CB9" w:rsidP="0049533B">
      <w:pPr>
        <w:rPr>
          <w:bCs/>
        </w:rPr>
      </w:pPr>
      <w:r w:rsidRPr="00AE4CB9">
        <w:rPr>
          <w:bCs/>
        </w:rPr>
        <w:t xml:space="preserve">UK fokusgrupas intervijas pārstāvji identificējuši divas galvenās priekšrocības ES līmenī. Pirmkārt, finansējums attīstībai sekmē iespējas uzlabot procesu efektivitāti un kvalitāti, tādējādi sniedzot ieguldījumu kopējās drošības uzlabošanā. Vienlaikus īstenotie pasākumi ir ļāvuši veicināt </w:t>
      </w:r>
      <w:r>
        <w:rPr>
          <w:bCs/>
        </w:rPr>
        <w:t xml:space="preserve">arī </w:t>
      </w:r>
      <w:r w:rsidR="00187BD4">
        <w:rPr>
          <w:bCs/>
        </w:rPr>
        <w:t xml:space="preserve">starptautisko sadarbību ar citām ES valstīm, tai skaitā ar perspektīvu attīstīt to arī ilgtermiņā, piemēram, izveidotās mācību infrastruktūras jomā. </w:t>
      </w:r>
    </w:p>
    <w:p w14:paraId="1E8F5369" w14:textId="3A1DD15D" w:rsidR="0049533B" w:rsidRPr="008F64A0" w:rsidRDefault="0049533B" w:rsidP="00BF4167">
      <w:pPr>
        <w:pStyle w:val="Sarakstarindkopa"/>
        <w:numPr>
          <w:ilvl w:val="2"/>
          <w:numId w:val="42"/>
        </w:numPr>
        <w:rPr>
          <w:b/>
        </w:rPr>
      </w:pPr>
      <w:r w:rsidRPr="008F64A0">
        <w:rPr>
          <w:b/>
        </w:rPr>
        <w:t>Kritērijs “</w:t>
      </w:r>
      <w:r w:rsidR="004E6E46">
        <w:rPr>
          <w:b/>
        </w:rPr>
        <w:t>Il</w:t>
      </w:r>
      <w:r w:rsidR="004E6E46" w:rsidRPr="008F64A0">
        <w:rPr>
          <w:b/>
        </w:rPr>
        <w:t>gtspēja</w:t>
      </w:r>
      <w:r w:rsidRPr="008F64A0">
        <w:rPr>
          <w:b/>
        </w:rPr>
        <w:t>”</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6D3D0FD5" w14:textId="77777777" w:rsidTr="00C5046B">
        <w:tc>
          <w:tcPr>
            <w:tcW w:w="10252" w:type="dxa"/>
            <w:shd w:val="clear" w:color="auto" w:fill="82009B" w:themeFill="accent6"/>
          </w:tcPr>
          <w:p w14:paraId="7B7FB483" w14:textId="77777777" w:rsidR="0049533B" w:rsidRPr="008F64A0" w:rsidRDefault="0049533B" w:rsidP="00A239D8">
            <w:pPr>
              <w:rPr>
                <w:b/>
              </w:rPr>
            </w:pPr>
            <w:r w:rsidRPr="008F64A0">
              <w:rPr>
                <w:b/>
              </w:rPr>
              <w:t xml:space="preserve">Izvērtēšanas kritērija jautājums: </w:t>
            </w:r>
            <w:r w:rsidRPr="008F64A0">
              <w:rPr>
                <w:bCs/>
              </w:rPr>
              <w:t>Vai fonda atbalstīto projektu pozitīvais efekts varētu turpināties arī pēc tam, kad fonda atbalsts beigsies?</w:t>
            </w:r>
          </w:p>
        </w:tc>
      </w:tr>
    </w:tbl>
    <w:p w14:paraId="7644C7A0" w14:textId="22E91EBE" w:rsidR="001F4A3B" w:rsidRDefault="001F4A3B" w:rsidP="001F4A3B">
      <w:pPr>
        <w:rPr>
          <w:bCs/>
        </w:rPr>
      </w:pPr>
      <w:r w:rsidRPr="006046C3">
        <w:t xml:space="preserve">Finansējuma saņēmēji projektu sasniegto rezultātu noturību vērtē pozitīvi — </w:t>
      </w:r>
      <w:r>
        <w:rPr>
          <w:bCs/>
        </w:rPr>
        <w:t>25</w:t>
      </w:r>
      <w:r w:rsidRPr="006046C3">
        <w:rPr>
          <w:bCs/>
        </w:rPr>
        <w:t> </w:t>
      </w:r>
      <w:r w:rsidRPr="006046C3">
        <w:t xml:space="preserve">% norāda, ka rezultāti ir ļoti noturīgi, bet </w:t>
      </w:r>
      <w:r>
        <w:rPr>
          <w:bCs/>
        </w:rPr>
        <w:t>75</w:t>
      </w:r>
      <w:r w:rsidRPr="006046C3">
        <w:rPr>
          <w:bCs/>
        </w:rPr>
        <w:t xml:space="preserve"> </w:t>
      </w:r>
      <w:r w:rsidRPr="006046C3">
        <w:t>% rezultātus novērtējuši kā drīzāk noturīgus</w:t>
      </w:r>
      <w:r>
        <w:rPr>
          <w:bCs/>
        </w:rPr>
        <w:t xml:space="preserve"> (</w:t>
      </w:r>
      <w:r w:rsidR="003172B3">
        <w:rPr>
          <w:bCs/>
        </w:rPr>
        <w:fldChar w:fldCharType="begin"/>
      </w:r>
      <w:r w:rsidR="003172B3">
        <w:rPr>
          <w:bCs/>
        </w:rPr>
        <w:instrText xml:space="preserve"> REF _Ref190875546 \h </w:instrText>
      </w:r>
      <w:r w:rsidR="003172B3">
        <w:rPr>
          <w:bCs/>
        </w:rPr>
      </w:r>
      <w:r w:rsidR="003172B3">
        <w:rPr>
          <w:bCs/>
        </w:rPr>
        <w:fldChar w:fldCharType="separate"/>
      </w:r>
      <w:r w:rsidR="000523B6">
        <w:t xml:space="preserve">Attēls </w:t>
      </w:r>
      <w:r w:rsidR="000523B6">
        <w:rPr>
          <w:noProof/>
        </w:rPr>
        <w:t>27</w:t>
      </w:r>
      <w:r w:rsidR="003172B3">
        <w:rPr>
          <w:bCs/>
        </w:rPr>
        <w:fldChar w:fldCharType="end"/>
      </w:r>
      <w:r>
        <w:rPr>
          <w:bCs/>
        </w:rPr>
        <w:t>)</w:t>
      </w:r>
      <w:r w:rsidRPr="006046C3">
        <w:rPr>
          <w:bCs/>
        </w:rPr>
        <w:t>.</w:t>
      </w:r>
      <w:r>
        <w:rPr>
          <w:bCs/>
        </w:rPr>
        <w:t xml:space="preserve"> </w:t>
      </w:r>
    </w:p>
    <w:p w14:paraId="71175302" w14:textId="2A25C41A" w:rsidR="00E318AB" w:rsidRDefault="00E318AB" w:rsidP="00E318AB">
      <w:r>
        <w:t xml:space="preserve">Analizējot fonda atbalstīto projektu ilgtspējas potenciālu pēc finansējuma beigām, finansējuma saņēmēji lielākoties to vērtē </w:t>
      </w:r>
      <w:r w:rsidRPr="000E39C5">
        <w:t xml:space="preserve">pozitīvi. Piemēram, attiecībā uz IT sistēmām, tām ir raksturīgs ilgs dzīves cikls, paredzot </w:t>
      </w:r>
      <w:r w:rsidRPr="000E39C5">
        <w:lastRenderedPageBreak/>
        <w:t xml:space="preserve">vismaz 10 gadu ekspluatācijas periodu. Savukārt </w:t>
      </w:r>
      <w:r w:rsidR="00800B02">
        <w:t xml:space="preserve">izveidotās infrastruktūras un </w:t>
      </w:r>
      <w:r w:rsidRPr="000E39C5">
        <w:t>t</w:t>
      </w:r>
      <w:r w:rsidRPr="00AB2B16">
        <w:t>ehniskā aprīkojuma uzturēšanai risks ir minimāls, jo tam</w:t>
      </w:r>
      <w:r w:rsidRPr="000E39C5">
        <w:t>, īstenojot projektu,</w:t>
      </w:r>
      <w:r w:rsidRPr="00AB2B16">
        <w:t xml:space="preserve"> ir ieplānots finansējums</w:t>
      </w:r>
      <w:r w:rsidRPr="000E39C5">
        <w:t xml:space="preserve"> no iestāžu līdzekļiem. </w:t>
      </w:r>
    </w:p>
    <w:p w14:paraId="63664394" w14:textId="6ABBC64F" w:rsidR="005E1FAE" w:rsidRPr="000E39C5" w:rsidRDefault="00800B02" w:rsidP="00E318AB">
      <w:r>
        <w:t xml:space="preserve">Vienlaikus iestādēm ir plāni turpināt attīstīt projekta ietvaros sasniegtos rezultātus. Gan VUGD, gan VP attiecībā uz izveidoto infrastruktūru apmācību nodrošināšanai norāda uz plāniem piesaistīt papildu ārējo finansējumu, lai </w:t>
      </w:r>
      <w:r w:rsidR="008C5930">
        <w:t xml:space="preserve">turpinātu attīstīt izveidotās apmācību vietas. </w:t>
      </w:r>
    </w:p>
    <w:p w14:paraId="22B47315" w14:textId="7E3E2DFA" w:rsidR="00A31FDA" w:rsidRDefault="00A31FDA" w:rsidP="00A31FDA">
      <w:pPr>
        <w:rPr>
          <w:bCs/>
        </w:rPr>
      </w:pPr>
      <w:r w:rsidRPr="004227B5">
        <w:t xml:space="preserve">Galvenie riski, ko finansējuma saņēmēji identificē attiecībā uz rezultātu ilgtspēju un ilgnoturību ietver finanšu </w:t>
      </w:r>
      <w:r>
        <w:t xml:space="preserve">resursu </w:t>
      </w:r>
      <w:r w:rsidRPr="004227B5">
        <w:t xml:space="preserve">un </w:t>
      </w:r>
      <w:r>
        <w:t xml:space="preserve">cilvēkresursu </w:t>
      </w:r>
      <w:r w:rsidRPr="004227B5">
        <w:t xml:space="preserve">trūkumu projektu rezultātu uzturēšanai </w:t>
      </w:r>
      <w:r>
        <w:rPr>
          <w:bCs/>
        </w:rPr>
        <w:t>(</w:t>
      </w:r>
      <w:r>
        <w:rPr>
          <w:bCs/>
        </w:rPr>
        <w:fldChar w:fldCharType="begin"/>
      </w:r>
      <w:r>
        <w:rPr>
          <w:bCs/>
        </w:rPr>
        <w:instrText xml:space="preserve"> REF _Ref190873007 \h </w:instrText>
      </w:r>
      <w:r>
        <w:rPr>
          <w:bCs/>
        </w:rPr>
      </w:r>
      <w:r>
        <w:rPr>
          <w:bCs/>
        </w:rPr>
        <w:fldChar w:fldCharType="separate"/>
      </w:r>
      <w:r w:rsidR="000523B6">
        <w:t xml:space="preserve">Attēls </w:t>
      </w:r>
      <w:r w:rsidR="000523B6">
        <w:rPr>
          <w:noProof/>
        </w:rPr>
        <w:t>28</w:t>
      </w:r>
      <w:r>
        <w:rPr>
          <w:bCs/>
        </w:rPr>
        <w:fldChar w:fldCharType="end"/>
      </w:r>
      <w:r w:rsidR="00AF3800">
        <w:rPr>
          <w:bCs/>
        </w:rPr>
        <w:t>)</w:t>
      </w:r>
      <w:r w:rsidRPr="004227B5">
        <w:rPr>
          <w:bCs/>
        </w:rPr>
        <w:t>.</w:t>
      </w:r>
      <w:r>
        <w:rPr>
          <w:bCs/>
        </w:rPr>
        <w:t xml:space="preserve"> </w:t>
      </w:r>
    </w:p>
    <w:p w14:paraId="2F1796CE" w14:textId="36A2B39A" w:rsidR="00E318AB" w:rsidRDefault="00E318AB" w:rsidP="00E318AB">
      <w:r w:rsidRPr="00AB2B16">
        <w:t xml:space="preserve">Straujā tehnoloģiju attīstība, īpaši mākslīgā intelekta jomā, rada izaicinājumus </w:t>
      </w:r>
      <w:r w:rsidRPr="00DB751F">
        <w:t>IT risinājumu</w:t>
      </w:r>
      <w:r w:rsidRPr="00AB2B16">
        <w:t xml:space="preserve"> ilgtermiņa darbība</w:t>
      </w:r>
      <w:r w:rsidRPr="00DB751F">
        <w:t xml:space="preserve">i, kā arī tehnoloģisko iekārtu atbilstībai mainīgajiem standartiem. </w:t>
      </w:r>
      <w:r w:rsidRPr="00AB2B16">
        <w:t>Ņemot vērā augstās pielāgošanas izmaksas un ierobežotos finanšu resursus, tas rada bažas par sistēmas spēju pielāgoties nākotnes prasībām.</w:t>
      </w:r>
      <w:r w:rsidR="00F718F4">
        <w:t xml:space="preserve"> Turklāt, kā norā</w:t>
      </w:r>
      <w:r w:rsidR="00DD3870">
        <w:t>da UK pārstāvji, IT sistēmu ilgtspējas attīstības kontekstā ir grūti nošķiramas uzturēšanas aktivitātes no attīstības pasākumiem</w:t>
      </w:r>
      <w:r w:rsidR="0017582D">
        <w:t xml:space="preserve">. </w:t>
      </w:r>
      <w:r w:rsidR="009442BC">
        <w:t xml:space="preserve">Jo bez sistēmu regulāras pielāgošanas, samazinās tās </w:t>
      </w:r>
      <w:r w:rsidR="0071112B">
        <w:t xml:space="preserve">funkcionalitāte, ņemot vērā kopējo tehnoloģiju attīstību. </w:t>
      </w:r>
    </w:p>
    <w:p w14:paraId="654F66D0" w14:textId="416B46E8" w:rsidR="00BD003E" w:rsidRDefault="00BD003E" w:rsidP="00E318AB">
      <w:r>
        <w:t>Lai arī materiāltehniskajam nodrošinājumam, kas iegādāts projektu ietvaros, tiek nodrošināta uztu</w:t>
      </w:r>
      <w:r w:rsidR="00AC58C7">
        <w:t xml:space="preserve">rēšana, tomēr finansējuma saņēmēji norāda uz potenciālu finanšu trūkumu gadījumos, kad šo aprīkojumu var nākties aizvietot, iestājoties tā nolietojumam </w:t>
      </w:r>
      <w:r w:rsidR="00135F21">
        <w:t xml:space="preserve">vai tam salūstot. </w:t>
      </w:r>
    </w:p>
    <w:p w14:paraId="76233C3D" w14:textId="7B50D9D7" w:rsidR="00E318AB" w:rsidRDefault="00E318AB" w:rsidP="00E318AB">
      <w:r w:rsidRPr="00DB751F">
        <w:t>Attiecībā uz cilvēkresursiem, lai arī projektu īstenošanas un administrēšanas jomā iestādes norāda uz pietiekamu kapacitāti, b</w:t>
      </w:r>
      <w:r w:rsidRPr="00AB2B16">
        <w:t xml:space="preserve">ūtisks izaicinājums ir cilvēkresursu pieejamība, īpaši </w:t>
      </w:r>
      <w:r w:rsidR="00135F21">
        <w:t>speciālistiem ar jomai specifiskām zināšanām</w:t>
      </w:r>
      <w:r w:rsidRPr="00AB2B16">
        <w:t xml:space="preserve">. </w:t>
      </w:r>
      <w:r w:rsidR="00135F21">
        <w:t xml:space="preserve">Piemēram, VUGD šobrīd strādā pie personāla politikas pilnveides, lai </w:t>
      </w:r>
      <w:r w:rsidR="00AB4BC4">
        <w:t xml:space="preserve">sekmētu nepieciešamo </w:t>
      </w:r>
      <w:r w:rsidR="0031476E">
        <w:t xml:space="preserve">cilvēkresursu </w:t>
      </w:r>
      <w:r w:rsidR="00AB4BC4">
        <w:t xml:space="preserve">piesaisti. </w:t>
      </w:r>
    </w:p>
    <w:tbl>
      <w:tblPr>
        <w:tblStyle w:val="Reatabula"/>
        <w:tblW w:w="0" w:type="auto"/>
        <w:shd w:val="clear" w:color="auto" w:fill="D8FBEB" w:themeFill="accent5" w:themeFillTint="33"/>
        <w:tblLook w:val="04A0" w:firstRow="1" w:lastRow="0" w:firstColumn="1" w:lastColumn="0" w:noHBand="0" w:noVBand="1"/>
      </w:tblPr>
      <w:tblGrid>
        <w:gridCol w:w="10252"/>
      </w:tblGrid>
      <w:tr w:rsidR="00E318AB" w:rsidRPr="008F64A0" w14:paraId="437CBCA7" w14:textId="77777777" w:rsidTr="00A239D8">
        <w:tc>
          <w:tcPr>
            <w:tcW w:w="10252" w:type="dxa"/>
            <w:shd w:val="clear" w:color="auto" w:fill="F3B8FF" w:themeFill="accent6" w:themeFillTint="33"/>
          </w:tcPr>
          <w:p w14:paraId="40CAE9EB" w14:textId="77777777" w:rsidR="00E318AB" w:rsidRPr="008F64A0" w:rsidRDefault="00E318AB" w:rsidP="00A239D8">
            <w:pPr>
              <w:rPr>
                <w:i/>
                <w:iCs/>
                <w:color w:val="5A5A5A" w:themeColor="accent1" w:themeTint="BF"/>
              </w:rPr>
            </w:pPr>
            <w:r w:rsidRPr="008F64A0">
              <w:rPr>
                <w:i/>
                <w:iCs/>
                <w:color w:val="5A5A5A" w:themeColor="accent1" w:themeTint="BF"/>
              </w:rPr>
              <w:t>Apakšjautājums: Kādi bija galvenie dalībvalsts pieņemtie pasākumi, lai nodrošinātu ar fonda atbalstu īstenoto projektu rezultātu ilgtspēju (gan programmu veidošanas, gan īstenošanas posmā)?</w:t>
            </w:r>
          </w:p>
        </w:tc>
      </w:tr>
    </w:tbl>
    <w:p w14:paraId="235E3C2B" w14:textId="79C1CFC5" w:rsidR="00E318AB" w:rsidRPr="00E44AC9" w:rsidRDefault="00E318AB" w:rsidP="00E318AB">
      <w:pPr>
        <w:rPr>
          <w:bCs/>
        </w:rPr>
      </w:pPr>
      <w:r w:rsidRPr="00E44AC9">
        <w:rPr>
          <w:bCs/>
        </w:rPr>
        <w:t>Ilgtspējas nodrošināšanai programmu veidošanas un īstenošanas posmā tika ieviesti vairāki būtiski pasākumi. Primāri tika nodrošināta projektu pēctecība starp plānošanas periodiem, īpaši akcentējot pāreju uz 2021</w:t>
      </w:r>
      <w:r w:rsidR="00543F39">
        <w:rPr>
          <w:bCs/>
        </w:rPr>
        <w:t>.</w:t>
      </w:r>
      <w:r w:rsidRPr="00E44AC9">
        <w:rPr>
          <w:bCs/>
        </w:rPr>
        <w:t>-2027.</w:t>
      </w:r>
      <w:r w:rsidR="00543F39">
        <w:rPr>
          <w:bCs/>
        </w:rPr>
        <w:t xml:space="preserve"> </w:t>
      </w:r>
      <w:r w:rsidRPr="00E44AC9">
        <w:rPr>
          <w:bCs/>
        </w:rPr>
        <w:t>gada plānošanas periodu</w:t>
      </w:r>
      <w:r>
        <w:rPr>
          <w:bCs/>
        </w:rPr>
        <w:t xml:space="preserve">, piemēram, pasākumiem, kas saistīti ar </w:t>
      </w:r>
      <w:r w:rsidR="00BD003E">
        <w:rPr>
          <w:bCs/>
        </w:rPr>
        <w:t>v</w:t>
      </w:r>
      <w:r w:rsidR="00BD003E" w:rsidRPr="00BD003E">
        <w:rPr>
          <w:bCs/>
        </w:rPr>
        <w:t>ienotas kriminālizlūkošanas sistēmas pilnveid</w:t>
      </w:r>
      <w:r w:rsidR="00BD003E">
        <w:rPr>
          <w:bCs/>
        </w:rPr>
        <w:t>i</w:t>
      </w:r>
      <w:r>
        <w:rPr>
          <w:bCs/>
        </w:rPr>
        <w:t xml:space="preserve">. </w:t>
      </w:r>
    </w:p>
    <w:p w14:paraId="71370DDE" w14:textId="332F2028" w:rsidR="00E318AB" w:rsidRPr="00E44AC9" w:rsidRDefault="00BD003E" w:rsidP="00E318AB">
      <w:pPr>
        <w:rPr>
          <w:bCs/>
        </w:rPr>
      </w:pPr>
      <w:r>
        <w:rPr>
          <w:bCs/>
        </w:rPr>
        <w:t>Infrastruktūras un m</w:t>
      </w:r>
      <w:r w:rsidR="00E318AB" w:rsidRPr="00E44AC9">
        <w:rPr>
          <w:bCs/>
        </w:rPr>
        <w:t>ateriāltehniskā nodrošinājum</w:t>
      </w:r>
      <w:r w:rsidR="00E318AB">
        <w:rPr>
          <w:bCs/>
        </w:rPr>
        <w:t xml:space="preserve">a ilgtspēja savukārt tie nodrošināta, finansējuma saņēmējiem turpinot ne tikai pastāvīgi izmantot projektos </w:t>
      </w:r>
      <w:r w:rsidR="00E318AB" w:rsidRPr="00E44AC9">
        <w:rPr>
          <w:bCs/>
        </w:rPr>
        <w:t>iegādāt</w:t>
      </w:r>
      <w:r w:rsidR="00E318AB">
        <w:rPr>
          <w:bCs/>
        </w:rPr>
        <w:t>o</w:t>
      </w:r>
      <w:r w:rsidR="00E318AB" w:rsidRPr="00E44AC9">
        <w:rPr>
          <w:bCs/>
        </w:rPr>
        <w:t xml:space="preserve"> aprīkojum</w:t>
      </w:r>
      <w:r w:rsidR="00E318AB">
        <w:rPr>
          <w:bCs/>
        </w:rPr>
        <w:t xml:space="preserve">u vai izveidoto infrastruktūru, bet </w:t>
      </w:r>
      <w:r w:rsidR="00E318AB" w:rsidRPr="00E44AC9">
        <w:rPr>
          <w:bCs/>
        </w:rPr>
        <w:t xml:space="preserve">arī </w:t>
      </w:r>
      <w:r>
        <w:rPr>
          <w:bCs/>
        </w:rPr>
        <w:t>plānojot tālāku attīstību un papildināšanu.</w:t>
      </w:r>
      <w:r w:rsidR="00E318AB" w:rsidRPr="00E44AC9">
        <w:rPr>
          <w:bCs/>
        </w:rPr>
        <w:t xml:space="preserve"> </w:t>
      </w:r>
    </w:p>
    <w:p w14:paraId="681BEC17" w14:textId="695EEF0D" w:rsidR="00E318AB" w:rsidRPr="00E44AC9" w:rsidRDefault="0031476E" w:rsidP="00E318AB">
      <w:pPr>
        <w:rPr>
          <w:bCs/>
        </w:rPr>
      </w:pPr>
      <w:r>
        <w:rPr>
          <w:bCs/>
        </w:rPr>
        <w:t>F</w:t>
      </w:r>
      <w:r w:rsidR="00E318AB">
        <w:rPr>
          <w:bCs/>
        </w:rPr>
        <w:t>inansējuma saņēmēji norāda arī uz cilvēkresursu kapacitātes celšanu. Vairākas iestādes 2014</w:t>
      </w:r>
      <w:r w:rsidR="00A23366">
        <w:rPr>
          <w:bCs/>
        </w:rPr>
        <w:t>.</w:t>
      </w:r>
      <w:r w:rsidR="00E318AB">
        <w:rPr>
          <w:bCs/>
        </w:rPr>
        <w:t>-2020.</w:t>
      </w:r>
      <w:r w:rsidR="00543F39">
        <w:rPr>
          <w:bCs/>
        </w:rPr>
        <w:t xml:space="preserve"> </w:t>
      </w:r>
      <w:r w:rsidR="00E318AB">
        <w:rPr>
          <w:bCs/>
        </w:rPr>
        <w:t>gada periodā ir īstenojušas pasākumus</w:t>
      </w:r>
      <w:r w:rsidR="00543F39">
        <w:rPr>
          <w:bCs/>
        </w:rPr>
        <w:t>,</w:t>
      </w:r>
      <w:r w:rsidR="00E318AB">
        <w:rPr>
          <w:bCs/>
        </w:rPr>
        <w:t xml:space="preserve"> lai palielinātu projektu ieviešanā iesaistīto cilvēkresursu kapacitāti</w:t>
      </w:r>
      <w:r>
        <w:rPr>
          <w:bCs/>
        </w:rPr>
        <w:t>, savukārt citas norāda, ka strādā pie cilvēkresursu piesaistes pasākumiem, lai mazinātu ar to saistītos riskus</w:t>
      </w:r>
      <w:r w:rsidR="00E318AB">
        <w:rPr>
          <w:bCs/>
        </w:rPr>
        <w:t>.</w:t>
      </w:r>
      <w:r>
        <w:rPr>
          <w:bCs/>
        </w:rPr>
        <w:t xml:space="preserve"> Vienlaikus, t</w:t>
      </w:r>
      <w:r w:rsidR="00E318AB">
        <w:rPr>
          <w:bCs/>
        </w:rPr>
        <w:t xml:space="preserve">urpinot īstenot projektus nākamajā plānošanas periodā, tiek sekmēta </w:t>
      </w:r>
      <w:r w:rsidR="00E318AB" w:rsidRPr="00E44AC9">
        <w:rPr>
          <w:bCs/>
        </w:rPr>
        <w:t>augsti kvalificētu speciālistu ar specifiskām zināšanām</w:t>
      </w:r>
      <w:r w:rsidR="00E318AB">
        <w:rPr>
          <w:bCs/>
        </w:rPr>
        <w:t xml:space="preserve"> pieejamība</w:t>
      </w:r>
      <w:r w:rsidR="00E318AB" w:rsidRPr="00E44AC9">
        <w:rPr>
          <w:bCs/>
        </w:rPr>
        <w:t>. Tādējādi tiek saglabātas un pilnveidotas uzkrātās zināšanas un profesionālās kompetences.</w:t>
      </w:r>
    </w:p>
    <w:tbl>
      <w:tblPr>
        <w:tblStyle w:val="Reatabula"/>
        <w:tblW w:w="0" w:type="auto"/>
        <w:shd w:val="clear" w:color="auto" w:fill="D8FBEB" w:themeFill="accent5" w:themeFillTint="33"/>
        <w:tblLook w:val="04A0" w:firstRow="1" w:lastRow="0" w:firstColumn="1" w:lastColumn="0" w:noHBand="0" w:noVBand="1"/>
      </w:tblPr>
      <w:tblGrid>
        <w:gridCol w:w="10252"/>
      </w:tblGrid>
      <w:tr w:rsidR="00E318AB" w:rsidRPr="008F64A0" w14:paraId="4EB486B1" w14:textId="77777777" w:rsidTr="00A239D8">
        <w:tc>
          <w:tcPr>
            <w:tcW w:w="10252" w:type="dxa"/>
            <w:shd w:val="clear" w:color="auto" w:fill="F3B8FF" w:themeFill="accent6" w:themeFillTint="33"/>
          </w:tcPr>
          <w:p w14:paraId="123D24AC" w14:textId="77777777" w:rsidR="00E318AB" w:rsidRPr="008F64A0" w:rsidRDefault="00E318AB" w:rsidP="00A239D8">
            <w:pPr>
              <w:rPr>
                <w:i/>
                <w:iCs/>
                <w:color w:val="5A5A5A" w:themeColor="accent1" w:themeTint="BF"/>
              </w:rPr>
            </w:pPr>
            <w:r w:rsidRPr="008F64A0">
              <w:rPr>
                <w:i/>
                <w:iCs/>
                <w:color w:val="5A5A5A" w:themeColor="accent1" w:themeTint="BF"/>
              </w:rPr>
              <w:t>Apakšjautājums: Kādi pasākumi tika veikti, lai nodrošinātu ilgtspējas pārbaudi programmu veidošanas un īstenošanas posmā?</w:t>
            </w:r>
          </w:p>
        </w:tc>
      </w:tr>
    </w:tbl>
    <w:p w14:paraId="2C26FF8F" w14:textId="0756F49C" w:rsidR="00D13E6D" w:rsidRDefault="00D13E6D" w:rsidP="00A239D8">
      <w:pPr>
        <w:rPr>
          <w:bCs/>
        </w:rPr>
      </w:pPr>
      <w:r>
        <w:rPr>
          <w:bCs/>
        </w:rPr>
        <w:t xml:space="preserve">Iesniedzot projektu iesniegumu formas, finansējuma saņēmējiem bija jāapraksta sagaidāma projekta ietekme, tai skaitā, ietverot arī projekta rezultātu ilgtspējas aprakstu. </w:t>
      </w:r>
      <w:r w:rsidR="00F61A31">
        <w:rPr>
          <w:bCs/>
        </w:rPr>
        <w:t xml:space="preserve">Tādējādi ilgtspējas aspekts ir ticis iekļauts projektu iesniegumu vērtēšanas posmā. </w:t>
      </w:r>
    </w:p>
    <w:p w14:paraId="6F26CB51" w14:textId="620B19EF" w:rsidR="00D13E6D" w:rsidRPr="005D6FA8" w:rsidRDefault="003826F9" w:rsidP="00A239D8">
      <w:pPr>
        <w:rPr>
          <w:bCs/>
        </w:rPr>
      </w:pPr>
      <w:r>
        <w:rPr>
          <w:bCs/>
        </w:rPr>
        <w:lastRenderedPageBreak/>
        <w:t>Arī g</w:t>
      </w:r>
      <w:r w:rsidR="00D13E6D">
        <w:rPr>
          <w:bCs/>
        </w:rPr>
        <w:t>ranta līguma noteikumi ietver pienākumu nodrošināt projektu rezultātu ilgtspēju. Tie ietver aizliegumu f</w:t>
      </w:r>
      <w:r w:rsidR="00D13E6D" w:rsidRPr="005D6FA8">
        <w:rPr>
          <w:bCs/>
        </w:rPr>
        <w:t xml:space="preserve">inansējuma saņēmējam pārdot, dāvināt vai kā citādi nodot trešajām personām </w:t>
      </w:r>
      <w:r w:rsidR="00D13E6D">
        <w:rPr>
          <w:bCs/>
        </w:rPr>
        <w:t>p</w:t>
      </w:r>
      <w:r w:rsidR="00D13E6D" w:rsidRPr="005D6FA8">
        <w:rPr>
          <w:bCs/>
        </w:rPr>
        <w:t>rojekt</w:t>
      </w:r>
      <w:r w:rsidR="00D13E6D">
        <w:rPr>
          <w:bCs/>
        </w:rPr>
        <w:t>u</w:t>
      </w:r>
      <w:r w:rsidR="00D13E6D" w:rsidRPr="005D6FA8">
        <w:rPr>
          <w:bCs/>
        </w:rPr>
        <w:t xml:space="preserve"> ietvaros iegādātos un radītos pamatlīdzekļus un nemateriālos ieguldījumus pēc Projekta īstenošanas beigām:</w:t>
      </w:r>
    </w:p>
    <w:p w14:paraId="3E52CF5F" w14:textId="7F338E14" w:rsidR="00D13E6D" w:rsidRPr="001147E4" w:rsidRDefault="00D13E6D" w:rsidP="00D13E6D">
      <w:pPr>
        <w:pStyle w:val="Sarakstarindkopa"/>
        <w:numPr>
          <w:ilvl w:val="0"/>
          <w:numId w:val="29"/>
        </w:numPr>
        <w:rPr>
          <w:bCs/>
        </w:rPr>
      </w:pPr>
      <w:r w:rsidRPr="001147E4">
        <w:rPr>
          <w:bCs/>
        </w:rPr>
        <w:t xml:space="preserve">vismaz 3 gadus attiecībā uz </w:t>
      </w:r>
      <w:r w:rsidR="00A24C07">
        <w:rPr>
          <w:bCs/>
        </w:rPr>
        <w:t>IKT</w:t>
      </w:r>
      <w:r w:rsidRPr="001147E4">
        <w:rPr>
          <w:bCs/>
        </w:rPr>
        <w:t xml:space="preserve"> aprīkojumu (neattiecas uz </w:t>
      </w:r>
      <w:r w:rsidR="00A24C07">
        <w:rPr>
          <w:bCs/>
        </w:rPr>
        <w:t>IKT</w:t>
      </w:r>
      <w:r w:rsidRPr="001147E4">
        <w:rPr>
          <w:bCs/>
        </w:rPr>
        <w:t xml:space="preserve"> aprīkojuma nodošanu </w:t>
      </w:r>
      <w:r w:rsidR="00207C65">
        <w:rPr>
          <w:bCs/>
        </w:rPr>
        <w:t>IeM IC</w:t>
      </w:r>
      <w:r w:rsidRPr="001147E4">
        <w:rPr>
          <w:bCs/>
        </w:rPr>
        <w:t xml:space="preserve"> Iekšlietu ministrijas resora ietvaros);</w:t>
      </w:r>
    </w:p>
    <w:p w14:paraId="09EA4D8D" w14:textId="77777777" w:rsidR="00D13E6D" w:rsidRPr="001147E4" w:rsidRDefault="00D13E6D" w:rsidP="00D13E6D">
      <w:pPr>
        <w:pStyle w:val="Sarakstarindkopa"/>
        <w:numPr>
          <w:ilvl w:val="0"/>
          <w:numId w:val="29"/>
        </w:numPr>
        <w:rPr>
          <w:bCs/>
        </w:rPr>
      </w:pPr>
      <w:r w:rsidRPr="001147E4">
        <w:rPr>
          <w:bCs/>
        </w:rPr>
        <w:t>vismaz 5 gadus attiecībā uz citiem aprīkojuma veidiem (piemēram, tehniskais aprīkojums, transportlīdzekļi);</w:t>
      </w:r>
    </w:p>
    <w:p w14:paraId="7CADCC1F" w14:textId="77777777" w:rsidR="00D13E6D" w:rsidRDefault="00D13E6D" w:rsidP="00D13E6D">
      <w:pPr>
        <w:pStyle w:val="Sarakstarindkopa"/>
        <w:numPr>
          <w:ilvl w:val="0"/>
          <w:numId w:val="29"/>
        </w:numPr>
        <w:rPr>
          <w:bCs/>
        </w:rPr>
      </w:pPr>
      <w:r w:rsidRPr="001147E4">
        <w:rPr>
          <w:bCs/>
        </w:rPr>
        <w:t>vismaz 10 gadus attiecībā uz ēkām.</w:t>
      </w:r>
    </w:p>
    <w:p w14:paraId="327CC06B" w14:textId="7FD4FE0C" w:rsidR="00D13E6D" w:rsidRDefault="00D13E6D" w:rsidP="00A239D8">
      <w:pPr>
        <w:rPr>
          <w:bCs/>
        </w:rPr>
      </w:pPr>
      <w:r>
        <w:rPr>
          <w:bCs/>
        </w:rPr>
        <w:t>Kā norāda atbildīgās iestādes pārstāvji, papildu pārbaudes, piemēram, pēc projektu īstenošanas attiecībā uz ilgtspējas nodrošināšanu netiek veiktas, jo finansējuma saņēmējiem ir saistošas granta līgumos ietvertās prasības. Situācijās, kad finansējuma saņēmējiem ir radušās problēmas ar kāda rezultāta ilgtspējas nodrošināšanu, piemēram, iegādātais aprīkojums ticis bojāts, tiek nodrošinātas konsultācijas par to, kā risināt radu</w:t>
      </w:r>
      <w:r w:rsidR="00FB16A7">
        <w:rPr>
          <w:bCs/>
        </w:rPr>
        <w:t>šos sarežģījumus</w:t>
      </w:r>
      <w:r>
        <w:rPr>
          <w:bCs/>
        </w:rPr>
        <w:t xml:space="preserve">. </w:t>
      </w:r>
    </w:p>
    <w:p w14:paraId="76EE85C9" w14:textId="4A44C9BE" w:rsidR="00D13E6D" w:rsidRPr="005C1763" w:rsidRDefault="00D13E6D" w:rsidP="00D13E6D">
      <w:pPr>
        <w:rPr>
          <w:bCs/>
        </w:rPr>
      </w:pPr>
      <w:r>
        <w:rPr>
          <w:bCs/>
        </w:rPr>
        <w:t>Vienlaikus, vērtējot jaunā 2021</w:t>
      </w:r>
      <w:r w:rsidR="00543F39">
        <w:rPr>
          <w:bCs/>
        </w:rPr>
        <w:t>.</w:t>
      </w:r>
      <w:r>
        <w:rPr>
          <w:bCs/>
        </w:rPr>
        <w:t>-2027.</w:t>
      </w:r>
      <w:r w:rsidR="00543F39">
        <w:rPr>
          <w:bCs/>
        </w:rPr>
        <w:t xml:space="preserve"> </w:t>
      </w:r>
      <w:r>
        <w:rPr>
          <w:bCs/>
        </w:rPr>
        <w:t xml:space="preserve">gada plānošanas perioda projektus, tiek pārbaudīts, vai projektos plānotās darbības neaizstāj tās, kurām vēl nepieciešamas nodrošināt ilgtspējas prasības iepriekš īstenotajos projektos. </w:t>
      </w:r>
    </w:p>
    <w:tbl>
      <w:tblPr>
        <w:tblStyle w:val="Reatabula"/>
        <w:tblW w:w="0" w:type="auto"/>
        <w:shd w:val="clear" w:color="auto" w:fill="D8FBEB" w:themeFill="accent5" w:themeFillTint="33"/>
        <w:tblLook w:val="04A0" w:firstRow="1" w:lastRow="0" w:firstColumn="1" w:lastColumn="0" w:noHBand="0" w:noVBand="1"/>
      </w:tblPr>
      <w:tblGrid>
        <w:gridCol w:w="10252"/>
      </w:tblGrid>
      <w:tr w:rsidR="00E318AB" w:rsidRPr="008F64A0" w14:paraId="769E370B" w14:textId="77777777" w:rsidTr="00A239D8">
        <w:tc>
          <w:tcPr>
            <w:tcW w:w="10252" w:type="dxa"/>
            <w:shd w:val="clear" w:color="auto" w:fill="F3B8FF" w:themeFill="accent6" w:themeFillTint="33"/>
          </w:tcPr>
          <w:p w14:paraId="34BDF64A" w14:textId="77777777" w:rsidR="00E318AB" w:rsidRPr="008F64A0" w:rsidRDefault="00E318AB" w:rsidP="00A239D8">
            <w:pPr>
              <w:rPr>
                <w:i/>
                <w:iCs/>
                <w:color w:val="5A5A5A" w:themeColor="accent1" w:themeTint="BF"/>
              </w:rPr>
            </w:pPr>
            <w:r w:rsidRPr="008F64A0">
              <w:rPr>
                <w:i/>
                <w:iCs/>
                <w:color w:val="5A5A5A" w:themeColor="accent1" w:themeTint="BF"/>
              </w:rPr>
              <w:t>Apakšjautājums: Cik lielā mērā ir sagaidāms, ka fonda atbalstīto darbību rezultāti/priekšrocības pastāvēs pēc atbalsta beigšanās?</w:t>
            </w:r>
          </w:p>
        </w:tc>
      </w:tr>
    </w:tbl>
    <w:p w14:paraId="2EB289BF" w14:textId="32DEECB1" w:rsidR="00E318AB" w:rsidRPr="00AB5F3A" w:rsidRDefault="00E318AB" w:rsidP="00E318AB">
      <w:pPr>
        <w:rPr>
          <w:bCs/>
        </w:rPr>
      </w:pPr>
      <w:r w:rsidRPr="00AB5F3A">
        <w:rPr>
          <w:bCs/>
        </w:rPr>
        <w:t>Projektu pozitīvā efekta turpināšanās pēc fonda atbalsta beigām ir iespējama, un kopumā riski rezultātu vai priekšrocību zudumam ir zemi. Tas skaidrojams ar to, ka fonda ietvaros īstenotās darbības galvenokārt vērstas uz konkrētu, taustāmu rezultātu sasniegšanu – IT sistēmu izstrādi, materiāltehniskā aprīkojuma iegādi</w:t>
      </w:r>
      <w:r w:rsidR="003D5D59">
        <w:rPr>
          <w:bCs/>
        </w:rPr>
        <w:t>, infrastruktūras izveidi</w:t>
      </w:r>
      <w:r w:rsidRPr="00AB5F3A">
        <w:rPr>
          <w:bCs/>
        </w:rPr>
        <w:t>. Šo rezultātu uzturēšana tiek nodrošināta no iestāžu budžeta līdzekļiem.</w:t>
      </w:r>
    </w:p>
    <w:p w14:paraId="4F9A27B7" w14:textId="3E6D3680" w:rsidR="0049533B" w:rsidRPr="002F46DA" w:rsidRDefault="00E318AB" w:rsidP="0049533B">
      <w:pPr>
        <w:rPr>
          <w:bCs/>
        </w:rPr>
      </w:pPr>
      <w:r w:rsidRPr="00AB5F3A">
        <w:rPr>
          <w:bCs/>
        </w:rPr>
        <w:t>Pozitīvi vērtējams, ka 2021</w:t>
      </w:r>
      <w:r w:rsidR="009F483F">
        <w:rPr>
          <w:bCs/>
        </w:rPr>
        <w:t>.</w:t>
      </w:r>
      <w:r w:rsidRPr="00AB5F3A">
        <w:rPr>
          <w:bCs/>
        </w:rPr>
        <w:t>-2027. gada</w:t>
      </w:r>
      <w:r w:rsidR="009F483F">
        <w:rPr>
          <w:bCs/>
        </w:rPr>
        <w:t xml:space="preserve"> plānošanas</w:t>
      </w:r>
      <w:r w:rsidRPr="00AB5F3A">
        <w:rPr>
          <w:bCs/>
        </w:rPr>
        <w:t xml:space="preserve"> perioda finansējums tiek izmantots, lai turpinātu attīstīt un paplašināt iepriekš sasniegtos rezultātus, tādējādi nodrošinot to ilgtspēju un pilnveidošanu.</w:t>
      </w:r>
      <w:r w:rsidR="002F46DA">
        <w:rPr>
          <w:bCs/>
        </w:rPr>
        <w:t xml:space="preserve"> Vienlaikus arī izveidotās apmācību infrastruktūras gan VUGD, gan OMEGA vajadzībām kontekstā tiek plānota šīs infrastruktūras tālāka attīstība, lai paplašinātu un papildinātu līdz šim sasniegtos rezultātus. </w:t>
      </w:r>
      <w:r w:rsidRPr="00AB5F3A">
        <w:rPr>
          <w:bCs/>
        </w:rPr>
        <w:t>Šāda pēctecīga pieeja stiprina projektu ilgtermiņa ietekmi un mazina riskus rezultātu zaudēšanai pēc konkrētā atbalsta perioda beigām.</w:t>
      </w:r>
    </w:p>
    <w:p w14:paraId="67F266E7" w14:textId="77777777" w:rsidR="0049533B" w:rsidRPr="008F64A0" w:rsidRDefault="0049533B" w:rsidP="00BF4167">
      <w:pPr>
        <w:pStyle w:val="Sarakstarindkopa"/>
        <w:numPr>
          <w:ilvl w:val="2"/>
          <w:numId w:val="42"/>
        </w:numPr>
        <w:rPr>
          <w:b/>
        </w:rPr>
      </w:pPr>
      <w:r w:rsidRPr="008F64A0">
        <w:rPr>
          <w:b/>
        </w:rPr>
        <w:t>Kritērijs “Administratīvā sloga vienkāršošana un samazināšana”</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36CB9175" w14:textId="77777777" w:rsidTr="00D40533">
        <w:tc>
          <w:tcPr>
            <w:tcW w:w="10252" w:type="dxa"/>
            <w:shd w:val="clear" w:color="auto" w:fill="82009B" w:themeFill="accent6"/>
          </w:tcPr>
          <w:p w14:paraId="59629A70" w14:textId="77777777" w:rsidR="0049533B" w:rsidRPr="008F64A0" w:rsidRDefault="0049533B" w:rsidP="00A239D8">
            <w:pPr>
              <w:rPr>
                <w:b/>
              </w:rPr>
            </w:pPr>
            <w:r w:rsidRPr="008F64A0">
              <w:rPr>
                <w:b/>
              </w:rPr>
              <w:t xml:space="preserve">Izvērtēšanas kritērija jautājums: </w:t>
            </w:r>
            <w:r w:rsidRPr="008F64A0">
              <w:rPr>
                <w:bCs/>
              </w:rPr>
              <w:t>  Vai fonda pārvaldes procedūras tika vienkāršotas un vai saņēmējiem tika samazināts administratīvais slogs?</w:t>
            </w:r>
          </w:p>
        </w:tc>
      </w:tr>
    </w:tbl>
    <w:p w14:paraId="755FB7A9" w14:textId="116EA0DA" w:rsidR="00DA6684" w:rsidRDefault="00F84DF9" w:rsidP="0049533B">
      <w:pPr>
        <w:rPr>
          <w:bCs/>
        </w:rPr>
      </w:pPr>
      <w:r>
        <w:rPr>
          <w:bCs/>
        </w:rPr>
        <w:t xml:space="preserve">Veikto interviju laikā </w:t>
      </w:r>
      <w:r w:rsidR="000B0C4A">
        <w:rPr>
          <w:bCs/>
        </w:rPr>
        <w:t>tika</w:t>
      </w:r>
      <w:r>
        <w:rPr>
          <w:bCs/>
        </w:rPr>
        <w:t xml:space="preserve"> identificēti </w:t>
      </w:r>
      <w:r w:rsidR="000B0C4A">
        <w:rPr>
          <w:bCs/>
        </w:rPr>
        <w:t xml:space="preserve">atsevišķi </w:t>
      </w:r>
      <w:r>
        <w:rPr>
          <w:bCs/>
        </w:rPr>
        <w:t xml:space="preserve">pasākumi Programmu administratīvā sloga mazināšanai </w:t>
      </w:r>
      <w:r w:rsidRPr="00485175">
        <w:rPr>
          <w:bCs/>
        </w:rPr>
        <w:t>2014</w:t>
      </w:r>
      <w:r w:rsidR="009F483F">
        <w:rPr>
          <w:bCs/>
        </w:rPr>
        <w:t>.</w:t>
      </w:r>
      <w:r w:rsidRPr="00485175">
        <w:rPr>
          <w:bCs/>
        </w:rPr>
        <w:t>-2020.</w:t>
      </w:r>
      <w:r w:rsidR="009F483F">
        <w:rPr>
          <w:bCs/>
        </w:rPr>
        <w:t xml:space="preserve"> </w:t>
      </w:r>
      <w:r w:rsidRPr="00485175">
        <w:rPr>
          <w:bCs/>
        </w:rPr>
        <w:t>gada plānošanas perioda ietvaros</w:t>
      </w:r>
      <w:r w:rsidR="000B0C4A">
        <w:rPr>
          <w:bCs/>
        </w:rPr>
        <w:t xml:space="preserve">. Tie </w:t>
      </w:r>
      <w:r w:rsidR="000B0C4A" w:rsidRPr="00485175">
        <w:rPr>
          <w:bCs/>
        </w:rPr>
        <w:t>ir bijuši saistīti ar pāreju uz elektronisko dokumentu apriti,</w:t>
      </w:r>
      <w:r w:rsidR="000B0C4A">
        <w:rPr>
          <w:bCs/>
        </w:rPr>
        <w:t xml:space="preserve"> kā arī</w:t>
      </w:r>
      <w:r w:rsidR="000B0C4A" w:rsidRPr="00485175">
        <w:rPr>
          <w:bCs/>
        </w:rPr>
        <w:t xml:space="preserve"> elastīgāku pieeju oficiālu grozījumu veikšanai, </w:t>
      </w:r>
      <w:r w:rsidR="000B0C4A">
        <w:rPr>
          <w:bCs/>
        </w:rPr>
        <w:t>piemēram, ļaujot nosūtīt informatīvu vēstuli par izmaiņām personāla</w:t>
      </w:r>
      <w:r w:rsidR="00CF2244">
        <w:rPr>
          <w:bCs/>
        </w:rPr>
        <w:t xml:space="preserve"> sastāvā</w:t>
      </w:r>
      <w:r w:rsidR="000B0C4A">
        <w:rPr>
          <w:bCs/>
        </w:rPr>
        <w:t xml:space="preserve">, neveicot grozījumus projektā. Vienlaikus tikusi nodrošināta </w:t>
      </w:r>
      <w:r w:rsidR="000B0C4A" w:rsidRPr="00485175">
        <w:rPr>
          <w:bCs/>
        </w:rPr>
        <w:t>iespēj</w:t>
      </w:r>
      <w:r w:rsidR="000B0C4A">
        <w:rPr>
          <w:bCs/>
        </w:rPr>
        <w:t>a</w:t>
      </w:r>
      <w:r w:rsidR="000B0C4A" w:rsidRPr="00485175">
        <w:rPr>
          <w:bCs/>
        </w:rPr>
        <w:t xml:space="preserve"> saskaņot atskaišu saturu</w:t>
      </w:r>
      <w:r w:rsidR="00CF2244">
        <w:rPr>
          <w:bCs/>
        </w:rPr>
        <w:t xml:space="preserve"> pirms to oficiālās iesniegšanas</w:t>
      </w:r>
      <w:r w:rsidR="000B0C4A" w:rsidRPr="00485175">
        <w:rPr>
          <w:bCs/>
        </w:rPr>
        <w:t>, lai sekmētu ātrāku apstiprināšanas procesu.</w:t>
      </w:r>
    </w:p>
    <w:p w14:paraId="12B80777" w14:textId="7496C6E0" w:rsidR="00EA0A6D" w:rsidRDefault="000B0C4A" w:rsidP="0049533B">
      <w:pPr>
        <w:rPr>
          <w:bCs/>
        </w:rPr>
      </w:pPr>
      <w:r>
        <w:rPr>
          <w:bCs/>
        </w:rPr>
        <w:t>Būtiski uzlabojumi administratīvā sloga mazināšanai</w:t>
      </w:r>
      <w:r w:rsidR="00F84DF9" w:rsidRPr="00485175">
        <w:rPr>
          <w:bCs/>
        </w:rPr>
        <w:t xml:space="preserve"> ir novēroti 2021</w:t>
      </w:r>
      <w:r w:rsidR="009F483F">
        <w:rPr>
          <w:bCs/>
        </w:rPr>
        <w:t>.</w:t>
      </w:r>
      <w:r w:rsidR="00F84DF9" w:rsidRPr="00485175">
        <w:rPr>
          <w:bCs/>
        </w:rPr>
        <w:t>-2027.</w:t>
      </w:r>
      <w:r w:rsidR="009F483F">
        <w:rPr>
          <w:bCs/>
        </w:rPr>
        <w:t xml:space="preserve"> </w:t>
      </w:r>
      <w:r w:rsidR="00F84DF9" w:rsidRPr="00485175">
        <w:rPr>
          <w:bCs/>
        </w:rPr>
        <w:t xml:space="preserve">gada plānošanas periodā. </w:t>
      </w:r>
      <w:r w:rsidR="00EA0A6D">
        <w:rPr>
          <w:bCs/>
        </w:rPr>
        <w:t xml:space="preserve">Tie ietver elastīgāku pieeju grozījumu veikšanai, samazinātu pamatojošās dokumentācijas apjomu, </w:t>
      </w:r>
      <w:r w:rsidR="004D7A25">
        <w:rPr>
          <w:bCs/>
        </w:rPr>
        <w:t xml:space="preserve">platformas nodrošināšanu pamatojošās dokumentācijas augšupielādei, kā arī </w:t>
      </w:r>
      <w:r w:rsidR="00595028">
        <w:rPr>
          <w:bCs/>
        </w:rPr>
        <w:t xml:space="preserve">plašākas konsultāciju iespējas ar uzraugošajām iestādēm projektu īstenošanas laikā. </w:t>
      </w:r>
    </w:p>
    <w:tbl>
      <w:tblPr>
        <w:tblStyle w:val="Reatabula"/>
        <w:tblW w:w="0" w:type="auto"/>
        <w:shd w:val="clear" w:color="auto" w:fill="D8FBEB" w:themeFill="accent5" w:themeFillTint="33"/>
        <w:tblLook w:val="04A0" w:firstRow="1" w:lastRow="0" w:firstColumn="1" w:lastColumn="0" w:noHBand="0" w:noVBand="1"/>
      </w:tblPr>
      <w:tblGrid>
        <w:gridCol w:w="10252"/>
      </w:tblGrid>
      <w:tr w:rsidR="0049533B" w:rsidRPr="008F64A0" w14:paraId="2C3CC1ED" w14:textId="77777777" w:rsidTr="00220E0C">
        <w:tc>
          <w:tcPr>
            <w:tcW w:w="10252" w:type="dxa"/>
            <w:tcBorders>
              <w:bottom w:val="single" w:sz="4" w:space="0" w:color="auto"/>
            </w:tcBorders>
            <w:shd w:val="clear" w:color="auto" w:fill="F3B8FF" w:themeFill="accent6" w:themeFillTint="33"/>
          </w:tcPr>
          <w:p w14:paraId="72C5E05A" w14:textId="77777777" w:rsidR="0049533B" w:rsidRPr="008F64A0" w:rsidRDefault="0049533B" w:rsidP="00A239D8">
            <w:pPr>
              <w:rPr>
                <w:i/>
                <w:iCs/>
                <w:color w:val="5A5A5A" w:themeColor="accent1" w:themeTint="BF"/>
              </w:rPr>
            </w:pPr>
            <w:r w:rsidRPr="008F64A0">
              <w:rPr>
                <w:i/>
                <w:iCs/>
                <w:color w:val="5A5A5A" w:themeColor="accent1" w:themeTint="BF"/>
              </w:rPr>
              <w:lastRenderedPageBreak/>
              <w:t>Apakšjautājums: Vai fonda ieviesto inovatīvo procedūru (vienkāršoto izmaksu iespēja, daudzgadu programmas, valsts atbilstības noteikumi, daudzpusīgākas un elastīgākas valsts programmas) rezultātā fonda finansējuma saņēmēji varēja baudīt vienkāršošanas priekšrocības?</w:t>
            </w:r>
          </w:p>
        </w:tc>
      </w:tr>
    </w:tbl>
    <w:p w14:paraId="39309ADB" w14:textId="33E53E0A" w:rsidR="000D78F6" w:rsidRDefault="00841597" w:rsidP="0049533B">
      <w:pPr>
        <w:rPr>
          <w:bCs/>
        </w:rPr>
      </w:pPr>
      <w:r>
        <w:rPr>
          <w:bCs/>
        </w:rPr>
        <w:t>Būtiskas priekšrocības Programmas projektu plānošanai</w:t>
      </w:r>
      <w:r w:rsidR="00833616">
        <w:rPr>
          <w:bCs/>
        </w:rPr>
        <w:t xml:space="preserve"> un elastīgākai pieejai ir devusi daudzgadu programmas ieviešana. Tas ļāvis ne tikai elastīgāk </w:t>
      </w:r>
      <w:r w:rsidR="00730CD7">
        <w:rPr>
          <w:bCs/>
        </w:rPr>
        <w:t xml:space="preserve">pielāgot Programmas aktivitātes, bet arī stratēģiskāk plānot projektu īstenošanu, </w:t>
      </w:r>
      <w:r w:rsidR="000B0C4A">
        <w:rPr>
          <w:bCs/>
        </w:rPr>
        <w:t xml:space="preserve">tai skaitā, ļaujot īstenot garākus projektus. </w:t>
      </w:r>
    </w:p>
    <w:p w14:paraId="31E863DC" w14:textId="5457AF97" w:rsidR="0049533B" w:rsidRDefault="004504A9" w:rsidP="0049533B">
      <w:pPr>
        <w:rPr>
          <w:bCs/>
        </w:rPr>
      </w:pPr>
      <w:r>
        <w:rPr>
          <w:bCs/>
        </w:rPr>
        <w:t>Vienlaikus k</w:t>
      </w:r>
      <w:r w:rsidR="00BF7DD7">
        <w:rPr>
          <w:bCs/>
        </w:rPr>
        <w:t>omunikācijā</w:t>
      </w:r>
      <w:r w:rsidR="003C19C1">
        <w:rPr>
          <w:bCs/>
        </w:rPr>
        <w:t xml:space="preserve"> ar finansējuma saņēmējiem netika identificētas inovatīvas procedūras, kas 2014</w:t>
      </w:r>
      <w:r w:rsidR="009F483F">
        <w:rPr>
          <w:bCs/>
        </w:rPr>
        <w:t>.</w:t>
      </w:r>
      <w:r w:rsidR="003C19C1">
        <w:rPr>
          <w:bCs/>
        </w:rPr>
        <w:t>-2020.</w:t>
      </w:r>
      <w:r w:rsidR="009F483F">
        <w:rPr>
          <w:bCs/>
        </w:rPr>
        <w:t xml:space="preserve"> </w:t>
      </w:r>
      <w:r w:rsidR="003C19C1">
        <w:rPr>
          <w:bCs/>
        </w:rPr>
        <w:t xml:space="preserve">gada </w:t>
      </w:r>
      <w:r w:rsidR="009F483F">
        <w:rPr>
          <w:bCs/>
        </w:rPr>
        <w:t xml:space="preserve">plānošanas </w:t>
      </w:r>
      <w:r w:rsidR="003C19C1">
        <w:rPr>
          <w:bCs/>
        </w:rPr>
        <w:t xml:space="preserve">periodā būtu vienkāršojušas administratīvos procesus. </w:t>
      </w:r>
    </w:p>
    <w:p w14:paraId="6727F91B" w14:textId="038C660A" w:rsidR="00F61A31" w:rsidRDefault="00F61A31">
      <w:pPr>
        <w:spacing w:before="0" w:line="259" w:lineRule="auto"/>
        <w:jc w:val="left"/>
        <w:rPr>
          <w:bCs/>
        </w:rPr>
      </w:pPr>
      <w:r>
        <w:rPr>
          <w:bCs/>
        </w:rPr>
        <w:br w:type="page"/>
      </w:r>
    </w:p>
    <w:p w14:paraId="2269B9B5" w14:textId="2D60DDA1" w:rsidR="00113D73" w:rsidRPr="008F64A0" w:rsidRDefault="001A4B1B" w:rsidP="00BF4167">
      <w:pPr>
        <w:pStyle w:val="Virsraksts1"/>
        <w:numPr>
          <w:ilvl w:val="0"/>
          <w:numId w:val="42"/>
        </w:numPr>
      </w:pPr>
      <w:bookmarkStart w:id="98" w:name="_Toc193371310"/>
      <w:r w:rsidRPr="008F64A0">
        <w:lastRenderedPageBreak/>
        <w:t>IZVĒRTĒJUMA SECINĀJUMI</w:t>
      </w:r>
      <w:r w:rsidR="00EC6F85">
        <w:t xml:space="preserve"> UN ATZIŅAS</w:t>
      </w:r>
      <w:bookmarkEnd w:id="98"/>
    </w:p>
    <w:p w14:paraId="156C8DD9" w14:textId="37211EAE" w:rsidR="00BB184F" w:rsidRDefault="00061AEC" w:rsidP="00BF4167">
      <w:pPr>
        <w:pStyle w:val="Virsraksts2"/>
        <w:numPr>
          <w:ilvl w:val="1"/>
          <w:numId w:val="42"/>
        </w:numPr>
      </w:pPr>
      <w:bookmarkStart w:id="99" w:name="_Toc193371311"/>
      <w:r w:rsidRPr="008F64A0">
        <w:t>P</w:t>
      </w:r>
      <w:r w:rsidR="00F10B5C">
        <w:t>atvēruma, migrācijas un integrācijas fond</w:t>
      </w:r>
      <w:r w:rsidR="004F7679">
        <w:t>a secinājumi un atziņas</w:t>
      </w:r>
      <w:bookmarkEnd w:id="99"/>
    </w:p>
    <w:p w14:paraId="33D0529C" w14:textId="59721B24" w:rsidR="00F10B5C" w:rsidRPr="00F479A9" w:rsidRDefault="00F10B5C" w:rsidP="00F10B5C">
      <w:r w:rsidRPr="00F479A9">
        <w:t>PMIF ietvaros īstenotie pasākumi ir bijuši vērsti uz patvēruma sistēmas stiprināšanu, atbalst</w:t>
      </w:r>
      <w:r w:rsidR="00422261">
        <w:t>a mehānismu pilnveidošanu</w:t>
      </w:r>
      <w:r w:rsidRPr="00F479A9">
        <w:t xml:space="preserve"> likumīgai migrācijai un TVP integrācijai, kā arī taisnīgu un efektīvu atgriešan</w:t>
      </w:r>
      <w:r w:rsidR="002D3B26">
        <w:t>as</w:t>
      </w:r>
      <w:r w:rsidRPr="00F479A9">
        <w:t xml:space="preserve"> stratēģiju </w:t>
      </w:r>
      <w:r w:rsidR="002D3B26">
        <w:t>izstrādi un ieviešanu</w:t>
      </w:r>
      <w:r w:rsidRPr="00F479A9">
        <w:t>. PMIF ietvaros īstenoti 62 projekti, no kuriem</w:t>
      </w:r>
      <w:r w:rsidR="002D3B26">
        <w:t xml:space="preserve"> vairāk nekā puse</w:t>
      </w:r>
      <w:r w:rsidR="00341E30">
        <w:t xml:space="preserve"> (</w:t>
      </w:r>
      <w:r w:rsidRPr="00F479A9">
        <w:t>36</w:t>
      </w:r>
      <w:r w:rsidR="00554E40">
        <w:t xml:space="preserve"> projekti)</w:t>
      </w:r>
      <w:r w:rsidRPr="00F479A9">
        <w:t xml:space="preserve"> īstenoti deleģētās iestādes pārraudzībā. </w:t>
      </w:r>
    </w:p>
    <w:p w14:paraId="59FDEE42" w14:textId="77777777" w:rsidR="00F10B5C" w:rsidRPr="00F479A9" w:rsidRDefault="00F10B5C" w:rsidP="00F10B5C">
      <w:pPr>
        <w:rPr>
          <w:b/>
          <w:bCs/>
        </w:rPr>
      </w:pPr>
      <w:r w:rsidRPr="00F479A9">
        <w:rPr>
          <w:b/>
          <w:bCs/>
        </w:rPr>
        <w:t>Efektivitāte</w:t>
      </w:r>
    </w:p>
    <w:p w14:paraId="1344E683" w14:textId="6ECCC1B7" w:rsidR="00A73054" w:rsidRDefault="00F10B5C" w:rsidP="00F10B5C">
      <w:r w:rsidRPr="00F479A9">
        <w:t xml:space="preserve">PMIF ietvaros īstenotās aktivitātes ir sekmīgi veicinājušas izvirzīto mērķu sasniegšanu. To apliecina </w:t>
      </w:r>
      <w:r w:rsidR="001640F0">
        <w:t xml:space="preserve"> Programmas </w:t>
      </w:r>
      <w:r w:rsidRPr="00F479A9">
        <w:t>definēto rezultatīvo rādītāju progress</w:t>
      </w:r>
      <w:r w:rsidR="000435AB">
        <w:t xml:space="preserve">, kas ir bijis ievērojams - </w:t>
      </w:r>
      <w:r w:rsidRPr="00F479A9">
        <w:t xml:space="preserve">lielākā daļa </w:t>
      </w:r>
      <w:r w:rsidR="009D4680">
        <w:t xml:space="preserve">no sākotnēji definētajiem rādītājiem </w:t>
      </w:r>
      <w:r w:rsidRPr="00F479A9">
        <w:t xml:space="preserve">ir </w:t>
      </w:r>
      <w:r w:rsidR="009D4680">
        <w:t xml:space="preserve">vai nu pilnībā </w:t>
      </w:r>
      <w:r w:rsidRPr="00F479A9">
        <w:t>sasniegt</w:t>
      </w:r>
      <w:r w:rsidR="009D4680">
        <w:t>i</w:t>
      </w:r>
      <w:r w:rsidRPr="00F479A9">
        <w:t xml:space="preserve"> vai </w:t>
      </w:r>
      <w:r w:rsidR="00E06BCD">
        <w:t xml:space="preserve">pat </w:t>
      </w:r>
      <w:r w:rsidRPr="00F479A9">
        <w:t>pārsniegt</w:t>
      </w:r>
      <w:r w:rsidR="009D4680">
        <w:t>i</w:t>
      </w:r>
      <w:r w:rsidR="00E06BCD">
        <w:t>. Būtisks ieguldījums</w:t>
      </w:r>
      <w:r w:rsidR="001559F9">
        <w:t xml:space="preserve"> kopējo mērķu sasniegšanā ir bijis arī tiem </w:t>
      </w:r>
      <w:r w:rsidRPr="00F479A9">
        <w:t xml:space="preserve">papildu projekti, kuriem nav tikuši definēti </w:t>
      </w:r>
      <w:r w:rsidR="00B85ED8">
        <w:t>specifiski</w:t>
      </w:r>
      <w:r w:rsidRPr="00F479A9">
        <w:t xml:space="preserve"> rezultatīvie rādītāji, bet k</w:t>
      </w:r>
      <w:r w:rsidR="00B85ED8">
        <w:t>uri ir</w:t>
      </w:r>
      <w:r w:rsidRPr="00F479A9">
        <w:t xml:space="preserve"> devuši </w:t>
      </w:r>
      <w:r w:rsidR="00765AA3">
        <w:t>nozīmīgu pienesumu</w:t>
      </w:r>
      <w:r w:rsidRPr="00F479A9">
        <w:t xml:space="preserve"> kopējo mērķu sasniegšanā. </w:t>
      </w:r>
    </w:p>
    <w:p w14:paraId="04A6F535" w14:textId="6D66FC28" w:rsidR="00F10B5C" w:rsidRPr="00F479A9" w:rsidRDefault="00F10B5C" w:rsidP="00F10B5C">
      <w:r w:rsidRPr="00F479A9">
        <w:t>Š</w:t>
      </w:r>
      <w:r w:rsidR="00A73054">
        <w:t xml:space="preserve">o papildu projektu </w:t>
      </w:r>
      <w:r w:rsidR="002E421E">
        <w:t xml:space="preserve">ietvaros īstenoti vairāki </w:t>
      </w:r>
      <w:r w:rsidRPr="00F479A9">
        <w:t>infrastruktūras uzlabojum</w:t>
      </w:r>
      <w:r w:rsidR="002E421E">
        <w:t>i</w:t>
      </w:r>
      <w:r w:rsidRPr="00F479A9">
        <w:t xml:space="preserve"> un institucionālās kapacitātes pilnveides pasākum</w:t>
      </w:r>
      <w:r w:rsidR="00FA10CD">
        <w:t>i, kas stiprinājuši patvēruma un migrācijas pārvaldības sistēmas funkcionalitāti kopumā.</w:t>
      </w:r>
      <w:r w:rsidR="00E31166">
        <w:t xml:space="preserve"> </w:t>
      </w:r>
      <w:r w:rsidR="00FA10CD">
        <w:t xml:space="preserve">Pozitīvu novērtējumu par programmas efektivitāti apstiprina </w:t>
      </w:r>
      <w:r w:rsidRPr="00F479A9">
        <w:t>arī PMIF finansējuma saņēmēj</w:t>
      </w:r>
      <w:r w:rsidR="002157A5">
        <w:t xml:space="preserve">u viedoklis </w:t>
      </w:r>
      <w:r w:rsidR="004258C2">
        <w:t>-</w:t>
      </w:r>
      <w:r w:rsidR="002157A5">
        <w:t xml:space="preserve"> </w:t>
      </w:r>
      <w:r w:rsidRPr="00F479A9">
        <w:t>74</w:t>
      </w:r>
      <w:r w:rsidR="00EF05F6">
        <w:t xml:space="preserve"> </w:t>
      </w:r>
      <w:r w:rsidRPr="00F479A9">
        <w:t>%</w:t>
      </w:r>
      <w:r w:rsidR="002157A5">
        <w:t xml:space="preserve"> no viņiem</w:t>
      </w:r>
      <w:r w:rsidRPr="00F479A9">
        <w:t xml:space="preserve"> norāda, ka </w:t>
      </w:r>
      <w:r w:rsidR="009073F4">
        <w:t xml:space="preserve">projektu </w:t>
      </w:r>
      <w:r w:rsidRPr="00F479A9">
        <w:t>mērķi ir sasniegti pilnībā, bet 16</w:t>
      </w:r>
      <w:r w:rsidR="00E31166">
        <w:t xml:space="preserve"> </w:t>
      </w:r>
      <w:r w:rsidRPr="00F479A9">
        <w:t xml:space="preserve">% </w:t>
      </w:r>
      <w:r w:rsidR="009073F4">
        <w:t>finansējuma saņēmēju atzīmē</w:t>
      </w:r>
      <w:r w:rsidR="00600862">
        <w:t>, ka</w:t>
      </w:r>
      <w:r w:rsidRPr="00F479A9">
        <w:t xml:space="preserve"> tie ir daļēji sasniegti un </w:t>
      </w:r>
      <w:r w:rsidR="000A5F3F">
        <w:t xml:space="preserve">attiecīgās </w:t>
      </w:r>
      <w:r w:rsidRPr="00F479A9">
        <w:t xml:space="preserve">aktivitātes tiek </w:t>
      </w:r>
      <w:r w:rsidR="000A5F3F">
        <w:t xml:space="preserve">mērķtiecīgi </w:t>
      </w:r>
      <w:r w:rsidRPr="00F479A9">
        <w:t>turpinātas 2021.–2027. gada plānošanas periodā.</w:t>
      </w:r>
    </w:p>
    <w:p w14:paraId="14199DF1" w14:textId="77777777" w:rsidR="00F10B5C" w:rsidRPr="00F479A9" w:rsidRDefault="00F10B5C" w:rsidP="00F10B5C">
      <w:r w:rsidRPr="00F479A9">
        <w:t>PMIF rezultātā ir novērojami šādi sasniegumi un progress:</w:t>
      </w:r>
    </w:p>
    <w:p w14:paraId="35CCD60E" w14:textId="77777777" w:rsidR="00F10B5C" w:rsidRPr="00F479A9" w:rsidRDefault="00F10B5C" w:rsidP="00F10B5C">
      <w:pPr>
        <w:pStyle w:val="Sarakstarindkopa"/>
        <w:numPr>
          <w:ilvl w:val="0"/>
          <w:numId w:val="43"/>
        </w:numPr>
        <w:spacing w:after="160"/>
      </w:pPr>
      <w:r w:rsidRPr="00F479A9">
        <w:rPr>
          <w:bCs/>
        </w:rPr>
        <w:t>Stiprināta kopējā patvēruma sistēma, pilnveidojot patvēruma procedūras un izmitināšanas pieeju, veicot normatīvā regulējuma uzlabojumus, tostarp skaidri nodalot valsts budžeta un projekta līdzekļus, kā arī paplašinot patvēruma meklētājiem pieejamo pakalpojumu klāstu.</w:t>
      </w:r>
    </w:p>
    <w:p w14:paraId="0E3CB713" w14:textId="77777777" w:rsidR="00F10B5C" w:rsidRPr="00F479A9" w:rsidRDefault="00F10B5C" w:rsidP="00F10B5C">
      <w:pPr>
        <w:pStyle w:val="Sarakstarindkopa"/>
        <w:numPr>
          <w:ilvl w:val="0"/>
          <w:numId w:val="43"/>
        </w:numPr>
        <w:spacing w:after="160"/>
      </w:pPr>
      <w:r w:rsidRPr="00F479A9">
        <w:rPr>
          <w:bCs/>
        </w:rPr>
        <w:t>Uzlabota patvēruma procedūru kvalitāte un ātrums, pilnveidojot procedūras un lēmumu pieņemšanas procesu, kā arī ieviešot modernākus IKT risinājumus.</w:t>
      </w:r>
    </w:p>
    <w:p w14:paraId="4A47FB2A" w14:textId="77777777" w:rsidR="00F10B5C" w:rsidRPr="00F479A9" w:rsidRDefault="00F10B5C" w:rsidP="00F10B5C">
      <w:pPr>
        <w:pStyle w:val="Sarakstarindkopa"/>
        <w:numPr>
          <w:ilvl w:val="0"/>
          <w:numId w:val="43"/>
        </w:numPr>
        <w:spacing w:after="160"/>
      </w:pPr>
      <w:r w:rsidRPr="00F479A9">
        <w:rPr>
          <w:bCs/>
        </w:rPr>
        <w:t>Attīstīta sistēmiska pieeja ar integrāciju saistīto pakalpojumu nodrošināšanai, ieviešot "vienas pieturas aģentūras" principu, nodrošinot integrācijas pasākumu ģeogrāfisko pārklājumu un veicinot starpinstitucionālo sadarbību migrācijas jautājumos, tostarp uzlabojot informācijas un datu apmaiņu.</w:t>
      </w:r>
    </w:p>
    <w:p w14:paraId="467B5AFD" w14:textId="77777777" w:rsidR="00F10B5C" w:rsidRPr="00F479A9" w:rsidRDefault="00F10B5C" w:rsidP="00F10B5C">
      <w:pPr>
        <w:pStyle w:val="Sarakstarindkopa"/>
        <w:numPr>
          <w:ilvl w:val="0"/>
          <w:numId w:val="43"/>
        </w:numPr>
        <w:spacing w:after="160"/>
      </w:pPr>
      <w:r w:rsidRPr="00F479A9">
        <w:rPr>
          <w:bCs/>
        </w:rPr>
        <w:t xml:space="preserve">Nodrošināts plašs integrācijas pasākumu kopums, kas ietvēra latviešu valodas apmācību un kulturorientācijas pasākumus TVP. </w:t>
      </w:r>
    </w:p>
    <w:p w14:paraId="055E88DC" w14:textId="566EC63F" w:rsidR="00F10B5C" w:rsidRPr="00F479A9" w:rsidRDefault="00F10B5C" w:rsidP="00F10B5C">
      <w:pPr>
        <w:pStyle w:val="Sarakstarindkopa"/>
        <w:numPr>
          <w:ilvl w:val="0"/>
          <w:numId w:val="43"/>
        </w:numPr>
        <w:spacing w:after="160"/>
      </w:pPr>
      <w:r w:rsidRPr="00F479A9">
        <w:rPr>
          <w:bCs/>
        </w:rPr>
        <w:t>Stiprināta VRS kapacitāte, lai pilnveidotu atgriešanās procedūru nodrošināšanu</w:t>
      </w:r>
      <w:r w:rsidR="006A6C72">
        <w:rPr>
          <w:bCs/>
        </w:rPr>
        <w:t>.</w:t>
      </w:r>
    </w:p>
    <w:p w14:paraId="16B51772" w14:textId="72B84097" w:rsidR="00F10B5C" w:rsidRPr="00F479A9" w:rsidRDefault="00F10B5C" w:rsidP="00F10B5C">
      <w:pPr>
        <w:pStyle w:val="Sarakstarindkopa"/>
        <w:numPr>
          <w:ilvl w:val="0"/>
          <w:numId w:val="43"/>
        </w:numPr>
        <w:spacing w:after="160"/>
      </w:pPr>
      <w:r w:rsidRPr="00F479A9">
        <w:rPr>
          <w:bCs/>
        </w:rPr>
        <w:t>Sniegts atbalsts brīvprātīgās atgriešanas pasākumiem, kas ietvēra arī integrācijas pasākumus TVP viņu izcelsmes valstīs</w:t>
      </w:r>
      <w:r w:rsidR="006A6C72">
        <w:rPr>
          <w:bCs/>
        </w:rPr>
        <w:t>.</w:t>
      </w:r>
    </w:p>
    <w:p w14:paraId="3C513ABE" w14:textId="77777777" w:rsidR="00F10B5C" w:rsidRPr="00F479A9" w:rsidRDefault="00F10B5C" w:rsidP="00F10B5C">
      <w:r w:rsidRPr="00F479A9">
        <w:t>Lai veicinātu šo pasākumu efektivitāti arī nākotnē, tiek identificēti divi galvenie aspekti. Viens no tiem ir risināms valstiskā līmenī un saistīts ar dažādu integrācijas pasākumu sadrumstalotību. Lai veicinātu vienotu pieeju un resursu efektīvu izmantošanu, tiek rekomendēts nodrošināt valstiskā līmenī stratēģiskāku un plānveidīgāku pieeju starp dažādām iesaistītajām pusēm, tādējādi novēršot pasākumu pārklāšanos.</w:t>
      </w:r>
    </w:p>
    <w:p w14:paraId="13476C0F" w14:textId="52378805" w:rsidR="00F10B5C" w:rsidRPr="00F479A9" w:rsidRDefault="00F10B5C" w:rsidP="00F10B5C">
      <w:r w:rsidRPr="00F479A9">
        <w:t xml:space="preserve">Ņemot vērā, ka, </w:t>
      </w:r>
      <w:r w:rsidR="00107D3D">
        <w:t xml:space="preserve">alternatīvais </w:t>
      </w:r>
      <w:r w:rsidR="00D35D9D">
        <w:t>finansējums</w:t>
      </w:r>
      <w:r w:rsidR="00107D3D">
        <w:t xml:space="preserve"> noteiktām intervences jomām</w:t>
      </w:r>
      <w:r w:rsidR="00D35D9D">
        <w:t xml:space="preserve">, </w:t>
      </w:r>
      <w:r w:rsidRPr="00F479A9">
        <w:t>piemēram, brīvprātīgās atgriešanās pasākumiem vai integrācijas iniciatīvām</w:t>
      </w:r>
      <w:r w:rsidR="00D35D9D">
        <w:t xml:space="preserve">, </w:t>
      </w:r>
      <w:r w:rsidRPr="00F479A9">
        <w:t xml:space="preserve">ir </w:t>
      </w:r>
      <w:r w:rsidR="00D35D9D">
        <w:t xml:space="preserve">būtiski </w:t>
      </w:r>
      <w:r w:rsidRPr="00F479A9">
        <w:t>ierobežots, ir īpaši svarīgi nodrošināt sniegtā atbalsta nepārtrauktību</w:t>
      </w:r>
      <w:r w:rsidR="006D05E0">
        <w:t xml:space="preserve"> starp plānošanas periodiem</w:t>
      </w:r>
      <w:r w:rsidRPr="00F479A9">
        <w:t xml:space="preserve">. </w:t>
      </w:r>
      <w:r w:rsidR="006D05E0">
        <w:t>Šis aspekts ir</w:t>
      </w:r>
      <w:r w:rsidRPr="00F479A9">
        <w:t xml:space="preserve"> </w:t>
      </w:r>
      <w:r w:rsidR="00A656F1">
        <w:t xml:space="preserve">īpaši </w:t>
      </w:r>
      <w:r w:rsidRPr="00F479A9">
        <w:t>nozīmīgi latviešu valodas apguves kontekstā, jo</w:t>
      </w:r>
      <w:r w:rsidR="00A656F1">
        <w:t xml:space="preserve"> finansējuma</w:t>
      </w:r>
      <w:r w:rsidRPr="00F479A9">
        <w:t xml:space="preserve"> pārtraukum</w:t>
      </w:r>
      <w:r w:rsidR="00A656F1">
        <w:t>s</w:t>
      </w:r>
      <w:r w:rsidRPr="00F479A9">
        <w:t xml:space="preserve"> rada </w:t>
      </w:r>
      <w:r w:rsidR="00372797">
        <w:t>divējādu risku – pirmkārt,</w:t>
      </w:r>
      <w:r w:rsidRPr="00F479A9">
        <w:t xml:space="preserve"> mērķa grupas pārstāvji</w:t>
      </w:r>
      <w:r w:rsidR="006C4DBB">
        <w:t xml:space="preserve"> var</w:t>
      </w:r>
      <w:r w:rsidRPr="00F479A9">
        <w:t xml:space="preserve"> zaudē</w:t>
      </w:r>
      <w:r w:rsidR="006C4DBB">
        <w:t>t</w:t>
      </w:r>
      <w:r w:rsidRPr="00F479A9">
        <w:t xml:space="preserve"> jau iegūtās valodas prasmes </w:t>
      </w:r>
      <w:r w:rsidR="006C4DBB">
        <w:t xml:space="preserve">pārtraukuma periodā, </w:t>
      </w:r>
      <w:r w:rsidRPr="00F479A9">
        <w:t>un</w:t>
      </w:r>
      <w:r w:rsidR="006C4DBB">
        <w:t>, otrkārt,</w:t>
      </w:r>
      <w:r w:rsidR="00A222E6">
        <w:t xml:space="preserve"> motivācijas trūkuma dēļ viņi var</w:t>
      </w:r>
      <w:r w:rsidRPr="00F479A9">
        <w:t xml:space="preserve"> nevēlē</w:t>
      </w:r>
      <w:r w:rsidR="00A222E6">
        <w:t>t</w:t>
      </w:r>
      <w:r w:rsidRPr="00F479A9">
        <w:t xml:space="preserve">ies </w:t>
      </w:r>
      <w:r w:rsidRPr="00F479A9">
        <w:lastRenderedPageBreak/>
        <w:t xml:space="preserve">vai </w:t>
      </w:r>
      <w:r w:rsidR="00A222E6">
        <w:t xml:space="preserve">objektīvi </w:t>
      </w:r>
      <w:r w:rsidRPr="00F479A9">
        <w:t>nespē</w:t>
      </w:r>
      <w:r w:rsidR="00A222E6">
        <w:t>t</w:t>
      </w:r>
      <w:r w:rsidR="001220FE">
        <w:t xml:space="preserve"> atsākt</w:t>
      </w:r>
      <w:r w:rsidR="00754DE0">
        <w:t xml:space="preserve"> valodas apguvi</w:t>
      </w:r>
      <w:r w:rsidRPr="00F479A9">
        <w:t xml:space="preserve"> nākamajā </w:t>
      </w:r>
      <w:r w:rsidR="00754DE0">
        <w:t xml:space="preserve">kompetences </w:t>
      </w:r>
      <w:r w:rsidRPr="00F479A9">
        <w:t>līmenī, kad atbalst</w:t>
      </w:r>
      <w:r w:rsidR="00754DE0">
        <w:t>a finansējums</w:t>
      </w:r>
      <w:r w:rsidRPr="00F479A9">
        <w:t xml:space="preserve"> atkal </w:t>
      </w:r>
      <w:r w:rsidR="001E77D9">
        <w:t>kļūtu</w:t>
      </w:r>
      <w:r w:rsidRPr="00F479A9">
        <w:t xml:space="preserve"> pieejams.</w:t>
      </w:r>
      <w:r w:rsidR="001E77D9">
        <w:t xml:space="preserve"> Tādējādi finansējuma pēctecības nodrošināšana ir būtisks priekšnosacījums ilgtspējīgu integrācijas rezultātu sasniegšanai.</w:t>
      </w:r>
    </w:p>
    <w:p w14:paraId="3609378B" w14:textId="77777777" w:rsidR="00F10B5C" w:rsidRPr="00F479A9" w:rsidRDefault="00F10B5C" w:rsidP="00F10B5C">
      <w:pPr>
        <w:rPr>
          <w:b/>
          <w:bCs/>
        </w:rPr>
      </w:pPr>
      <w:r w:rsidRPr="00F479A9">
        <w:rPr>
          <w:b/>
          <w:bCs/>
        </w:rPr>
        <w:t>Lietderība</w:t>
      </w:r>
    </w:p>
    <w:p w14:paraId="1AA49CE6" w14:textId="3348E305" w:rsidR="00F10B5C" w:rsidRPr="00F479A9" w:rsidRDefault="00F10B5C" w:rsidP="00F10B5C">
      <w:r w:rsidRPr="00F479A9">
        <w:t>Finansējuma apguves rādītāji liecina par samērā pilnvērtīgu finansējuma izmantošanu</w:t>
      </w:r>
      <w:r w:rsidR="0003239B">
        <w:t>, sasniedzot</w:t>
      </w:r>
      <w:r w:rsidRPr="00F479A9">
        <w:t xml:space="preserve"> 92</w:t>
      </w:r>
      <w:r w:rsidR="003908DA">
        <w:t xml:space="preserve"> </w:t>
      </w:r>
      <w:r w:rsidRPr="00F479A9">
        <w:t>%</w:t>
      </w:r>
      <w:r w:rsidR="00717F69">
        <w:t xml:space="preserve"> no pieejamā finansējuma</w:t>
      </w:r>
      <w:r w:rsidRPr="00F479A9">
        <w:t xml:space="preserve"> ap</w:t>
      </w:r>
      <w:r w:rsidR="00717F69">
        <w:t>joma</w:t>
      </w:r>
      <w:r w:rsidRPr="00F479A9">
        <w:t>. Finansējuma saņēmēju ieskatā piešķirtais finansējums ir bijis pilnībā atbilstošs sasniedzamajiem rezultātiem (79</w:t>
      </w:r>
      <w:r w:rsidR="003908DA">
        <w:t xml:space="preserve"> </w:t>
      </w:r>
      <w:r w:rsidRPr="00F479A9">
        <w:t>%) vai daļēji atbilstošs (11</w:t>
      </w:r>
      <w:r w:rsidR="003908DA">
        <w:t xml:space="preserve"> </w:t>
      </w:r>
      <w:r w:rsidRPr="00F479A9">
        <w:t>%). Projektu aktivitāšu īstenošanu un ar tām saistītās izmaksas būtiski ietekmēja</w:t>
      </w:r>
      <w:r w:rsidR="005D1FAD">
        <w:t xml:space="preserve"> ārējie apstākļi</w:t>
      </w:r>
      <w:r w:rsidR="00983D6F">
        <w:t xml:space="preserve"> –</w:t>
      </w:r>
      <w:r w:rsidRPr="00F479A9">
        <w:t xml:space="preserve"> </w:t>
      </w:r>
      <w:r w:rsidR="00983D6F">
        <w:t xml:space="preserve">Krievijas uzsāktais </w:t>
      </w:r>
      <w:r w:rsidRPr="00F479A9">
        <w:t xml:space="preserve">karš Ukrainā un </w:t>
      </w:r>
      <w:r w:rsidR="00983D6F">
        <w:t xml:space="preserve">tam sekojošās </w:t>
      </w:r>
      <w:r w:rsidRPr="00F479A9">
        <w:t>ģeopolitiskās izmaiņas</w:t>
      </w:r>
      <w:r w:rsidR="00983D6F">
        <w:t xml:space="preserve"> reģionā</w:t>
      </w:r>
      <w:r w:rsidRPr="00F479A9">
        <w:t>, kā rezultātā palielinājās ne tikai vispārējais cenu līmenis, bet arī pieauga mērķa grupu skaits. Tomēr PMIF nodrošinātā elastība ļāva</w:t>
      </w:r>
      <w:r w:rsidR="00F67300">
        <w:t xml:space="preserve"> finansējuma saņēmējiem</w:t>
      </w:r>
      <w:r w:rsidR="00A309F4">
        <w:t xml:space="preserve"> operatīvi</w:t>
      </w:r>
      <w:r w:rsidRPr="00F479A9">
        <w:t xml:space="preserve"> pielāgoties </w:t>
      </w:r>
      <w:r w:rsidR="00A309F4">
        <w:t xml:space="preserve">mainīgajiem </w:t>
      </w:r>
      <w:r w:rsidRPr="00F479A9">
        <w:t xml:space="preserve">ārējiem apstākļiem un </w:t>
      </w:r>
      <w:r w:rsidR="00A309F4">
        <w:t xml:space="preserve">veikt nepieciešamās </w:t>
      </w:r>
      <w:r w:rsidRPr="00F479A9">
        <w:t>modifi</w:t>
      </w:r>
      <w:r w:rsidR="00A309F4">
        <w:t>kācijas</w:t>
      </w:r>
      <w:r w:rsidR="00E30ED5">
        <w:t xml:space="preserve"> gan</w:t>
      </w:r>
      <w:r w:rsidRPr="00F479A9">
        <w:t xml:space="preserve"> aktivitā</w:t>
      </w:r>
      <w:r w:rsidR="00E30ED5">
        <w:t>šu īstenošanā, gan</w:t>
      </w:r>
      <w:r w:rsidRPr="00F479A9">
        <w:t xml:space="preserve"> tām </w:t>
      </w:r>
      <w:r w:rsidR="00E30ED5">
        <w:t>paredzētā</w:t>
      </w:r>
      <w:r w:rsidRPr="00F479A9">
        <w:t xml:space="preserve"> finansējum</w:t>
      </w:r>
      <w:r w:rsidR="00E30ED5">
        <w:t>a struktūrā</w:t>
      </w:r>
      <w:r w:rsidRPr="00F479A9">
        <w:t xml:space="preserve">, lai apmierinātu mērķa grupu vajadzības un </w:t>
      </w:r>
      <w:r w:rsidR="00586FC7">
        <w:t xml:space="preserve">sekmīgi </w:t>
      </w:r>
      <w:r w:rsidRPr="00F479A9">
        <w:t>sasniegtu projekt</w:t>
      </w:r>
      <w:r w:rsidR="00586FC7">
        <w:t>iem definētos</w:t>
      </w:r>
      <w:r w:rsidRPr="00F479A9">
        <w:t xml:space="preserve"> mērķus.</w:t>
      </w:r>
    </w:p>
    <w:p w14:paraId="3823EF62" w14:textId="6128FE6D" w:rsidR="00F10B5C" w:rsidRPr="00F479A9" w:rsidRDefault="00F10B5C" w:rsidP="00F10B5C">
      <w:r w:rsidRPr="00F479A9">
        <w:t xml:space="preserve">Pamatojoties uz gadījuma izpētē ietverto projektu </w:t>
      </w:r>
      <w:r w:rsidR="00586FC7">
        <w:t xml:space="preserve">padziļināto </w:t>
      </w:r>
      <w:r w:rsidRPr="00F479A9">
        <w:t>analīzi, tiek secināts, ka Programma ir atbalstījusi izmaksu efektīvus pasākumus</w:t>
      </w:r>
      <w:r w:rsidR="006345A6">
        <w:t xml:space="preserve"> ar pozitīvu ekonomisko atdevi</w:t>
      </w:r>
      <w:r w:rsidRPr="00F479A9">
        <w:t xml:space="preserve">. Integrācijas pasākumi TVP un atbalsta pasākumi patvēruma meklētājiem </w:t>
      </w:r>
      <w:r w:rsidR="007A33DF">
        <w:t>ilgtermiņā</w:t>
      </w:r>
      <w:r w:rsidR="00D44D2B">
        <w:t xml:space="preserve"> </w:t>
      </w:r>
      <w:r w:rsidRPr="00F479A9">
        <w:t xml:space="preserve">sniedz lielākus ekonomiskos ieguvumus </w:t>
      </w:r>
      <w:r w:rsidR="007A33DF">
        <w:t>salīdzinājumā ar sākotnējiem</w:t>
      </w:r>
      <w:r w:rsidRPr="00F479A9">
        <w:t xml:space="preserve"> projektu ieguldījumi</w:t>
      </w:r>
      <w:r w:rsidR="00810537">
        <w:t>em</w:t>
      </w:r>
      <w:r w:rsidRPr="00F479A9">
        <w:t xml:space="preserve">. Tomēr </w:t>
      </w:r>
      <w:r w:rsidR="00810537">
        <w:t>jāuzsver, ka š</w:t>
      </w:r>
      <w:r w:rsidRPr="00F479A9">
        <w:t xml:space="preserve">o </w:t>
      </w:r>
      <w:r w:rsidR="00810537">
        <w:t xml:space="preserve">pasākumu </w:t>
      </w:r>
      <w:r w:rsidRPr="00F479A9">
        <w:t xml:space="preserve">ekonomiskā atdeve ir cieši saistīta ar </w:t>
      </w:r>
      <w:r w:rsidR="00136655">
        <w:t xml:space="preserve">mērķa grupām pieejamajām </w:t>
      </w:r>
      <w:r w:rsidRPr="00F479A9">
        <w:t>nodarbinātības iespējām, kas savukārt ir atkarīgas no kopējās valsts nodarbinātības un imigrācijas politikas attīstības.</w:t>
      </w:r>
    </w:p>
    <w:p w14:paraId="55A3558C" w14:textId="4D6F9AFF" w:rsidR="00F10B5C" w:rsidRPr="00F479A9" w:rsidRDefault="00F10B5C" w:rsidP="00F10B5C">
      <w:r w:rsidRPr="00F479A9">
        <w:t xml:space="preserve">Finansējuma saņēmēju sniegtā analīze par administratīvajiem šķēršļiem </w:t>
      </w:r>
      <w:r w:rsidR="00CB589D">
        <w:t xml:space="preserve">projektu īstenošanas procesā </w:t>
      </w:r>
      <w:r w:rsidRPr="00F479A9">
        <w:t>atklāj vairākas būtiskas problēmjomas. Primāri tiek akcentēt</w:t>
      </w:r>
      <w:r w:rsidR="0080005A">
        <w:t>i</w:t>
      </w:r>
      <w:r w:rsidRPr="00F479A9">
        <w:t xml:space="preserve"> projektu līgumu un iesniegumu formu grozījumu veikšanas procedūru birokrātiskie aspekti, īpaši attiecībā uz gadījumiem, kad nepieciešams sniegt oficiālus grozījumus</w:t>
      </w:r>
      <w:r w:rsidR="00E348D5">
        <w:t xml:space="preserve"> pat </w:t>
      </w:r>
      <w:r w:rsidRPr="00F479A9">
        <w:t xml:space="preserve">par </w:t>
      </w:r>
      <w:r w:rsidR="00E348D5">
        <w:t xml:space="preserve">relatīvi </w:t>
      </w:r>
      <w:r w:rsidR="002E4DCF">
        <w:t xml:space="preserve">nebūtiskā izmaiņām, piemēram </w:t>
      </w:r>
      <w:r w:rsidRPr="00F479A9">
        <w:t xml:space="preserve">projekta personāla sastāvā. Tāpat kritiski vērtēts atskaišu iesniegšanas mehānisms, konkrēti – tā </w:t>
      </w:r>
      <w:r w:rsidR="002E4DCF">
        <w:t xml:space="preserve">noteiktā </w:t>
      </w:r>
      <w:r w:rsidRPr="00F479A9">
        <w:t xml:space="preserve">regularitāte, </w:t>
      </w:r>
      <w:r w:rsidRPr="00F479A9">
        <w:rPr>
          <w:i/>
          <w:iCs/>
        </w:rPr>
        <w:t xml:space="preserve">Excel </w:t>
      </w:r>
      <w:r w:rsidRPr="00F479A9">
        <w:t xml:space="preserve">formāta </w:t>
      </w:r>
      <w:r w:rsidR="006E12B4">
        <w:t xml:space="preserve">atskaišu </w:t>
      </w:r>
      <w:r w:rsidRPr="00F479A9">
        <w:t xml:space="preserve">sarežģītība un pieprasītās </w:t>
      </w:r>
      <w:r w:rsidR="00093236">
        <w:t xml:space="preserve">pamatojuma </w:t>
      </w:r>
      <w:r w:rsidRPr="00F479A9">
        <w:t>dokumentācijas detalizācijas līmenis.</w:t>
      </w:r>
    </w:p>
    <w:p w14:paraId="3D22E326" w14:textId="40307275" w:rsidR="00DA47AD" w:rsidRDefault="00F10B5C" w:rsidP="00F10B5C">
      <w:r w:rsidRPr="00F479A9">
        <w:t xml:space="preserve">Pozitīvi vērtējamas identificētās uzlabojumu tendences 2021.-2027. gada plānošanas periodā, kas attiecas gan uz projektu grozījumu procedūru vienkāršošanu, gan atskaišu iesniegšanas regularitātes optimizāciju. </w:t>
      </w:r>
      <w:r w:rsidR="001A1036">
        <w:t xml:space="preserve">Šīs izmaiņas liecina par sistēmisku pieeju administratīvā sloga pakāpeniskai mazināšanai, ņemot vērā iepriekšējā plānošanas periodā gūtās atziņas. </w:t>
      </w:r>
      <w:r w:rsidRPr="00F479A9">
        <w:t xml:space="preserve">Tomēr finansējuma saņēmēji </w:t>
      </w:r>
      <w:r w:rsidR="009E6276">
        <w:t xml:space="preserve">joprojām </w:t>
      </w:r>
      <w:r w:rsidRPr="00F479A9">
        <w:t>norāda uz pastāvošo nepieciešamību pēc integrētas elektroniskas projektu vadības sistēmas, kas būtiski atvieglotu administratīvo procesu koordināciju</w:t>
      </w:r>
      <w:r w:rsidR="00DA47AD">
        <w:t xml:space="preserve"> un dokumentu apriti starp iesaistītajām pusēm</w:t>
      </w:r>
      <w:r w:rsidRPr="00F479A9">
        <w:t xml:space="preserve">. </w:t>
      </w:r>
    </w:p>
    <w:p w14:paraId="7615B89E" w14:textId="7E6E4416" w:rsidR="00F10B5C" w:rsidRPr="00F479A9" w:rsidRDefault="00B33866" w:rsidP="00F10B5C">
      <w:r>
        <w:t>V</w:t>
      </w:r>
      <w:r w:rsidR="00F10B5C" w:rsidRPr="00F479A9">
        <w:t xml:space="preserve">ienkāršoto izmaksu modeļa ieviešana, kas </w:t>
      </w:r>
      <w:r>
        <w:t xml:space="preserve">konceptuālā līmenī </w:t>
      </w:r>
      <w:r w:rsidR="00F10B5C" w:rsidRPr="00F479A9">
        <w:t>tika pozicionēta kā administratīvā sloga mazināšanas mehānisms, praksē deleģēto iestāžu projektu īstenotājiem ir radījusi papildu dokumentācijas slogu</w:t>
      </w:r>
      <w:r w:rsidR="002E694D">
        <w:t>.</w:t>
      </w:r>
      <w:r w:rsidR="009A6406">
        <w:t xml:space="preserve"> Šis slogs izpaužas kā prasība pēc</w:t>
      </w:r>
      <w:r w:rsidR="00F10B5C" w:rsidRPr="00F479A9">
        <w:t xml:space="preserve"> detalizēt</w:t>
      </w:r>
      <w:r w:rsidR="00E32AD1">
        <w:t>as</w:t>
      </w:r>
      <w:r w:rsidR="00F10B5C" w:rsidRPr="00F479A9">
        <w:t xml:space="preserve"> pamatojošās dokumentācijas sagatavošan</w:t>
      </w:r>
      <w:r w:rsidR="00E32AD1">
        <w:t>as</w:t>
      </w:r>
      <w:r w:rsidR="00F10B5C" w:rsidRPr="00F479A9">
        <w:t xml:space="preserve"> un iesniegšan</w:t>
      </w:r>
      <w:r w:rsidR="00E32AD1">
        <w:t>as</w:t>
      </w:r>
      <w:r w:rsidR="00F10B5C" w:rsidRPr="00F479A9">
        <w:t xml:space="preserve"> par īstenotajiem integrācijas pasākumiem</w:t>
      </w:r>
      <w:r w:rsidR="00693E8B">
        <w:t>, kas faktiski noved pie administratīvo procedūru komplicēšanas, nevis vienkāršošanas</w:t>
      </w:r>
      <w:r w:rsidR="00F10B5C" w:rsidRPr="00F479A9">
        <w:t>.</w:t>
      </w:r>
    </w:p>
    <w:p w14:paraId="3A5880A8" w14:textId="01C3F9FE" w:rsidR="00F10B5C" w:rsidRPr="00F479A9" w:rsidRDefault="00F10B5C" w:rsidP="00F10B5C">
      <w:r w:rsidRPr="00F479A9">
        <w:t xml:space="preserve">Vienlaikus ir secināms, ka </w:t>
      </w:r>
      <w:r w:rsidR="00B645EF">
        <w:t xml:space="preserve">programmas ietvaros </w:t>
      </w:r>
      <w:r w:rsidRPr="00F479A9">
        <w:t xml:space="preserve">ieviestā kontroles un uzraudzības sistēma, kas ietvēra </w:t>
      </w:r>
      <w:r w:rsidR="00B645EF">
        <w:t xml:space="preserve">kompleksu pārbaužu mehānismu - </w:t>
      </w:r>
      <w:r w:rsidRPr="00F479A9">
        <w:t>projektu atskaišu administratīvās pārbaudes, iepirkumu pirmspārbaudes</w:t>
      </w:r>
      <w:r w:rsidR="001C72ED">
        <w:t xml:space="preserve"> un </w:t>
      </w:r>
      <w:r w:rsidRPr="00F479A9">
        <w:t>projektu pārbaudes īstenošanas vietā</w:t>
      </w:r>
      <w:r w:rsidR="001C72ED">
        <w:t xml:space="preserve"> -</w:t>
      </w:r>
      <w:r w:rsidRPr="00F479A9">
        <w:t xml:space="preserve"> ir sekmējusi savlaicīgu projektu ietvaros īstenoto pārkāpumu identificēšanu un novēršanu.</w:t>
      </w:r>
      <w:r w:rsidR="00BC62B0">
        <w:t xml:space="preserve"> Šī daudzlīmeņu pārbaužu sistēma, lai gan potenciāli palielina administratīvo slogu finansējuma saņēmējiem, ir nodrošinājusi programmas īstenošanas kvalitāti un atbilstību normatīvo aktu prasībām.</w:t>
      </w:r>
    </w:p>
    <w:p w14:paraId="704C7F3A" w14:textId="77777777" w:rsidR="00F10B5C" w:rsidRPr="00F479A9" w:rsidRDefault="00F10B5C" w:rsidP="00F10B5C">
      <w:pPr>
        <w:rPr>
          <w:b/>
          <w:bCs/>
        </w:rPr>
      </w:pPr>
      <w:r w:rsidRPr="00F479A9">
        <w:rPr>
          <w:b/>
          <w:bCs/>
        </w:rPr>
        <w:t>Atbilstība</w:t>
      </w:r>
    </w:p>
    <w:p w14:paraId="41B9B7E0" w14:textId="026719BC" w:rsidR="00F10B5C" w:rsidRPr="00F479A9" w:rsidRDefault="00F10B5C" w:rsidP="00F10B5C">
      <w:r w:rsidRPr="00F479A9">
        <w:lastRenderedPageBreak/>
        <w:t xml:space="preserve">PMIF finansētie pasākumi ir bijuši </w:t>
      </w:r>
      <w:r w:rsidR="00B5201B">
        <w:t>nozīmīgi</w:t>
      </w:r>
      <w:r w:rsidR="00CE1202">
        <w:t xml:space="preserve"> Latvijas</w:t>
      </w:r>
      <w:r w:rsidRPr="00F479A9">
        <w:t xml:space="preserve"> migrācijas un patvēruma sistēmas attīstībā un tie ir bijuši pilnībā atbilstoši esošajām vajadzībām. </w:t>
      </w:r>
      <w:r w:rsidR="00AB17B7">
        <w:t>Šo pasākumu ī</w:t>
      </w:r>
      <w:r w:rsidRPr="00F479A9">
        <w:t>paša nozīme</w:t>
      </w:r>
      <w:r w:rsidR="00AB17B7">
        <w:t xml:space="preserve"> izgaismojas kontekstā</w:t>
      </w:r>
      <w:r w:rsidR="00EA6108">
        <w:t xml:space="preserve"> ar vairākiem ārējiem izaicinājumiem, ar kuriem Latvija saskārusies pēdējos gados -</w:t>
      </w:r>
      <w:r w:rsidRPr="00F479A9">
        <w:t xml:space="preserve"> 2015. gada Eiropas migrācijas krīzi, nelegālās migrācijas spiediena pieaugumu uz Latvijas-Baltkrievijas robežas</w:t>
      </w:r>
      <w:r w:rsidR="003C245A">
        <w:t xml:space="preserve">, kā arī masveida </w:t>
      </w:r>
      <w:r w:rsidRPr="00F479A9">
        <w:t xml:space="preserve">Ukrainas bēgļu plūsmu. </w:t>
      </w:r>
    </w:p>
    <w:p w14:paraId="2305D3AC" w14:textId="2DF36F88" w:rsidR="00A053AC" w:rsidRDefault="00F10B5C" w:rsidP="00F10B5C">
      <w:r w:rsidRPr="00F479A9">
        <w:t xml:space="preserve">Programmas elastība </w:t>
      </w:r>
      <w:r w:rsidR="000A3AA7">
        <w:t>ir nodrošinājusi iespēju</w:t>
      </w:r>
      <w:r w:rsidRPr="00F479A9">
        <w:t xml:space="preserve"> efektīvi pielāgoties mainīgajām vajadzībām</w:t>
      </w:r>
      <w:r w:rsidR="000A3AA7">
        <w:t xml:space="preserve"> un ģeopolitiskajiem izaicinājumiem</w:t>
      </w:r>
      <w:r w:rsidR="007C4AF1">
        <w:t>.</w:t>
      </w:r>
      <w:r w:rsidRPr="00F479A9">
        <w:t xml:space="preserve"> </w:t>
      </w:r>
      <w:r w:rsidR="007C4AF1">
        <w:t>Šī pielāgošanās spēja izpaudās vairākos veidos:</w:t>
      </w:r>
      <w:r w:rsidRPr="00F479A9">
        <w:t xml:space="preserve"> papildu resursu</w:t>
      </w:r>
      <w:r w:rsidR="008B2419">
        <w:t xml:space="preserve"> nodrošināšana</w:t>
      </w:r>
      <w:r w:rsidRPr="00F479A9">
        <w:t xml:space="preserve"> patvēruma meklētāj</w:t>
      </w:r>
      <w:r w:rsidR="008B2419">
        <w:t>u izmitināšanai un pakalpojumiem</w:t>
      </w:r>
      <w:r w:rsidRPr="00F479A9">
        <w:t>, VRS kapacitātes celšanai, brīvprātīgās atgriešanas pasākumiem</w:t>
      </w:r>
      <w:r w:rsidR="001F747B">
        <w:t>,</w:t>
      </w:r>
      <w:r w:rsidRPr="00F479A9">
        <w:t xml:space="preserve"> kā arī integrācijas pasākumu formāt</w:t>
      </w:r>
      <w:r w:rsidR="00D64164">
        <w:t>a modificēšana</w:t>
      </w:r>
      <w:r w:rsidRPr="00F479A9">
        <w:t>, tostarp latviešu valodas apmācīb</w:t>
      </w:r>
      <w:r w:rsidR="00211D27">
        <w:t>u kontekstā</w:t>
      </w:r>
      <w:r w:rsidRPr="00F479A9">
        <w:t>,</w:t>
      </w:r>
      <w:r w:rsidR="00211D27">
        <w:t xml:space="preserve"> reaģējot</w:t>
      </w:r>
      <w:r w:rsidR="00A053AC">
        <w:t xml:space="preserve"> uz</w:t>
      </w:r>
      <w:r w:rsidRPr="00F479A9">
        <w:t xml:space="preserve"> Covid-19 pandēmijas radītajiem ierobežojumiem. </w:t>
      </w:r>
    </w:p>
    <w:p w14:paraId="0CCFE41F" w14:textId="323F98B9" w:rsidR="00F10B5C" w:rsidRPr="00F479A9" w:rsidRDefault="00F10B5C" w:rsidP="00F10B5C">
      <w:r w:rsidRPr="00F479A9">
        <w:t xml:space="preserve">Vienlaikus </w:t>
      </w:r>
      <w:r w:rsidR="008042B8">
        <w:t xml:space="preserve">analīze parāda diferencētu elastības līmeni atkarībā no projektu pārvaldības modeļa - </w:t>
      </w:r>
      <w:r w:rsidRPr="00F479A9">
        <w:t>lielāka elastība</w:t>
      </w:r>
      <w:r w:rsidR="00AD5EFD">
        <w:t>s spēja</w:t>
      </w:r>
      <w:r w:rsidRPr="00F479A9">
        <w:t xml:space="preserve"> ir novērota atbildīgās iestādes </w:t>
      </w:r>
      <w:r w:rsidR="00AD5EFD">
        <w:t xml:space="preserve">tiešā </w:t>
      </w:r>
      <w:r w:rsidRPr="00F479A9">
        <w:t xml:space="preserve">pārraudzībā esošajiem projektiem, </w:t>
      </w:r>
      <w:r w:rsidR="00AD5EFD">
        <w:t xml:space="preserve">savukārt </w:t>
      </w:r>
      <w:r w:rsidRPr="00F479A9">
        <w:t xml:space="preserve">deleģētās iestādes pārraudzīto projektu pielāgošanas iespējas </w:t>
      </w:r>
      <w:r w:rsidR="005634D2">
        <w:t xml:space="preserve">bija ievērojami </w:t>
      </w:r>
      <w:r w:rsidRPr="00F479A9">
        <w:t>ierobežo</w:t>
      </w:r>
      <w:r w:rsidR="005634D2">
        <w:t>tas</w:t>
      </w:r>
      <w:r w:rsidRPr="00F479A9">
        <w:t xml:space="preserve"> projektu konkursu nolikumos ietvert</w:t>
      </w:r>
      <w:r w:rsidR="008B4A56">
        <w:t>o</w:t>
      </w:r>
      <w:r w:rsidRPr="00F479A9">
        <w:t xml:space="preserve"> prasīb</w:t>
      </w:r>
      <w:r w:rsidR="008B4A56">
        <w:t>u dēļ</w:t>
      </w:r>
      <w:r w:rsidRPr="00F479A9">
        <w:t xml:space="preserve">. </w:t>
      </w:r>
    </w:p>
    <w:p w14:paraId="1E6F2147" w14:textId="7F59D38D" w:rsidR="00F10B5C" w:rsidRPr="00F479A9" w:rsidRDefault="00F10B5C" w:rsidP="00F10B5C">
      <w:r w:rsidRPr="00F479A9">
        <w:t>Attiecībā uz integrācijas pasākumiem izvērtējum</w:t>
      </w:r>
      <w:r w:rsidR="008A7B2A">
        <w:t xml:space="preserve">ā konstatēta nepieciešamība pēc </w:t>
      </w:r>
      <w:r w:rsidRPr="00F479A9">
        <w:t>elastīgākas pieejas</w:t>
      </w:r>
      <w:r w:rsidR="00B66F4A">
        <w:t>, kas labāk atbilstu dažādām mērķa grupām. Īpaši ieteikts paplašināt valodas apmācību, ieviešot</w:t>
      </w:r>
      <w:r w:rsidRPr="00F479A9">
        <w:t xml:space="preserve"> A0 </w:t>
      </w:r>
      <w:r w:rsidR="008114C8">
        <w:t>līmeni (iesācējiem bez priekšzināšanām)</w:t>
      </w:r>
      <w:r w:rsidR="00781133">
        <w:t xml:space="preserve">, kas būtu piemērots TVP no dažādām valstīm un ar atšķirīgiem izglītības līmeņiem. </w:t>
      </w:r>
      <w:r w:rsidR="008114C8">
        <w:t xml:space="preserve"> </w:t>
      </w:r>
    </w:p>
    <w:p w14:paraId="285C541F" w14:textId="77777777" w:rsidR="00F10B5C" w:rsidRPr="00F479A9" w:rsidRDefault="00F10B5C" w:rsidP="00F10B5C">
      <w:pPr>
        <w:rPr>
          <w:b/>
          <w:bCs/>
        </w:rPr>
      </w:pPr>
      <w:r w:rsidRPr="00F479A9">
        <w:rPr>
          <w:b/>
          <w:bCs/>
        </w:rPr>
        <w:t>Saskaņotība</w:t>
      </w:r>
    </w:p>
    <w:p w14:paraId="7913ECFE" w14:textId="5729CD24" w:rsidR="00F10B5C" w:rsidRPr="00476F07" w:rsidRDefault="00F10B5C" w:rsidP="00F10B5C">
      <w:pPr>
        <w:spacing w:after="160"/>
      </w:pPr>
      <w:r w:rsidRPr="00476F07">
        <w:t xml:space="preserve">PMIF ietvaros īstenotās aktivitātes lielākoties bija nozarei specifiskas, tomēr tika nodrošināta savstarpēja saskaņotība ar citiem līdzīgiem pasākumiem, īpaši ar Eiropas Sociālā fonda aktivitātēm, piemēram, </w:t>
      </w:r>
      <w:r w:rsidRPr="00F479A9">
        <w:t xml:space="preserve">SIF īstenoto </w:t>
      </w:r>
      <w:r w:rsidRPr="00476F07">
        <w:t>projekt</w:t>
      </w:r>
      <w:r w:rsidRPr="00F479A9">
        <w:t>u</w:t>
      </w:r>
      <w:r w:rsidRPr="00476F07">
        <w:t xml:space="preserve"> "Dažādības veicināšana" un N</w:t>
      </w:r>
      <w:r w:rsidR="00461E23">
        <w:t>odarbinātības valsts aģentūras</w:t>
      </w:r>
      <w:r w:rsidRPr="00476F07">
        <w:t xml:space="preserve"> īstenoto bēgļu integrācijas projektu. Lai novērstu aktivitāšu pārklāšanos un veicinātu </w:t>
      </w:r>
      <w:r>
        <w:t>saskaņotību</w:t>
      </w:r>
      <w:r w:rsidRPr="00476F07">
        <w:t>, tika izveidoti koordinācijas mehānismi, tostarp UK un Projektu uzraudzības padome, kas nodrošināja stratēģisku pārraudzību un projektu savstarpējo saskaņotību.</w:t>
      </w:r>
    </w:p>
    <w:p w14:paraId="0C77D446" w14:textId="3E9D163C" w:rsidR="00F10B5C" w:rsidRPr="00F479A9" w:rsidRDefault="00822F09" w:rsidP="00F10B5C">
      <w:r>
        <w:t>Saskaņotības princips tika integrēts jau projektu iesniegumu sagatavošanas fāzē - f</w:t>
      </w:r>
      <w:r w:rsidR="00F10B5C" w:rsidRPr="00476F07">
        <w:t>inansējuma saņēmējiem</w:t>
      </w:r>
      <w:r w:rsidR="00F10B5C" w:rsidRPr="00F479A9">
        <w:t xml:space="preserve"> projektu iesniegumu formās</w:t>
      </w:r>
      <w:r w:rsidR="00F10B5C" w:rsidRPr="00476F07">
        <w:t xml:space="preserve"> bija jānorāda informācija par citiem </w:t>
      </w:r>
      <w:r w:rsidR="002379C3">
        <w:t xml:space="preserve">pašu </w:t>
      </w:r>
      <w:r w:rsidR="00F10B5C" w:rsidRPr="00476F07">
        <w:t xml:space="preserve">īstenotajiem projektiem, kas ļāva </w:t>
      </w:r>
      <w:r w:rsidR="002379C3">
        <w:t xml:space="preserve">atbildīgajām </w:t>
      </w:r>
      <w:r w:rsidR="007C57BC">
        <w:t xml:space="preserve">struktūrām </w:t>
      </w:r>
      <w:r w:rsidR="00AE30C4">
        <w:t xml:space="preserve">savlaicīgi </w:t>
      </w:r>
      <w:r w:rsidR="00F10B5C" w:rsidRPr="00476F07">
        <w:t xml:space="preserve">identificēt iespējamās </w:t>
      </w:r>
      <w:r w:rsidR="00AE30C4">
        <w:t xml:space="preserve">aktivitāšu </w:t>
      </w:r>
      <w:r w:rsidR="00F10B5C" w:rsidRPr="00476F07">
        <w:t xml:space="preserve">pārklāšanās </w:t>
      </w:r>
      <w:r w:rsidR="00AE30C4">
        <w:t xml:space="preserve">riskus, </w:t>
      </w:r>
      <w:r w:rsidR="00F10B5C" w:rsidRPr="00476F07">
        <w:t xml:space="preserve">vai </w:t>
      </w:r>
      <w:r w:rsidR="00AE30C4">
        <w:t xml:space="preserve">tieši pretēji, pozitīvas </w:t>
      </w:r>
      <w:r w:rsidR="00F10B5C" w:rsidRPr="00476F07">
        <w:t>sinerģijas iespējas.</w:t>
      </w:r>
      <w:r w:rsidR="00F10B5C" w:rsidRPr="00F479A9">
        <w:t xml:space="preserve"> IeM padot</w:t>
      </w:r>
      <w:r w:rsidR="00AE30C4">
        <w:t xml:space="preserve">ības </w:t>
      </w:r>
      <w:r w:rsidR="00F10B5C" w:rsidRPr="00F479A9">
        <w:t xml:space="preserve">iestādēm </w:t>
      </w:r>
      <w:r w:rsidR="00794F06">
        <w:t xml:space="preserve">tika noteiktas </w:t>
      </w:r>
      <w:r w:rsidR="00F10B5C" w:rsidRPr="00F479A9">
        <w:t xml:space="preserve">papildu </w:t>
      </w:r>
      <w:r w:rsidR="00794F06">
        <w:t xml:space="preserve">prasības – tām </w:t>
      </w:r>
      <w:r w:rsidR="00F10B5C" w:rsidRPr="00F479A9">
        <w:t xml:space="preserve">jāsniedz informācija par visiem projektu konkursiem, kuros </w:t>
      </w:r>
      <w:r w:rsidR="00794F06">
        <w:t xml:space="preserve">tās </w:t>
      </w:r>
      <w:r w:rsidR="00F10B5C" w:rsidRPr="00F479A9">
        <w:t>plāno piedalīties</w:t>
      </w:r>
      <w:r w:rsidR="0045448B">
        <w:t>, tādējādi nodrošinot centralizētu projektu portfeļa pārraudzību ministrijas līmenī.</w:t>
      </w:r>
    </w:p>
    <w:p w14:paraId="6C17289D" w14:textId="24003C20" w:rsidR="00F10B5C" w:rsidRPr="00F479A9" w:rsidRDefault="00F10B5C" w:rsidP="00F10B5C">
      <w:r w:rsidRPr="00F479A9">
        <w:t>Izvē</w:t>
      </w:r>
      <w:r w:rsidRPr="00476F07">
        <w:t>rtējuma</w:t>
      </w:r>
      <w:r w:rsidRPr="00F479A9">
        <w:t xml:space="preserve"> analīze </w:t>
      </w:r>
      <w:r w:rsidR="0045448B">
        <w:t xml:space="preserve">nepārprotami </w:t>
      </w:r>
      <w:r w:rsidRPr="00476F07">
        <w:t xml:space="preserve">apliecina, ka </w:t>
      </w:r>
      <w:r w:rsidR="0045448B">
        <w:t xml:space="preserve">PMIF atbalstītās </w:t>
      </w:r>
      <w:r w:rsidRPr="00476F07">
        <w:t>aktivitātes tika</w:t>
      </w:r>
      <w:r w:rsidR="0045448B">
        <w:t xml:space="preserve"> gan</w:t>
      </w:r>
      <w:r w:rsidRPr="00476F07">
        <w:t xml:space="preserve"> plānotas</w:t>
      </w:r>
      <w:r w:rsidR="00E1047E">
        <w:t>, gan</w:t>
      </w:r>
      <w:r w:rsidRPr="00476F07">
        <w:t xml:space="preserve"> īstenotas saskaņā ar vienotu stratēģisko pieeju, nodrošinot atbalsta pasākumu savstarpēju </w:t>
      </w:r>
      <w:r>
        <w:t>saskaņotību</w:t>
      </w:r>
      <w:r w:rsidRPr="00476F07">
        <w:t xml:space="preserve"> un novēršot </w:t>
      </w:r>
      <w:r w:rsidR="00E1047E">
        <w:t xml:space="preserve">potenciālās </w:t>
      </w:r>
      <w:r w:rsidRPr="00476F07">
        <w:t>pretrunas ar citiem fondiem un finanšu instrumentiem.</w:t>
      </w:r>
      <w:r w:rsidR="00E95874">
        <w:t xml:space="preserve"> Šī koordinētā pieeja </w:t>
      </w:r>
      <w:r w:rsidR="0048215A">
        <w:t>sekmēj</w:t>
      </w:r>
      <w:r w:rsidR="00E95874">
        <w:t>a resursu efektīvu izmantošanu un novērsa aktivitāšu dublēšanos starp dažādiem finansējuma avotiem.</w:t>
      </w:r>
    </w:p>
    <w:p w14:paraId="4F7E0F29" w14:textId="77777777" w:rsidR="00F10B5C" w:rsidRPr="00F479A9" w:rsidRDefault="00F10B5C" w:rsidP="00F10B5C">
      <w:pPr>
        <w:rPr>
          <w:b/>
          <w:bCs/>
        </w:rPr>
      </w:pPr>
      <w:r w:rsidRPr="00F479A9">
        <w:rPr>
          <w:b/>
          <w:bCs/>
        </w:rPr>
        <w:t>Papildināmība</w:t>
      </w:r>
    </w:p>
    <w:p w14:paraId="20F8E5B8" w14:textId="77777777" w:rsidR="007B1075" w:rsidRDefault="00F10B5C" w:rsidP="00F10B5C">
      <w:r w:rsidRPr="00F479A9">
        <w:t xml:space="preserve">PMIF nacionālā programma </w:t>
      </w:r>
      <w:r w:rsidR="00E50B4D">
        <w:t xml:space="preserve">demonstrē papildināmības principa nozīmīgo lomu valsts politikas plānošanā un īstenošanā. </w:t>
      </w:r>
      <w:r w:rsidR="00B85CFA">
        <w:t xml:space="preserve">Šī programma </w:t>
      </w:r>
      <w:r w:rsidRPr="00F479A9">
        <w:t xml:space="preserve">ir cieši saskaņota ar Latvijas iekšlietu nozares attīstības </w:t>
      </w:r>
      <w:r w:rsidR="00970005">
        <w:t xml:space="preserve">plānošanas </w:t>
      </w:r>
      <w:r w:rsidR="00B85CFA">
        <w:t>sistēmā</w:t>
      </w:r>
      <w:r w:rsidRPr="00F479A9">
        <w:t xml:space="preserve">, piemēram, </w:t>
      </w:r>
      <w:r w:rsidR="005D70F2">
        <w:t xml:space="preserve">ar </w:t>
      </w:r>
      <w:r w:rsidRPr="00F479A9">
        <w:t xml:space="preserve">IeM darbības stratēģiju un VRS un PMLP attīstības plāniem. </w:t>
      </w:r>
      <w:r w:rsidR="007B1075">
        <w:t xml:space="preserve">PMIF programma darbojas kā stratēģisks instruments, kas </w:t>
      </w:r>
      <w:r w:rsidRPr="00F479A9">
        <w:t>veicina mērķu sasniegšanu migrācijas, patvēruma un integrācijas jomā</w:t>
      </w:r>
      <w:r w:rsidR="007B1075">
        <w:t>s.</w:t>
      </w:r>
    </w:p>
    <w:p w14:paraId="3218891D" w14:textId="348C604F" w:rsidR="00F10B5C" w:rsidRPr="00F479A9" w:rsidRDefault="009C0DB3" w:rsidP="00F10B5C">
      <w:r>
        <w:t xml:space="preserve">Papildināmības princips izpaužas programmas saskaņotībā ar plašāku politikas plānošanas dokumentu spektru gan </w:t>
      </w:r>
      <w:r w:rsidR="00F10B5C" w:rsidRPr="00F479A9">
        <w:t>nacionālaj</w:t>
      </w:r>
      <w:r w:rsidR="00A87A5E">
        <w:t>ā, gan</w:t>
      </w:r>
      <w:r w:rsidR="00F10B5C" w:rsidRPr="00F479A9">
        <w:t xml:space="preserve"> ES līme</w:t>
      </w:r>
      <w:r w:rsidR="00A87A5E">
        <w:t>nī.</w:t>
      </w:r>
      <w:r w:rsidR="00F10B5C" w:rsidRPr="00F479A9">
        <w:t xml:space="preserve"> </w:t>
      </w:r>
      <w:r w:rsidR="005C5832">
        <w:t xml:space="preserve">Īpaši nozīmīga ir programmas saskaņotība ar </w:t>
      </w:r>
      <w:r w:rsidR="00F10B5C" w:rsidRPr="00F479A9">
        <w:t>Latvijas valsts robežas pārvaldības koncepciju un Nacionālās integrācijas politikas plānu.</w:t>
      </w:r>
    </w:p>
    <w:p w14:paraId="0BFA001E" w14:textId="77777777" w:rsidR="00FF3F6B" w:rsidRDefault="00F10B5C" w:rsidP="00F10B5C">
      <w:r w:rsidRPr="00F479A9">
        <w:lastRenderedPageBreak/>
        <w:t xml:space="preserve">Programmas izstrādes laikā tika veikta citu pasākumu izvērtēšana, lai nodrošinātu </w:t>
      </w:r>
      <w:r w:rsidR="00165A2B">
        <w:t xml:space="preserve">PMIF </w:t>
      </w:r>
      <w:r w:rsidRPr="00F479A9">
        <w:t>aktivitāšu atbilstību nacionālajos plānošanas dokumentos definētajām prioritātēm</w:t>
      </w:r>
      <w:r w:rsidR="00F32125">
        <w:t>. Šis analītiskais process bija būtisks, lai identificētu un</w:t>
      </w:r>
      <w:r w:rsidRPr="00F479A9">
        <w:t xml:space="preserve"> novērstu </w:t>
      </w:r>
      <w:r w:rsidR="00FF3F6B">
        <w:t xml:space="preserve">potenciālos </w:t>
      </w:r>
      <w:r w:rsidRPr="00F479A9">
        <w:t xml:space="preserve">pārklāšanās riskus. </w:t>
      </w:r>
    </w:p>
    <w:p w14:paraId="2F29C843" w14:textId="26D0CF0A" w:rsidR="0052551B" w:rsidRDefault="00227071" w:rsidP="0052551B">
      <w:r>
        <w:t>T</w:t>
      </w:r>
      <w:r w:rsidR="00AE4662">
        <w:t>ika izveidoti vairāki institucionālie koordinācijas mehānismi</w:t>
      </w:r>
      <w:r>
        <w:t>, kas sekmēja papildināmības nodrošināšanu</w:t>
      </w:r>
      <w:r w:rsidR="00AE4662">
        <w:t xml:space="preserve">. </w:t>
      </w:r>
      <w:r w:rsidR="00F10B5C" w:rsidRPr="00F479A9">
        <w:t xml:space="preserve">UK un Projektu uzraudzības padome uzraudzīja projektu saskaņotību, </w:t>
      </w:r>
      <w:r w:rsidR="001E159D">
        <w:t xml:space="preserve">novērtēja </w:t>
      </w:r>
      <w:r w:rsidR="00F10B5C" w:rsidRPr="00F479A9">
        <w:t xml:space="preserve">dubultā finansējuma riskus un </w:t>
      </w:r>
      <w:r w:rsidR="00B90D65">
        <w:t xml:space="preserve">analizēja </w:t>
      </w:r>
      <w:r w:rsidR="00F10B5C" w:rsidRPr="00F479A9">
        <w:t>resursu izmantošan</w:t>
      </w:r>
      <w:r w:rsidR="00B90D65">
        <w:t>as efektivitāti</w:t>
      </w:r>
      <w:r w:rsidR="00F10B5C" w:rsidRPr="00F479A9">
        <w:t xml:space="preserve">. </w:t>
      </w:r>
    </w:p>
    <w:p w14:paraId="741D672B" w14:textId="77777777" w:rsidR="0052551B" w:rsidRDefault="0052551B" w:rsidP="0052551B">
      <w:r>
        <w:t>Papildus institucionālajiem mehānismiem, papildināmības princips tika nostiprināts arī projektu pieteikumu dokumentācijas prasībās. Šīs prasības ietvēra detalizētas informācijas sniegšanu par citiem paralēli īstenotajiem projektiem, atbilstības demonstrēšanu nacionālā un ES līmeņa politikas plānošanas dokumentiem, kā arī apliecinājumu par papildu finansējuma neizmantošanu identisko aktivitāšu īstenošanai.</w:t>
      </w:r>
    </w:p>
    <w:p w14:paraId="0FD5BDFD" w14:textId="2FFF66F4" w:rsidR="0052551B" w:rsidRDefault="0052551B" w:rsidP="0052551B">
      <w:r>
        <w:t>Papildināmības principa konsekventa ievērošana PMIF nacionālajā programmā nodrošina ne tikai resursu efektīvu izmantošanu, bet arī veicina migrācijas, patvēruma un integrācijas politikas saskaņotu ieviešanu, ņemot vērā gan nacionālos, gan Eiropas Savienības stratēģiskos mērķus.</w:t>
      </w:r>
    </w:p>
    <w:p w14:paraId="2412B35F" w14:textId="77777777" w:rsidR="00F10B5C" w:rsidRPr="00F479A9" w:rsidRDefault="00F10B5C" w:rsidP="00F10B5C">
      <w:pPr>
        <w:rPr>
          <w:b/>
          <w:bCs/>
        </w:rPr>
      </w:pPr>
      <w:r w:rsidRPr="00E31166">
        <w:rPr>
          <w:b/>
        </w:rPr>
        <w:t>ES pievienotā vērtība</w:t>
      </w:r>
    </w:p>
    <w:p w14:paraId="095E2590" w14:textId="2DC585EC" w:rsidR="006F5F2D" w:rsidRDefault="001D2890" w:rsidP="00CF723D">
      <w:pPr>
        <w:rPr>
          <w:bCs/>
        </w:rPr>
      </w:pPr>
      <w:r>
        <w:rPr>
          <w:bCs/>
        </w:rPr>
        <w:t xml:space="preserve">PMIF </w:t>
      </w:r>
      <w:r>
        <w:t>intervence Latvijas kontekstā demonstrē būtisku pievienoto vērtību vairākos pamataspektos</w:t>
      </w:r>
      <w:r w:rsidR="00E26171">
        <w:t>.</w:t>
      </w:r>
      <w:r w:rsidR="00CF723D" w:rsidRPr="00CF723D">
        <w:rPr>
          <w:bCs/>
        </w:rPr>
        <w:t xml:space="preserve"> </w:t>
      </w:r>
      <w:r w:rsidR="00E26171">
        <w:t>Analizējot fonda ietekmi, var secināt, ka tā</w:t>
      </w:r>
      <w:r w:rsidR="008D65D2">
        <w:t xml:space="preserve"> finansējums funkcionē kā primārais resursu avots, kas nodrošina </w:t>
      </w:r>
      <w:r w:rsidR="008D65D2">
        <w:rPr>
          <w:bCs/>
        </w:rPr>
        <w:t xml:space="preserve">institucionālās </w:t>
      </w:r>
      <w:r w:rsidR="00F10B5C" w:rsidRPr="00CF723D">
        <w:rPr>
          <w:bCs/>
        </w:rPr>
        <w:t>kapacitātes stiprināšan</w:t>
      </w:r>
      <w:r w:rsidR="008D65D2">
        <w:rPr>
          <w:bCs/>
        </w:rPr>
        <w:t>u</w:t>
      </w:r>
      <w:r w:rsidR="00F10B5C" w:rsidRPr="00CF723D">
        <w:rPr>
          <w:bCs/>
        </w:rPr>
        <w:t xml:space="preserve"> </w:t>
      </w:r>
      <w:r w:rsidR="00360B2B">
        <w:rPr>
          <w:bCs/>
        </w:rPr>
        <w:t xml:space="preserve">trīs nozīmīgās dimensijās - </w:t>
      </w:r>
      <w:r w:rsidR="00F10B5C" w:rsidRPr="00CF723D">
        <w:rPr>
          <w:bCs/>
        </w:rPr>
        <w:t xml:space="preserve">patvēruma sistēmas, integrācijas un atgriešanas </w:t>
      </w:r>
      <w:r w:rsidR="008D65D2">
        <w:rPr>
          <w:bCs/>
        </w:rPr>
        <w:t>procesu</w:t>
      </w:r>
      <w:r w:rsidR="00F10B5C" w:rsidRPr="00CF723D">
        <w:rPr>
          <w:bCs/>
        </w:rPr>
        <w:t xml:space="preserve"> jomā. </w:t>
      </w:r>
      <w:r w:rsidR="0037400A">
        <w:rPr>
          <w:bCs/>
        </w:rPr>
        <w:t xml:space="preserve">Jāuzsver </w:t>
      </w:r>
      <w:r w:rsidR="00F10B5C" w:rsidRPr="00CF723D">
        <w:rPr>
          <w:bCs/>
        </w:rPr>
        <w:t xml:space="preserve">PMIF </w:t>
      </w:r>
      <w:r w:rsidR="00622D41">
        <w:rPr>
          <w:bCs/>
        </w:rPr>
        <w:t xml:space="preserve">kā </w:t>
      </w:r>
      <w:r w:rsidR="00F10B5C" w:rsidRPr="00CF723D">
        <w:rPr>
          <w:bCs/>
        </w:rPr>
        <w:t>katalizator</w:t>
      </w:r>
      <w:r w:rsidR="00622D41">
        <w:rPr>
          <w:bCs/>
        </w:rPr>
        <w:t>a loma</w:t>
      </w:r>
      <w:r w:rsidR="00F10B5C" w:rsidRPr="00CF723D">
        <w:rPr>
          <w:bCs/>
        </w:rPr>
        <w:t xml:space="preserve"> atbalsta sistēmas izveidē, </w:t>
      </w:r>
      <w:r w:rsidR="00622D41">
        <w:rPr>
          <w:bCs/>
        </w:rPr>
        <w:t xml:space="preserve">ņemot vērā, ka </w:t>
      </w:r>
      <w:r w:rsidR="00F10B5C" w:rsidRPr="00CF723D">
        <w:rPr>
          <w:bCs/>
        </w:rPr>
        <w:t>tas bija vienīgais pieejamais instruments šāda veida atbalsta nodrošināšanai, tādējādi veicinot sistēmiskas pārmaiņas</w:t>
      </w:r>
      <w:r w:rsidR="006F5F2D">
        <w:rPr>
          <w:bCs/>
        </w:rPr>
        <w:t xml:space="preserve"> ilgtermiņā</w:t>
      </w:r>
      <w:r w:rsidR="00F10B5C" w:rsidRPr="00CF723D">
        <w:rPr>
          <w:bCs/>
        </w:rPr>
        <w:t xml:space="preserve">. </w:t>
      </w:r>
    </w:p>
    <w:p w14:paraId="7C78139B" w14:textId="2180A26C" w:rsidR="00F10B5C" w:rsidRPr="00CF723D" w:rsidRDefault="00F10B5C" w:rsidP="00CF723D">
      <w:pPr>
        <w:rPr>
          <w:bCs/>
        </w:rPr>
      </w:pPr>
      <w:r w:rsidRPr="00CF723D">
        <w:rPr>
          <w:bCs/>
        </w:rPr>
        <w:t xml:space="preserve">PMIF īstenošanas </w:t>
      </w:r>
      <w:r w:rsidR="006F5F2D">
        <w:rPr>
          <w:bCs/>
        </w:rPr>
        <w:t>gaitā</w:t>
      </w:r>
      <w:r w:rsidRPr="00CF723D">
        <w:rPr>
          <w:bCs/>
        </w:rPr>
        <w:t xml:space="preserve"> tika</w:t>
      </w:r>
      <w:r w:rsidR="006F5F2D">
        <w:rPr>
          <w:bCs/>
        </w:rPr>
        <w:t xml:space="preserve"> panākta</w:t>
      </w:r>
      <w:r w:rsidRPr="00CF723D">
        <w:rPr>
          <w:bCs/>
        </w:rPr>
        <w:t xml:space="preserve"> iestāžu kapacitāte</w:t>
      </w:r>
      <w:r w:rsidR="006F5F2D">
        <w:rPr>
          <w:bCs/>
        </w:rPr>
        <w:t>s stiprināšana</w:t>
      </w:r>
      <w:r w:rsidRPr="00CF723D">
        <w:rPr>
          <w:bCs/>
        </w:rPr>
        <w:t xml:space="preserve">, </w:t>
      </w:r>
      <w:r w:rsidR="00153C2E">
        <w:rPr>
          <w:bCs/>
        </w:rPr>
        <w:t xml:space="preserve">kas izpaudās kā </w:t>
      </w:r>
      <w:r w:rsidRPr="00CF723D">
        <w:rPr>
          <w:bCs/>
        </w:rPr>
        <w:t>infrastruktūr</w:t>
      </w:r>
      <w:r w:rsidR="00153C2E">
        <w:rPr>
          <w:bCs/>
        </w:rPr>
        <w:t>as attīstība</w:t>
      </w:r>
      <w:r w:rsidRPr="00CF723D">
        <w:rPr>
          <w:bCs/>
        </w:rPr>
        <w:t>, materiāltehnisk</w:t>
      </w:r>
      <w:r w:rsidR="00153C2E">
        <w:rPr>
          <w:bCs/>
        </w:rPr>
        <w:t>ā</w:t>
      </w:r>
      <w:r w:rsidRPr="00CF723D">
        <w:rPr>
          <w:bCs/>
        </w:rPr>
        <w:t xml:space="preserve"> nodrošinājum</w:t>
      </w:r>
      <w:r w:rsidR="00153C2E">
        <w:rPr>
          <w:bCs/>
        </w:rPr>
        <w:t>a uzlabošana</w:t>
      </w:r>
      <w:r w:rsidRPr="00CF723D">
        <w:rPr>
          <w:bCs/>
        </w:rPr>
        <w:t xml:space="preserve"> un darbinieku </w:t>
      </w:r>
      <w:r w:rsidR="00953564">
        <w:rPr>
          <w:bCs/>
        </w:rPr>
        <w:t xml:space="preserve">profesionālo </w:t>
      </w:r>
      <w:r w:rsidRPr="00CF723D">
        <w:rPr>
          <w:bCs/>
        </w:rPr>
        <w:t>kompeten</w:t>
      </w:r>
      <w:r w:rsidR="002E1DEC">
        <w:rPr>
          <w:bCs/>
        </w:rPr>
        <w:t>ču pilnveid</w:t>
      </w:r>
      <w:r w:rsidR="00953564">
        <w:rPr>
          <w:bCs/>
        </w:rPr>
        <w:t>e</w:t>
      </w:r>
      <w:r w:rsidRPr="00CF723D">
        <w:rPr>
          <w:bCs/>
        </w:rPr>
        <w:t xml:space="preserve">. Vienlaikus </w:t>
      </w:r>
      <w:r w:rsidR="00D61422">
        <w:rPr>
          <w:bCs/>
        </w:rPr>
        <w:t xml:space="preserve">šiem sasniegumiem, </w:t>
      </w:r>
      <w:r w:rsidRPr="00CF723D">
        <w:rPr>
          <w:bCs/>
        </w:rPr>
        <w:t xml:space="preserve">tika paplašināta mērķa grupām pieejamo pakalpojumu daudzveidība, </w:t>
      </w:r>
      <w:r w:rsidR="00D61422">
        <w:rPr>
          <w:bCs/>
        </w:rPr>
        <w:t>kas kopumā veicināja</w:t>
      </w:r>
      <w:r w:rsidRPr="00CF723D">
        <w:rPr>
          <w:bCs/>
        </w:rPr>
        <w:t xml:space="preserve"> atbalsta un integrācijas sistēm</w:t>
      </w:r>
      <w:r w:rsidR="00D61422">
        <w:rPr>
          <w:bCs/>
        </w:rPr>
        <w:t>as</w:t>
      </w:r>
      <w:r w:rsidR="00B670FE">
        <w:rPr>
          <w:bCs/>
        </w:rPr>
        <w:t xml:space="preserve"> efektivitāti</w:t>
      </w:r>
      <w:r w:rsidRPr="00CF723D">
        <w:rPr>
          <w:bCs/>
        </w:rPr>
        <w:t>.</w:t>
      </w:r>
    </w:p>
    <w:p w14:paraId="2595282E" w14:textId="1EA6C0E3" w:rsidR="00F10B5C" w:rsidRDefault="00B670FE" w:rsidP="00F10B5C">
      <w:pPr>
        <w:rPr>
          <w:bCs/>
        </w:rPr>
      </w:pPr>
      <w:r>
        <w:rPr>
          <w:bCs/>
        </w:rPr>
        <w:t>Izvērtējot situāciju b</w:t>
      </w:r>
      <w:r w:rsidR="00F10B5C" w:rsidRPr="00FB0B9D">
        <w:rPr>
          <w:bCs/>
        </w:rPr>
        <w:t>ez ES fonda finansiālā atbalsta</w:t>
      </w:r>
      <w:r>
        <w:rPr>
          <w:bCs/>
        </w:rPr>
        <w:t>, jāsecina, ka</w:t>
      </w:r>
      <w:r w:rsidR="00F10B5C" w:rsidRPr="00FB0B9D">
        <w:rPr>
          <w:bCs/>
        </w:rPr>
        <w:t xml:space="preserve"> </w:t>
      </w:r>
      <w:r w:rsidR="00F10B5C">
        <w:rPr>
          <w:bCs/>
        </w:rPr>
        <w:t>Latvija</w:t>
      </w:r>
      <w:r w:rsidR="00F10B5C" w:rsidRPr="00FB0B9D">
        <w:rPr>
          <w:bCs/>
        </w:rPr>
        <w:t xml:space="preserve"> </w:t>
      </w:r>
      <w:r>
        <w:rPr>
          <w:bCs/>
        </w:rPr>
        <w:t xml:space="preserve">neizbēgami </w:t>
      </w:r>
      <w:r w:rsidR="00F10B5C" w:rsidRPr="00FB0B9D">
        <w:rPr>
          <w:bCs/>
        </w:rPr>
        <w:t>saskār</w:t>
      </w:r>
      <w:r>
        <w:rPr>
          <w:bCs/>
        </w:rPr>
        <w:t>tos</w:t>
      </w:r>
      <w:r w:rsidR="00F10B5C" w:rsidRPr="00FB0B9D">
        <w:rPr>
          <w:bCs/>
        </w:rPr>
        <w:t xml:space="preserve"> ar nopietnām grūtībām ES politikas īstenošanā patvēruma, migrācijas un integrācijas jomā, </w:t>
      </w:r>
      <w:r w:rsidR="00F074F8">
        <w:rPr>
          <w:bCs/>
        </w:rPr>
        <w:t>k</w:t>
      </w:r>
      <w:r w:rsidR="00F10B5C" w:rsidRPr="00FB0B9D">
        <w:rPr>
          <w:bCs/>
        </w:rPr>
        <w:t xml:space="preserve">o </w:t>
      </w:r>
      <w:r w:rsidR="00F074F8">
        <w:rPr>
          <w:bCs/>
        </w:rPr>
        <w:t xml:space="preserve">galvenokārt nosaka </w:t>
      </w:r>
      <w:r w:rsidR="00F10B5C" w:rsidRPr="00FB0B9D">
        <w:rPr>
          <w:bCs/>
        </w:rPr>
        <w:t>valsts budžeta līdzekļ</w:t>
      </w:r>
      <w:r w:rsidR="00F074F8">
        <w:rPr>
          <w:bCs/>
        </w:rPr>
        <w:t>u ierobežojums šādu pasākumu īstenošanai.</w:t>
      </w:r>
      <w:r w:rsidR="00F10B5C" w:rsidRPr="00FB0B9D">
        <w:rPr>
          <w:bCs/>
        </w:rPr>
        <w:t xml:space="preserve"> Fondu </w:t>
      </w:r>
      <w:r w:rsidR="00977692">
        <w:rPr>
          <w:bCs/>
        </w:rPr>
        <w:t xml:space="preserve">stratēģiskā </w:t>
      </w:r>
      <w:r w:rsidR="00F10B5C" w:rsidRPr="00FB0B9D">
        <w:rPr>
          <w:bCs/>
        </w:rPr>
        <w:t xml:space="preserve">nozīme </w:t>
      </w:r>
      <w:r w:rsidR="00977692">
        <w:rPr>
          <w:bCs/>
        </w:rPr>
        <w:t xml:space="preserve">arvien </w:t>
      </w:r>
      <w:r w:rsidR="00F10B5C" w:rsidRPr="00FB0B9D">
        <w:rPr>
          <w:bCs/>
        </w:rPr>
        <w:t>vairāk aktualizējas</w:t>
      </w:r>
      <w:r w:rsidR="00B53009">
        <w:rPr>
          <w:bCs/>
        </w:rPr>
        <w:t xml:space="preserve"> </w:t>
      </w:r>
      <w:r w:rsidR="00977692">
        <w:rPr>
          <w:bCs/>
        </w:rPr>
        <w:t xml:space="preserve">tuvākās </w:t>
      </w:r>
      <w:r w:rsidR="00B53009">
        <w:rPr>
          <w:bCs/>
        </w:rPr>
        <w:t>nākotn</w:t>
      </w:r>
      <w:r w:rsidR="00977692">
        <w:rPr>
          <w:bCs/>
        </w:rPr>
        <w:t>es perspektīvā</w:t>
      </w:r>
      <w:r w:rsidR="00B53009">
        <w:rPr>
          <w:bCs/>
        </w:rPr>
        <w:t xml:space="preserve"> —</w:t>
      </w:r>
      <w:r w:rsidR="00F10B5C" w:rsidRPr="00FB0B9D">
        <w:rPr>
          <w:bCs/>
        </w:rPr>
        <w:t xml:space="preserve"> </w:t>
      </w:r>
      <w:r w:rsidR="005A7B35">
        <w:rPr>
          <w:bCs/>
        </w:rPr>
        <w:t xml:space="preserve">īpaši </w:t>
      </w:r>
      <w:r w:rsidR="00F10B5C" w:rsidRPr="00FB0B9D">
        <w:rPr>
          <w:bCs/>
        </w:rPr>
        <w:t xml:space="preserve">Eiropas Migrācijas pakta </w:t>
      </w:r>
      <w:r w:rsidR="005A7B35">
        <w:rPr>
          <w:bCs/>
        </w:rPr>
        <w:t xml:space="preserve">ieviešanas </w:t>
      </w:r>
      <w:r w:rsidR="00F10B5C" w:rsidRPr="00FB0B9D">
        <w:rPr>
          <w:bCs/>
        </w:rPr>
        <w:t xml:space="preserve">kontekstā, kas stāsies spēkā 2026. gadā un prasīs papildu ieguldījumus </w:t>
      </w:r>
      <w:r w:rsidR="005A7B35">
        <w:rPr>
          <w:bCs/>
        </w:rPr>
        <w:t xml:space="preserve">gan </w:t>
      </w:r>
      <w:r w:rsidR="00F10B5C" w:rsidRPr="00FB0B9D">
        <w:rPr>
          <w:bCs/>
        </w:rPr>
        <w:t>kapacitātes celšanā</w:t>
      </w:r>
      <w:r w:rsidR="005A7B35">
        <w:rPr>
          <w:bCs/>
        </w:rPr>
        <w:t>, gan</w:t>
      </w:r>
      <w:r w:rsidR="00F10B5C" w:rsidRPr="00FB0B9D">
        <w:rPr>
          <w:bCs/>
        </w:rPr>
        <w:t xml:space="preserve"> jaunu procesu ieviešanā. </w:t>
      </w:r>
    </w:p>
    <w:p w14:paraId="663344C0" w14:textId="5FC2EA6C" w:rsidR="00F10B5C" w:rsidRDefault="005A7B35" w:rsidP="00F10B5C">
      <w:pPr>
        <w:rPr>
          <w:bCs/>
        </w:rPr>
      </w:pPr>
      <w:r>
        <w:rPr>
          <w:bCs/>
        </w:rPr>
        <w:t>F</w:t>
      </w:r>
      <w:r w:rsidR="00F10B5C" w:rsidRPr="00FB0B9D">
        <w:rPr>
          <w:bCs/>
        </w:rPr>
        <w:t xml:space="preserve">ondu atbalsta </w:t>
      </w:r>
      <w:r>
        <w:rPr>
          <w:bCs/>
        </w:rPr>
        <w:t xml:space="preserve">trūkuma gadījumā </w:t>
      </w:r>
      <w:r w:rsidR="000A0A9F">
        <w:rPr>
          <w:bCs/>
        </w:rPr>
        <w:t xml:space="preserve">valsts </w:t>
      </w:r>
      <w:r w:rsidR="00F10B5C" w:rsidRPr="00FB0B9D">
        <w:rPr>
          <w:bCs/>
        </w:rPr>
        <w:t xml:space="preserve">būtu </w:t>
      </w:r>
      <w:r w:rsidR="000A0A9F">
        <w:rPr>
          <w:bCs/>
        </w:rPr>
        <w:t xml:space="preserve">spiesta </w:t>
      </w:r>
      <w:r w:rsidR="006D3105">
        <w:rPr>
          <w:bCs/>
        </w:rPr>
        <w:t xml:space="preserve">atteikties no </w:t>
      </w:r>
      <w:r w:rsidR="00F10B5C" w:rsidRPr="00FB0B9D">
        <w:rPr>
          <w:bCs/>
        </w:rPr>
        <w:t xml:space="preserve">vairākām aktivitātēm un </w:t>
      </w:r>
      <w:r w:rsidR="006D3105">
        <w:rPr>
          <w:bCs/>
        </w:rPr>
        <w:t>ievērojami</w:t>
      </w:r>
      <w:r w:rsidR="00F10B5C" w:rsidRPr="00FB0B9D">
        <w:rPr>
          <w:bCs/>
        </w:rPr>
        <w:t xml:space="preserve"> ierobežo</w:t>
      </w:r>
      <w:r w:rsidR="006D3105">
        <w:rPr>
          <w:bCs/>
        </w:rPr>
        <w:t>t</w:t>
      </w:r>
      <w:r w:rsidR="00F10B5C" w:rsidRPr="00FB0B9D">
        <w:rPr>
          <w:bCs/>
        </w:rPr>
        <w:t xml:space="preserve"> mērķa grupām pieejam</w:t>
      </w:r>
      <w:r w:rsidR="004E44BE">
        <w:rPr>
          <w:bCs/>
        </w:rPr>
        <w:t>o</w:t>
      </w:r>
      <w:r w:rsidR="00F10B5C" w:rsidRPr="00FB0B9D">
        <w:rPr>
          <w:bCs/>
        </w:rPr>
        <w:t xml:space="preserve"> atbalst</w:t>
      </w:r>
      <w:r w:rsidR="004E44BE">
        <w:rPr>
          <w:bCs/>
        </w:rPr>
        <w:t>u</w:t>
      </w:r>
      <w:r w:rsidR="00F10B5C" w:rsidRPr="00FB0B9D">
        <w:rPr>
          <w:bCs/>
        </w:rPr>
        <w:t xml:space="preserve">, kas </w:t>
      </w:r>
      <w:r w:rsidR="004E44BE">
        <w:rPr>
          <w:bCs/>
        </w:rPr>
        <w:t xml:space="preserve">savukārt radītu </w:t>
      </w:r>
      <w:r w:rsidR="00F10B5C" w:rsidRPr="00FB0B9D">
        <w:rPr>
          <w:bCs/>
        </w:rPr>
        <w:t>negatīv</w:t>
      </w:r>
      <w:r w:rsidR="004E44BE">
        <w:rPr>
          <w:bCs/>
        </w:rPr>
        <w:t>u</w:t>
      </w:r>
      <w:r w:rsidR="00F10B5C" w:rsidRPr="00FB0B9D">
        <w:rPr>
          <w:bCs/>
        </w:rPr>
        <w:t xml:space="preserve"> ietekm</w:t>
      </w:r>
      <w:r w:rsidR="004E44BE">
        <w:rPr>
          <w:bCs/>
        </w:rPr>
        <w:t>i uz</w:t>
      </w:r>
      <w:r w:rsidR="00F10B5C" w:rsidRPr="00FB0B9D">
        <w:rPr>
          <w:bCs/>
        </w:rPr>
        <w:t xml:space="preserve"> ES migrācijas politikas īstenošanu</w:t>
      </w:r>
      <w:r w:rsidR="000F11E4">
        <w:rPr>
          <w:bCs/>
        </w:rPr>
        <w:t xml:space="preserve">. </w:t>
      </w:r>
      <w:r w:rsidR="0089704C">
        <w:t>Pētījumi liecina, ka nepietiekams integrācijas atbalsts var veicināt gan sekundāro migrāciju uz dalībvalstīm ar labvēlīgākiem uzņemšanas nosacījumiem, gan sociālo segregāciju un paralēlu kopienu veidošanos uzņemošajā sabiedrībā</w:t>
      </w:r>
      <w:r w:rsidR="00E04BAC">
        <w:t>.</w:t>
      </w:r>
    </w:p>
    <w:p w14:paraId="57E163FF" w14:textId="77777777" w:rsidR="00F10B5C" w:rsidRPr="00F479A9" w:rsidRDefault="00F10B5C" w:rsidP="00F10B5C">
      <w:pPr>
        <w:rPr>
          <w:b/>
          <w:bCs/>
        </w:rPr>
      </w:pPr>
      <w:r w:rsidRPr="00F479A9">
        <w:rPr>
          <w:b/>
          <w:bCs/>
        </w:rPr>
        <w:t xml:space="preserve">Ilgtspēja </w:t>
      </w:r>
    </w:p>
    <w:p w14:paraId="7CC61D34" w14:textId="60789470" w:rsidR="00F10B5C" w:rsidRPr="00F479A9" w:rsidRDefault="00F10B5C" w:rsidP="00F10B5C">
      <w:r w:rsidRPr="00F479A9">
        <w:t>Projektu rezultāt</w:t>
      </w:r>
      <w:r w:rsidR="007E6D13">
        <w:t xml:space="preserve">u ilgtspējas novērtējums </w:t>
      </w:r>
      <w:r w:rsidR="00BF1E2A">
        <w:t xml:space="preserve">demonstrē </w:t>
      </w:r>
      <w:r w:rsidR="007E6D13">
        <w:t xml:space="preserve">pozitīvu </w:t>
      </w:r>
      <w:r w:rsidR="00BF1E2A">
        <w:t>tendenci</w:t>
      </w:r>
      <w:r w:rsidR="007E6D13">
        <w:t>,</w:t>
      </w:r>
      <w:r w:rsidRPr="00F479A9">
        <w:t xml:space="preserve"> </w:t>
      </w:r>
      <w:r w:rsidR="00BF1E2A">
        <w:t>uzrādot tos</w:t>
      </w:r>
      <w:r w:rsidRPr="00F479A9">
        <w:t xml:space="preserve"> kā noturīg</w:t>
      </w:r>
      <w:r w:rsidR="00BF1E2A">
        <w:t>us</w:t>
      </w:r>
      <w:r w:rsidRPr="00F479A9">
        <w:t xml:space="preserve"> vai drīzāk noturīg</w:t>
      </w:r>
      <w:r w:rsidR="002B1431">
        <w:t>us.</w:t>
      </w:r>
      <w:r w:rsidRPr="00F479A9">
        <w:t xml:space="preserve"> Finansējuma saņēmēj</w:t>
      </w:r>
      <w:r w:rsidR="002B1431">
        <w:t>u</w:t>
      </w:r>
      <w:r w:rsidRPr="00F479A9">
        <w:t xml:space="preserve"> līgum</w:t>
      </w:r>
      <w:r w:rsidR="00863E18">
        <w:t>saistības ietver rezultātu</w:t>
      </w:r>
      <w:r w:rsidR="002C45D0">
        <w:t xml:space="preserve"> </w:t>
      </w:r>
      <w:r w:rsidRPr="00F479A9">
        <w:t>ilgtspēj</w:t>
      </w:r>
      <w:r w:rsidR="002C45D0">
        <w:t>as nodrošināšan</w:t>
      </w:r>
      <w:r w:rsidR="00AA1E31">
        <w:t>as pienākumu</w:t>
      </w:r>
      <w:r w:rsidRPr="00F479A9">
        <w:t>, kura termiņ</w:t>
      </w:r>
      <w:r w:rsidR="00596043">
        <w:t>a ilgums</w:t>
      </w:r>
      <w:r w:rsidR="00CC2B31">
        <w:t xml:space="preserve"> korelē </w:t>
      </w:r>
      <w:r w:rsidR="00A24176">
        <w:t xml:space="preserve">ar investīciju </w:t>
      </w:r>
      <w:r w:rsidR="00B06CB0">
        <w:t>specifikāciju</w:t>
      </w:r>
      <w:r w:rsidRPr="00F479A9">
        <w:t>. Ilgtspēj</w:t>
      </w:r>
      <w:r w:rsidR="00ED757A">
        <w:t>as dimensija</w:t>
      </w:r>
      <w:r w:rsidRPr="00F479A9">
        <w:t xml:space="preserve"> </w:t>
      </w:r>
      <w:r w:rsidR="002565A4">
        <w:t xml:space="preserve">tiek stiprināta </w:t>
      </w:r>
      <w:r w:rsidR="00E354BC">
        <w:t xml:space="preserve">caur diviem </w:t>
      </w:r>
      <w:r w:rsidR="00E87464">
        <w:t>mehānismiem:</w:t>
      </w:r>
      <w:r w:rsidR="00E354BC">
        <w:t xml:space="preserve"> </w:t>
      </w:r>
      <w:r w:rsidR="00FA2CF9">
        <w:t xml:space="preserve">pirmkārt, </w:t>
      </w:r>
      <w:r w:rsidRPr="00F479A9">
        <w:t>projektu ietvaros īstenoto atbalsta pasākumu integr</w:t>
      </w:r>
      <w:r w:rsidR="0049664C">
        <w:t>āciju</w:t>
      </w:r>
      <w:r w:rsidRPr="00F479A9">
        <w:t xml:space="preserve"> valsts budžeta finansētās programmās, </w:t>
      </w:r>
      <w:r w:rsidR="00AD251E">
        <w:t>otrkārt</w:t>
      </w:r>
      <w:r w:rsidR="003F12F1">
        <w:t xml:space="preserve">, </w:t>
      </w:r>
      <w:r w:rsidRPr="00F479A9">
        <w:t>ilgtermiņ</w:t>
      </w:r>
      <w:r w:rsidR="00713005">
        <w:t>ā</w:t>
      </w:r>
      <w:r w:rsidRPr="00F479A9">
        <w:t xml:space="preserve"> izmantoja</w:t>
      </w:r>
      <w:r w:rsidR="00713005">
        <w:t xml:space="preserve">mo </w:t>
      </w:r>
      <w:r w:rsidR="005F449C">
        <w:t>aktīvu radīšana</w:t>
      </w:r>
      <w:r w:rsidR="00C33473">
        <w:t xml:space="preserve">, kas ietver </w:t>
      </w:r>
      <w:r w:rsidRPr="00F479A9">
        <w:t>materiāltehnisk</w:t>
      </w:r>
      <w:r w:rsidR="00C33473">
        <w:t>o</w:t>
      </w:r>
      <w:r w:rsidRPr="00F479A9">
        <w:t xml:space="preserve"> nodrošinājum</w:t>
      </w:r>
      <w:r w:rsidR="00C33473">
        <w:t>u</w:t>
      </w:r>
      <w:r w:rsidRPr="00F479A9">
        <w:t>, IT sistēmas un izstrādāt</w:t>
      </w:r>
      <w:r w:rsidR="00656B4D">
        <w:t>os</w:t>
      </w:r>
      <w:r w:rsidRPr="00F479A9">
        <w:t xml:space="preserve"> metodoloģisk</w:t>
      </w:r>
      <w:r w:rsidR="00656B4D">
        <w:t>os</w:t>
      </w:r>
      <w:r w:rsidRPr="00F479A9">
        <w:t xml:space="preserve"> un informatīv</w:t>
      </w:r>
      <w:r w:rsidR="00656B4D">
        <w:t>os</w:t>
      </w:r>
      <w:r w:rsidRPr="00F479A9">
        <w:t xml:space="preserve"> </w:t>
      </w:r>
      <w:r w:rsidR="0002396E">
        <w:t>resursus</w:t>
      </w:r>
      <w:r w:rsidRPr="00F479A9">
        <w:t xml:space="preserve">. Tāpat nozīmīgs ilgtspējas faktors ir </w:t>
      </w:r>
      <w:r w:rsidR="00821F77">
        <w:lastRenderedPageBreak/>
        <w:t>institucionālās un individuālās</w:t>
      </w:r>
      <w:r w:rsidRPr="00F479A9">
        <w:t xml:space="preserve"> kapacitātes </w:t>
      </w:r>
      <w:r w:rsidR="00086DBC">
        <w:t>stiprināšana</w:t>
      </w:r>
      <w:r w:rsidRPr="00F479A9">
        <w:t>, k</w:t>
      </w:r>
      <w:r w:rsidR="00BF7327">
        <w:t xml:space="preserve">as tiek </w:t>
      </w:r>
      <w:r w:rsidR="005C57F2">
        <w:t xml:space="preserve">realizēta gan </w:t>
      </w:r>
      <w:r w:rsidR="004D7BAA">
        <w:t>caur</w:t>
      </w:r>
      <w:r w:rsidRPr="00F479A9">
        <w:t xml:space="preserve"> apmācību aktivitāt</w:t>
      </w:r>
      <w:r w:rsidR="00BA2C94">
        <w:t>ēm</w:t>
      </w:r>
      <w:r w:rsidRPr="00F479A9">
        <w:t xml:space="preserve">, gan </w:t>
      </w:r>
      <w:r w:rsidR="00181971">
        <w:t xml:space="preserve">caur </w:t>
      </w:r>
      <w:r w:rsidRPr="00F479A9">
        <w:t>iegūt</w:t>
      </w:r>
      <w:r w:rsidR="00181971">
        <w:t>o</w:t>
      </w:r>
      <w:r w:rsidRPr="00F479A9">
        <w:t xml:space="preserve"> pieredz</w:t>
      </w:r>
      <w:r w:rsidR="00181971">
        <w:t>i</w:t>
      </w:r>
      <w:r w:rsidRPr="00F479A9">
        <w:t xml:space="preserve"> projektu īstenošanā.</w:t>
      </w:r>
    </w:p>
    <w:p w14:paraId="575B3F7D" w14:textId="15D56D84" w:rsidR="00F10B5C" w:rsidRPr="00F479A9" w:rsidRDefault="00F10B5C" w:rsidP="00F10B5C">
      <w:r w:rsidRPr="00F479A9">
        <w:t xml:space="preserve">Galvenie riski, kas var apdraudēt rezultātu ilgtspēju, ir saistīti ar finanšu resursu trūkumu rezultātu uzturēšanai un uzsākto aktivitāšu turpināšanai, politiskā atbalsta </w:t>
      </w:r>
      <w:r w:rsidR="00BD5F30">
        <w:t>nepietiekamību</w:t>
      </w:r>
      <w:r w:rsidRPr="00F479A9">
        <w:t xml:space="preserve">, kā arī </w:t>
      </w:r>
      <w:r w:rsidR="00246299">
        <w:t xml:space="preserve">ar </w:t>
      </w:r>
      <w:r w:rsidRPr="00F479A9">
        <w:t>ārēj</w:t>
      </w:r>
      <w:r w:rsidR="001378B8">
        <w:t>o</w:t>
      </w:r>
      <w:r w:rsidRPr="00F479A9">
        <w:t xml:space="preserve"> faktor</w:t>
      </w:r>
      <w:r w:rsidR="001378B8">
        <w:t>u ietekmi</w:t>
      </w:r>
      <w:r w:rsidRPr="00F479A9">
        <w:t>, piemēram, ģeopolitisk</w:t>
      </w:r>
      <w:r w:rsidR="001378B8">
        <w:t>ās vides transformāciju</w:t>
      </w:r>
      <w:r w:rsidRPr="00F479A9">
        <w:t xml:space="preserve">. </w:t>
      </w:r>
    </w:p>
    <w:p w14:paraId="629F71F4" w14:textId="77B590B0" w:rsidR="00F10B5C" w:rsidRPr="00F479A9" w:rsidRDefault="00F10B5C" w:rsidP="00F10B5C">
      <w:r w:rsidRPr="00F479A9">
        <w:t>Finansējuma nepārtrauktība ir īpaši būtiska</w:t>
      </w:r>
      <w:r w:rsidR="00F17665">
        <w:t xml:space="preserve"> trīs pamatelementos:</w:t>
      </w:r>
      <w:r w:rsidRPr="00F479A9">
        <w:t xml:space="preserve"> integrācijas pasākumu nodrošināšan</w:t>
      </w:r>
      <w:r w:rsidR="00482625">
        <w:t>ā</w:t>
      </w:r>
      <w:r w:rsidRPr="00F479A9">
        <w:t>, patvēruma meklētāj</w:t>
      </w:r>
      <w:r w:rsidR="00E41830">
        <w:t>u atbalsta sistēmā</w:t>
      </w:r>
      <w:r w:rsidRPr="00F479A9">
        <w:t xml:space="preserve"> un atgriešanas pasākumu īstenošan</w:t>
      </w:r>
      <w:r w:rsidR="00616B24">
        <w:t>as procesā</w:t>
      </w:r>
      <w:r w:rsidRPr="00F479A9">
        <w:t xml:space="preserve">. Pārejas periodā </w:t>
      </w:r>
      <w:r w:rsidR="00616B24">
        <w:t xml:space="preserve">starp 2014. – 2020. gada un </w:t>
      </w:r>
      <w:r w:rsidRPr="00F479A9">
        <w:t>2021.</w:t>
      </w:r>
      <w:r w:rsidR="00616B24">
        <w:t xml:space="preserve"> </w:t>
      </w:r>
      <w:r w:rsidRPr="00F479A9">
        <w:t>-</w:t>
      </w:r>
      <w:r w:rsidR="00616B24">
        <w:t xml:space="preserve"> </w:t>
      </w:r>
      <w:r w:rsidRPr="00F479A9">
        <w:t>2027. gada plānošanas period</w:t>
      </w:r>
      <w:r w:rsidR="00616B24">
        <w:t>iem</w:t>
      </w:r>
      <w:r w:rsidRPr="00F479A9">
        <w:t xml:space="preserve"> </w:t>
      </w:r>
      <w:r w:rsidR="00796099">
        <w:t>konstatētais finansējuma pārrāvums</w:t>
      </w:r>
      <w:r w:rsidRPr="00F479A9">
        <w:t xml:space="preserve"> integrācijas pasākumu </w:t>
      </w:r>
      <w:r w:rsidR="00AC3EE4">
        <w:t>realizēšanā</w:t>
      </w:r>
      <w:r w:rsidRPr="00F479A9">
        <w:t xml:space="preserve"> palielināja risku mērķa grupas pārstāvjiem zaudēt iegūtās iemaņas un pārtraukt valodas apguvi, tādējādi kavējot integrācijas procesu. Šī probl</w:t>
      </w:r>
      <w:r w:rsidR="00B7470C">
        <w:t>emātika</w:t>
      </w:r>
      <w:r w:rsidRPr="00F479A9">
        <w:t xml:space="preserve"> aktualizē nepieciešamību pēc ilgtspējīgāka finansēšanas modeļa izstrādes, kas nodrošinātu mācību proces</w:t>
      </w:r>
      <w:r w:rsidR="003205E6">
        <w:t>a</w:t>
      </w:r>
      <w:r w:rsidRPr="00F479A9">
        <w:t xml:space="preserve"> </w:t>
      </w:r>
      <w:r w:rsidR="003205E6" w:rsidRPr="00F479A9">
        <w:t>nepārtraukt</w:t>
      </w:r>
      <w:r w:rsidR="003205E6">
        <w:t>ību</w:t>
      </w:r>
      <w:r w:rsidRPr="00F479A9">
        <w:t xml:space="preserve"> un zināšanu apguv</w:t>
      </w:r>
      <w:r w:rsidR="007D564B">
        <w:t>es stabilitāti</w:t>
      </w:r>
      <w:r w:rsidRPr="00F479A9">
        <w:t>.</w:t>
      </w:r>
    </w:p>
    <w:p w14:paraId="19E38BCA" w14:textId="77777777" w:rsidR="00F10B5C" w:rsidRPr="00476F07" w:rsidRDefault="00F10B5C" w:rsidP="00F10B5C">
      <w:pPr>
        <w:spacing w:after="160"/>
        <w:rPr>
          <w:b/>
          <w:bCs/>
        </w:rPr>
      </w:pPr>
      <w:r w:rsidRPr="00F479A9">
        <w:rPr>
          <w:b/>
          <w:bCs/>
        </w:rPr>
        <w:t>Administratīvā sloga vienkāršošana un samazināšana</w:t>
      </w:r>
    </w:p>
    <w:p w14:paraId="4976784F" w14:textId="3F85F658" w:rsidR="00F10B5C" w:rsidRPr="00F479A9" w:rsidRDefault="00F10B5C" w:rsidP="00F10B5C">
      <w:r w:rsidRPr="00F479A9">
        <w:t xml:space="preserve">Plānošanas perioda ievaros </w:t>
      </w:r>
      <w:r w:rsidR="00237E4F">
        <w:t>realizētie</w:t>
      </w:r>
      <w:r w:rsidR="00835043">
        <w:t xml:space="preserve"> administratīvā sloga mazināšanas </w:t>
      </w:r>
      <w:r w:rsidRPr="00F479A9">
        <w:t>pasākumi</w:t>
      </w:r>
      <w:r w:rsidR="00835043">
        <w:t xml:space="preserve"> ir bijuši fragmentēti un limitēti, </w:t>
      </w:r>
      <w:r w:rsidR="009F497E">
        <w:t>koncertējoties</w:t>
      </w:r>
      <w:r w:rsidR="00874341">
        <w:t xml:space="preserve"> primāri uz specifiskiem a</w:t>
      </w:r>
      <w:r w:rsidR="009F497E">
        <w:t>spektiem,</w:t>
      </w:r>
      <w:r w:rsidRPr="00F479A9">
        <w:t xml:space="preserve"> piemēram, pāreja uz elektronisko dokumentu apriti</w:t>
      </w:r>
      <w:r w:rsidR="00C03D0E">
        <w:t xml:space="preserve"> un </w:t>
      </w:r>
      <w:r w:rsidRPr="00F479A9">
        <w:t>elastīgāka pieej</w:t>
      </w:r>
      <w:r w:rsidR="00967A36">
        <w:t>u</w:t>
      </w:r>
      <w:r w:rsidRPr="00F479A9">
        <w:t xml:space="preserve"> grozījumu veikšanā. Vienlaikus daudzgadu programmu ieviešana </w:t>
      </w:r>
      <w:r w:rsidR="005F6188">
        <w:t>ir nodrošinājusi</w:t>
      </w:r>
      <w:r w:rsidRPr="00F479A9">
        <w:t xml:space="preserve"> </w:t>
      </w:r>
      <w:r w:rsidR="005F6188">
        <w:t>vairākus</w:t>
      </w:r>
      <w:r w:rsidRPr="00F479A9">
        <w:t xml:space="preserve"> stratēģisk</w:t>
      </w:r>
      <w:r w:rsidR="005F6188">
        <w:t>us uzlabojumus, tādus kā stratēģiski</w:t>
      </w:r>
      <w:r w:rsidRPr="00F479A9">
        <w:t xml:space="preserve"> </w:t>
      </w:r>
      <w:r w:rsidR="001B4D31">
        <w:t>orientē</w:t>
      </w:r>
      <w:r w:rsidR="00646742">
        <w:t>tu</w:t>
      </w:r>
      <w:r w:rsidRPr="00F479A9">
        <w:t xml:space="preserve"> projektu plānošanu, projektu</w:t>
      </w:r>
      <w:r w:rsidR="00D87167">
        <w:t xml:space="preserve"> realizāciju</w:t>
      </w:r>
      <w:r w:rsidRPr="00F479A9">
        <w:t xml:space="preserve"> garāk</w:t>
      </w:r>
      <w:r w:rsidR="00B95D96">
        <w:t>ā</w:t>
      </w:r>
      <w:r w:rsidRPr="00F479A9">
        <w:t xml:space="preserve"> termiņ</w:t>
      </w:r>
      <w:r w:rsidR="00B95D96">
        <w:t>ā</w:t>
      </w:r>
      <w:r w:rsidR="00120D02">
        <w:t xml:space="preserve"> un </w:t>
      </w:r>
      <w:r w:rsidR="00A56426">
        <w:t xml:space="preserve">paaugstinātu </w:t>
      </w:r>
      <w:r w:rsidRPr="00F479A9">
        <w:t>elastī</w:t>
      </w:r>
      <w:r w:rsidR="00453BA4">
        <w:t>bu</w:t>
      </w:r>
      <w:r w:rsidRPr="00F479A9">
        <w:t xml:space="preserve"> pielāgoties mainīgajām vajadzībām. </w:t>
      </w:r>
    </w:p>
    <w:p w14:paraId="6166FDD9" w14:textId="6620063E" w:rsidR="00F10B5C" w:rsidRPr="00F10B5C" w:rsidRDefault="003E069E" w:rsidP="00F10B5C">
      <w:r>
        <w:t>Neraugoties uz</w:t>
      </w:r>
      <w:r w:rsidR="00F10B5C" w:rsidRPr="00F479A9">
        <w:t xml:space="preserve"> administratīvā sloga vienkāršošana</w:t>
      </w:r>
      <w:r w:rsidR="004E4167">
        <w:t>s</w:t>
      </w:r>
      <w:r w:rsidR="00F10B5C" w:rsidRPr="00F479A9">
        <w:t xml:space="preserve"> </w:t>
      </w:r>
      <w:r w:rsidR="00180C09">
        <w:t xml:space="preserve">limitētajiem </w:t>
      </w:r>
      <w:r w:rsidR="00182D85">
        <w:t>aspektiem</w:t>
      </w:r>
      <w:r w:rsidR="00F10B5C" w:rsidRPr="00F479A9">
        <w:t xml:space="preserve"> 2014.-2020. gada plānošanas period</w:t>
      </w:r>
      <w:r w:rsidR="00E66184">
        <w:t>ā</w:t>
      </w:r>
      <w:r w:rsidR="00CA7287">
        <w:t xml:space="preserve">, </w:t>
      </w:r>
      <w:r w:rsidR="00F10B5C" w:rsidRPr="00F479A9">
        <w:t>finansējuma saņēmēj</w:t>
      </w:r>
      <w:r w:rsidR="00534AED">
        <w:t>u sniegtās atsauksmes</w:t>
      </w:r>
      <w:r w:rsidR="00F10B5C" w:rsidRPr="00F479A9">
        <w:t xml:space="preserve"> norāda uz nozīmīgiem uzlabojumiem 2021.-2027.gada plānošanas periodā</w:t>
      </w:r>
      <w:r w:rsidR="00E67794">
        <w:t>, kas iespējams, atspoguļo pārvaldības modeļa pilnveides un administratīvās efektivitātes mērķētu attīstību nākamajā programmēšanas periodā.</w:t>
      </w:r>
    </w:p>
    <w:p w14:paraId="4D0C5F00" w14:textId="63AF569D" w:rsidR="00095865" w:rsidRDefault="00061AEC" w:rsidP="00BF4167">
      <w:pPr>
        <w:pStyle w:val="Virsraksts2"/>
        <w:numPr>
          <w:ilvl w:val="1"/>
          <w:numId w:val="42"/>
        </w:numPr>
        <w:rPr>
          <w:b/>
          <w:bCs/>
        </w:rPr>
      </w:pPr>
      <w:bookmarkStart w:id="100" w:name="_Toc193371312"/>
      <w:r w:rsidRPr="008F64A0">
        <w:rPr>
          <w:sz w:val="30"/>
          <w:szCs w:val="28"/>
        </w:rPr>
        <w:t>I</w:t>
      </w:r>
      <w:r w:rsidR="00B93B39">
        <w:rPr>
          <w:sz w:val="30"/>
          <w:szCs w:val="28"/>
        </w:rPr>
        <w:t>ekšējās drošības fonda</w:t>
      </w:r>
      <w:r w:rsidRPr="008F64A0">
        <w:rPr>
          <w:sz w:val="30"/>
          <w:szCs w:val="28"/>
        </w:rPr>
        <w:t xml:space="preserve"> </w:t>
      </w:r>
      <w:r w:rsidR="00095865" w:rsidRPr="008F64A0">
        <w:rPr>
          <w:b/>
          <w:bCs/>
        </w:rPr>
        <w:t>finansiāla atbalsta instruments ārējām robežām un vīzām</w:t>
      </w:r>
      <w:r w:rsidR="004F7679">
        <w:rPr>
          <w:b/>
          <w:bCs/>
        </w:rPr>
        <w:t xml:space="preserve"> secinājumi un atziņas</w:t>
      </w:r>
      <w:bookmarkEnd w:id="100"/>
    </w:p>
    <w:p w14:paraId="168C843E" w14:textId="06824336" w:rsidR="00B93B39" w:rsidRPr="00A353A3" w:rsidRDefault="00B93B39" w:rsidP="00B93B39">
      <w:r>
        <w:t xml:space="preserve">IDF </w:t>
      </w:r>
      <w:r w:rsidR="00A1205A">
        <w:t>finansiālais atbalsts</w:t>
      </w:r>
      <w:r>
        <w:t xml:space="preserve"> </w:t>
      </w:r>
      <w:r w:rsidR="006775B1">
        <w:t xml:space="preserve">ārējām robežām </w:t>
      </w:r>
      <w:r>
        <w:t xml:space="preserve">un vīzām </w:t>
      </w:r>
      <w:r w:rsidR="00B26540">
        <w:t xml:space="preserve">ir bijis kā mērķtiecīgs mehānisms, kas veicinājis kopējās vīzu politikas </w:t>
      </w:r>
      <w:r w:rsidR="008E1F77">
        <w:t>ieviešanu un nodrošinājis</w:t>
      </w:r>
      <w:r>
        <w:t xml:space="preserve"> vienlīdzīg</w:t>
      </w:r>
      <w:r w:rsidR="00097C0F">
        <w:t>u</w:t>
      </w:r>
      <w:r>
        <w:t xml:space="preserve"> attieksm</w:t>
      </w:r>
      <w:r w:rsidR="00097C0F">
        <w:t>i</w:t>
      </w:r>
      <w:r>
        <w:t xml:space="preserve"> pret TVP</w:t>
      </w:r>
      <w:r w:rsidR="0007337B">
        <w:t xml:space="preserve">. Vienlaikus īstenotie pasākumi </w:t>
      </w:r>
      <w:r w:rsidR="00C20690">
        <w:t>ir bijuši orientēti</w:t>
      </w:r>
      <w:r w:rsidR="0007337B">
        <w:t xml:space="preserve"> uz </w:t>
      </w:r>
      <w:r>
        <w:t xml:space="preserve">robežu integrētas pārvaldības pilnveidi, </w:t>
      </w:r>
      <w:r w:rsidR="003B0F63">
        <w:t>tādējādi</w:t>
      </w:r>
      <w:r>
        <w:t xml:space="preserve"> veicin</w:t>
      </w:r>
      <w:r w:rsidR="003B0F63">
        <w:t>ot</w:t>
      </w:r>
      <w:r>
        <w:t xml:space="preserve"> atbilstību ES standartiem, </w:t>
      </w:r>
      <w:r w:rsidR="00621415">
        <w:t xml:space="preserve">stiprinot starpvalstu </w:t>
      </w:r>
      <w:r>
        <w:t>informācijas apmaiņ</w:t>
      </w:r>
      <w:r w:rsidR="00621415">
        <w:t>as procesus</w:t>
      </w:r>
      <w:r>
        <w:t xml:space="preserve"> </w:t>
      </w:r>
      <w:r w:rsidR="00606684">
        <w:t>un paaugstinot</w:t>
      </w:r>
      <w:r>
        <w:t xml:space="preserve"> ārējās robežas drošīb</w:t>
      </w:r>
      <w:r w:rsidR="00A95823">
        <w:t>as līmeni</w:t>
      </w:r>
      <w:r>
        <w:t xml:space="preserve">, vienlaikus </w:t>
      </w:r>
      <w:r w:rsidR="0073025E">
        <w:t>saglabājot</w:t>
      </w:r>
      <w:r>
        <w:t xml:space="preserve"> </w:t>
      </w:r>
      <w:r w:rsidR="008E5FFD">
        <w:t>efektīvu</w:t>
      </w:r>
      <w:r>
        <w:t xml:space="preserve"> robežšķērsošan</w:t>
      </w:r>
      <w:r w:rsidR="00B61E00">
        <w:t>as procesu atbilstoši</w:t>
      </w:r>
      <w:r>
        <w:t xml:space="preserve"> Šengenas </w:t>
      </w:r>
      <w:r>
        <w:rPr>
          <w:i/>
          <w:iCs/>
        </w:rPr>
        <w:t>acquis</w:t>
      </w:r>
      <w:r w:rsidR="00F36F71">
        <w:t xml:space="preserve"> principiem</w:t>
      </w:r>
      <w:r>
        <w:rPr>
          <w:i/>
          <w:iCs/>
        </w:rPr>
        <w:t xml:space="preserve">. </w:t>
      </w:r>
      <w:r>
        <w:t xml:space="preserve">Kopumā IDF ietvaros </w:t>
      </w:r>
      <w:r w:rsidR="00C3614F">
        <w:t xml:space="preserve">robežu un </w:t>
      </w:r>
      <w:r>
        <w:t>vīz</w:t>
      </w:r>
      <w:r w:rsidR="00C3614F">
        <w:t xml:space="preserve">u jomā </w:t>
      </w:r>
      <w:r w:rsidR="00D45A4B">
        <w:t xml:space="preserve">ir </w:t>
      </w:r>
      <w:r>
        <w:t xml:space="preserve">īstenoti 24 projekti. </w:t>
      </w:r>
    </w:p>
    <w:p w14:paraId="27B9EA0F" w14:textId="77777777" w:rsidR="00B93B39" w:rsidRPr="00F479A9" w:rsidRDefault="00B93B39" w:rsidP="00B93B39">
      <w:pPr>
        <w:rPr>
          <w:b/>
          <w:bCs/>
        </w:rPr>
      </w:pPr>
      <w:r w:rsidRPr="00F479A9">
        <w:rPr>
          <w:b/>
          <w:bCs/>
        </w:rPr>
        <w:t>Efektivitāte</w:t>
      </w:r>
    </w:p>
    <w:p w14:paraId="56E92846" w14:textId="77777777" w:rsidR="00B829D8" w:rsidRDefault="00585A28" w:rsidP="00B93B39">
      <w:r>
        <w:t xml:space="preserve">IDF </w:t>
      </w:r>
      <w:r w:rsidR="00D45A4B">
        <w:t>finansētie pasākumi</w:t>
      </w:r>
      <w:r w:rsidR="00B93B39" w:rsidRPr="005F7DAF">
        <w:t xml:space="preserve"> vīzu un robežu </w:t>
      </w:r>
      <w:r w:rsidR="004A4970">
        <w:t xml:space="preserve">pārvaldības </w:t>
      </w:r>
      <w:r w:rsidR="00B93B39" w:rsidRPr="005F7DAF">
        <w:t>jomā</w:t>
      </w:r>
      <w:r w:rsidR="004A4970">
        <w:t>s</w:t>
      </w:r>
      <w:r w:rsidR="00B93B39" w:rsidRPr="005F7DAF">
        <w:t xml:space="preserve"> ir </w:t>
      </w:r>
      <w:r w:rsidR="004A4970">
        <w:t xml:space="preserve">demonstrējuši </w:t>
      </w:r>
      <w:r w:rsidR="00BD5232">
        <w:t>augstu efektivitāti</w:t>
      </w:r>
      <w:r w:rsidR="00B93B39" w:rsidRPr="005F7DAF">
        <w:t xml:space="preserve"> izvirzīto mērķu </w:t>
      </w:r>
      <w:r w:rsidR="00BD5232">
        <w:t>sasniegšanā.</w:t>
      </w:r>
      <w:r w:rsidR="00B93B39" w:rsidRPr="005F7DAF">
        <w:t xml:space="preserve"> Kvantitatīvā izteiksmē vairāk nekā puse no plānotajiem rezultatīvajiem rādītājiem</w:t>
      </w:r>
      <w:r w:rsidR="003414AD">
        <w:t xml:space="preserve"> ir sasniegti</w:t>
      </w:r>
      <w:r w:rsidR="00B93B39" w:rsidRPr="005F7DAF">
        <w:t xml:space="preserve">, turklāt </w:t>
      </w:r>
      <w:r w:rsidR="003414AD">
        <w:t>faktiskās</w:t>
      </w:r>
      <w:r w:rsidR="00B93B39" w:rsidRPr="005F7DAF">
        <w:t xml:space="preserve"> vērtības ir pārsniegušas sākotnēji plānot</w:t>
      </w:r>
      <w:r w:rsidR="002B7CD7">
        <w:t>o</w:t>
      </w:r>
      <w:r w:rsidR="00B93B39" w:rsidRPr="005F7DAF">
        <w:t>s</w:t>
      </w:r>
      <w:r w:rsidR="002B7CD7">
        <w:t xml:space="preserve"> lielumus</w:t>
      </w:r>
      <w:r w:rsidR="00B93B39" w:rsidRPr="005F7DAF">
        <w:t xml:space="preserve">. </w:t>
      </w:r>
    </w:p>
    <w:p w14:paraId="22550962" w14:textId="49BAD6E0" w:rsidR="00B93B39" w:rsidRPr="005F7DAF" w:rsidRDefault="00B93B39" w:rsidP="00B93B39">
      <w:r w:rsidRPr="005F7DAF">
        <w:t>Vienlaikus jāatzīmē, ka 50</w:t>
      </w:r>
      <w:r w:rsidR="00B829D8">
        <w:t xml:space="preserve"> </w:t>
      </w:r>
      <w:r w:rsidRPr="005F7DAF">
        <w:t xml:space="preserve">% no īstenotajiem projektiem nav </w:t>
      </w:r>
      <w:r w:rsidR="00973288">
        <w:t>tikuši</w:t>
      </w:r>
      <w:r w:rsidRPr="005F7DAF">
        <w:t xml:space="preserve"> </w:t>
      </w:r>
      <w:r w:rsidR="00447C75">
        <w:t>piesaistīti</w:t>
      </w:r>
      <w:r w:rsidRPr="005F7DAF">
        <w:t xml:space="preserve"> IDF nacionālajai programmai specifiski rezultatīvie rādītāji, lai gan šie projekti ir </w:t>
      </w:r>
      <w:r w:rsidR="003322C1">
        <w:t>snieguši</w:t>
      </w:r>
      <w:r w:rsidRPr="005F7DAF">
        <w:t xml:space="preserve"> būtisku ieguldījumu vispārējo mērķu sasniegšanā. Šie pasākumi galvenokārt </w:t>
      </w:r>
      <w:r w:rsidR="0096688F">
        <w:t>koncentrējās</w:t>
      </w:r>
      <w:r w:rsidR="00694C61">
        <w:t xml:space="preserve"> uz</w:t>
      </w:r>
      <w:r w:rsidRPr="005F7DAF">
        <w:t xml:space="preserve"> robežu drošības un pārvaldības </w:t>
      </w:r>
      <w:r w:rsidR="00D90454">
        <w:t>IS</w:t>
      </w:r>
      <w:r w:rsidRPr="005F7DAF">
        <w:t xml:space="preserve"> modernizāciju, kā arī robežuzraudzības tehniskā </w:t>
      </w:r>
      <w:r w:rsidR="00694C61">
        <w:t xml:space="preserve">aprīkojuma </w:t>
      </w:r>
      <w:r w:rsidRPr="005F7DAF">
        <w:t>pilnveid</w:t>
      </w:r>
      <w:r w:rsidR="00694C61">
        <w:t>ošanu</w:t>
      </w:r>
      <w:r w:rsidRPr="005F7DAF">
        <w:t>.</w:t>
      </w:r>
    </w:p>
    <w:p w14:paraId="3355B677" w14:textId="1BB32137" w:rsidR="00B93B39" w:rsidRPr="00CF4A4E" w:rsidRDefault="00B93B39" w:rsidP="00B93B39">
      <w:pPr>
        <w:spacing w:after="160"/>
      </w:pPr>
      <w:r w:rsidRPr="00CF4A4E">
        <w:t>Vairāku ārējo faktoru ietekm</w:t>
      </w:r>
      <w:r w:rsidR="004072A4">
        <w:t>es rezultātā</w:t>
      </w:r>
      <w:r w:rsidRPr="00CF4A4E">
        <w:t>, tostarp Eiropas Savienības centrālā līmeņa informācijas sistēmu izstrādes progres</w:t>
      </w:r>
      <w:r w:rsidR="001E201E">
        <w:t>u</w:t>
      </w:r>
      <w:r w:rsidRPr="00CF4A4E">
        <w:t xml:space="preserve"> un ar iepirkumu procedūrām saistīt</w:t>
      </w:r>
      <w:r w:rsidR="001E201E">
        <w:t>os</w:t>
      </w:r>
      <w:r w:rsidRPr="00CF4A4E">
        <w:t xml:space="preserve"> aspektu</w:t>
      </w:r>
      <w:r w:rsidR="00895406">
        <w:t>s</w:t>
      </w:r>
      <w:r w:rsidRPr="00CF4A4E">
        <w:t xml:space="preserve">, daļa </w:t>
      </w:r>
      <w:r w:rsidR="00895406">
        <w:t xml:space="preserve">no iesāktajiem </w:t>
      </w:r>
      <w:r w:rsidRPr="00CF4A4E">
        <w:t>pasākum</w:t>
      </w:r>
      <w:r w:rsidR="00895406">
        <w:t>iem</w:t>
      </w:r>
      <w:r w:rsidRPr="00CF4A4E">
        <w:t xml:space="preserve"> tiek turpināti 2021.-2027. gada plānošanas periodā. Saskaņā ar IDF finansējuma saņēmēju aptaujas </w:t>
      </w:r>
      <w:r w:rsidR="00D67007">
        <w:lastRenderedPageBreak/>
        <w:t xml:space="preserve">rezultātiem, </w:t>
      </w:r>
      <w:r w:rsidRPr="005F7DAF">
        <w:t xml:space="preserve"> </w:t>
      </w:r>
      <w:r w:rsidR="00D67007">
        <w:t>58</w:t>
      </w:r>
      <w:r w:rsidR="00B829D8">
        <w:t xml:space="preserve"> </w:t>
      </w:r>
      <w:r w:rsidR="00D67007">
        <w:t>%</w:t>
      </w:r>
      <w:r w:rsidRPr="005F7DAF">
        <w:t xml:space="preserve"> </w:t>
      </w:r>
      <w:r w:rsidRPr="00CF4A4E">
        <w:t xml:space="preserve">projektu mērķi ir </w:t>
      </w:r>
      <w:r w:rsidR="005D12D7">
        <w:t xml:space="preserve">pilnībā </w:t>
      </w:r>
      <w:r w:rsidRPr="00CF4A4E">
        <w:t>sasniegti</w:t>
      </w:r>
      <w:r w:rsidR="005D12D7">
        <w:t xml:space="preserve">, savukārt </w:t>
      </w:r>
      <w:r w:rsidR="00144554">
        <w:t>42</w:t>
      </w:r>
      <w:r w:rsidR="00B829D8">
        <w:t xml:space="preserve"> </w:t>
      </w:r>
      <w:r w:rsidR="00144554">
        <w:t xml:space="preserve">% </w:t>
      </w:r>
      <w:r w:rsidR="00BB0D84">
        <w:t>-</w:t>
      </w:r>
      <w:r w:rsidRPr="005F7DAF">
        <w:t xml:space="preserve"> </w:t>
      </w:r>
      <w:r w:rsidRPr="00CF4A4E">
        <w:t xml:space="preserve">ir sasniegti daļēji un </w:t>
      </w:r>
      <w:r w:rsidR="00C95367">
        <w:t xml:space="preserve">to īstenošana </w:t>
      </w:r>
      <w:r w:rsidR="00DD6534">
        <w:t>t</w:t>
      </w:r>
      <w:r w:rsidRPr="00CF4A4E">
        <w:t>urpinā</w:t>
      </w:r>
      <w:r w:rsidR="00DD6534">
        <w:t>s</w:t>
      </w:r>
      <w:r w:rsidRPr="00CF4A4E">
        <w:t xml:space="preserve"> nākamajā plānošanas </w:t>
      </w:r>
      <w:r w:rsidRPr="005F7DAF">
        <w:t>period</w:t>
      </w:r>
      <w:r w:rsidR="00585A28">
        <w:t>ā</w:t>
      </w:r>
      <w:r w:rsidR="0097470D">
        <w:t>.</w:t>
      </w:r>
    </w:p>
    <w:p w14:paraId="7A45C01B" w14:textId="2453AF80" w:rsidR="00B93B39" w:rsidRPr="005F7DAF" w:rsidRDefault="00B93B39" w:rsidP="00B93B39">
      <w:r w:rsidRPr="00CF4A4E">
        <w:t>Programma nodrošināja elastīgu pieeju, ļaujot pielāgot sākotnēji plānotās aktivitātes un projektu mērķus atbilstoši mainīgaj</w:t>
      </w:r>
      <w:r w:rsidR="00A3031B">
        <w:t>ai</w:t>
      </w:r>
      <w:r w:rsidRPr="00CF4A4E">
        <w:t xml:space="preserve"> ārēj</w:t>
      </w:r>
      <w:r w:rsidR="00165067">
        <w:t>ai videi</w:t>
      </w:r>
      <w:r w:rsidRPr="00CF4A4E">
        <w:t>. Š</w:t>
      </w:r>
      <w:r w:rsidR="00165067">
        <w:t>ī</w:t>
      </w:r>
      <w:r w:rsidRPr="00CF4A4E">
        <w:t xml:space="preserve"> adaptācijas pieeja deva iespēju turpināt darbu </w:t>
      </w:r>
      <w:r w:rsidR="008979C8">
        <w:t xml:space="preserve">ar vēl pilnībā </w:t>
      </w:r>
      <w:r w:rsidRPr="00CF4A4E">
        <w:t>nesasniegtajiem rezultātiem</w:t>
      </w:r>
      <w:r w:rsidR="0028543B">
        <w:t xml:space="preserve">, </w:t>
      </w:r>
      <w:r w:rsidR="00F14D32">
        <w:t>pārnesot tos</w:t>
      </w:r>
      <w:r w:rsidRPr="00CF4A4E">
        <w:t xml:space="preserve"> </w:t>
      </w:r>
      <w:r w:rsidR="001F1978">
        <w:t>uz</w:t>
      </w:r>
      <w:r w:rsidRPr="00CF4A4E">
        <w:t xml:space="preserve"> nākam</w:t>
      </w:r>
      <w:r w:rsidR="001F1978">
        <w:t>o</w:t>
      </w:r>
      <w:r w:rsidRPr="00CF4A4E">
        <w:t xml:space="preserve"> plānošanas period</w:t>
      </w:r>
      <w:r w:rsidR="001F1978">
        <w:t>u</w:t>
      </w:r>
      <w:r w:rsidRPr="00CF4A4E">
        <w:t xml:space="preserve">. </w:t>
      </w:r>
      <w:r w:rsidR="005D6D9D">
        <w:t>Jāatzīmē, ka minētā adaptācijas stratēģi</w:t>
      </w:r>
      <w:r w:rsidR="00AB39C3">
        <w:t>ja</w:t>
      </w:r>
      <w:r w:rsidRPr="00CF4A4E">
        <w:t xml:space="preserve">, lai </w:t>
      </w:r>
      <w:r w:rsidR="00241330">
        <w:t>arī</w:t>
      </w:r>
      <w:r w:rsidRPr="00CF4A4E">
        <w:t xml:space="preserve"> pamatota ar objektīviem apstākļiem, </w:t>
      </w:r>
      <w:r w:rsidR="00995F84">
        <w:t>zināmā mērā</w:t>
      </w:r>
      <w:r w:rsidRPr="00CF4A4E">
        <w:t xml:space="preserve"> ir ietekmējusi sākotnēji </w:t>
      </w:r>
      <w:r w:rsidR="00E95859">
        <w:t>plānoto</w:t>
      </w:r>
      <w:r w:rsidRPr="00CF4A4E">
        <w:t xml:space="preserve"> progresu. Rezultātā </w:t>
      </w:r>
      <w:r w:rsidR="00E95859">
        <w:t>ir vērojama</w:t>
      </w:r>
      <w:r w:rsidRPr="00CF4A4E">
        <w:t xml:space="preserve"> 2014.</w:t>
      </w:r>
      <w:r w:rsidR="00227071">
        <w:t xml:space="preserve"> </w:t>
      </w:r>
      <w:r w:rsidRPr="00CF4A4E">
        <w:t>-</w:t>
      </w:r>
      <w:r w:rsidR="00227071">
        <w:t xml:space="preserve"> </w:t>
      </w:r>
      <w:r w:rsidRPr="00CF4A4E">
        <w:t>2020. gada plānošanas perioda aktivitā</w:t>
      </w:r>
      <w:r w:rsidR="00E95859">
        <w:t>šu daļēja</w:t>
      </w:r>
      <w:r w:rsidRPr="00CF4A4E">
        <w:t xml:space="preserve"> </w:t>
      </w:r>
      <w:r w:rsidR="00E9312C" w:rsidRPr="00CF4A4E">
        <w:t>pārklā</w:t>
      </w:r>
      <w:r w:rsidR="00E9312C">
        <w:t>šanās</w:t>
      </w:r>
      <w:r w:rsidRPr="00CF4A4E">
        <w:t xml:space="preserve"> ar nākamo periodu, kurā </w:t>
      </w:r>
      <w:r w:rsidR="00E9312C">
        <w:t>paralēli</w:t>
      </w:r>
      <w:r w:rsidR="0060769F">
        <w:t xml:space="preserve"> nepieciešams</w:t>
      </w:r>
      <w:r w:rsidRPr="00CF4A4E">
        <w:t xml:space="preserve"> īsteno</w:t>
      </w:r>
      <w:r w:rsidR="0060769F">
        <w:t>t</w:t>
      </w:r>
      <w:r w:rsidRPr="00CF4A4E">
        <w:t xml:space="preserve"> jaun</w:t>
      </w:r>
      <w:r w:rsidR="00833F8D">
        <w:t>us</w:t>
      </w:r>
      <w:r w:rsidRPr="00CF4A4E">
        <w:t xml:space="preserve"> attīstības virzien</w:t>
      </w:r>
      <w:r w:rsidR="00833F8D">
        <w:t>us</w:t>
      </w:r>
      <w:r w:rsidRPr="00CF4A4E">
        <w:t xml:space="preserve"> un iniciatīvas.</w:t>
      </w:r>
    </w:p>
    <w:p w14:paraId="60E7B395" w14:textId="77777777" w:rsidR="00B93B39" w:rsidRPr="00CF4A4E" w:rsidRDefault="00B93B39" w:rsidP="00B93B39">
      <w:pPr>
        <w:spacing w:after="160"/>
      </w:pPr>
      <w:r w:rsidRPr="00CF4A4E">
        <w:t>IDF programmas īstenošanas rezultātā vīzu un robežu jomā ir identificējami šādi galvenie sasniegumi:</w:t>
      </w:r>
    </w:p>
    <w:p w14:paraId="33E14AFF" w14:textId="52BF2FEE" w:rsidR="00B93B39" w:rsidRPr="00CF4A4E" w:rsidRDefault="00B93B39" w:rsidP="00B93B39">
      <w:pPr>
        <w:pStyle w:val="Sarakstarindkopa"/>
        <w:numPr>
          <w:ilvl w:val="0"/>
          <w:numId w:val="43"/>
        </w:numPr>
        <w:spacing w:after="160"/>
        <w:rPr>
          <w:bCs/>
        </w:rPr>
      </w:pPr>
      <w:r w:rsidRPr="00CF4A4E">
        <w:rPr>
          <w:bCs/>
        </w:rPr>
        <w:t>Uzlabota datu apmaiņa starp ES dalībvalstīm vīzu pieteikum</w:t>
      </w:r>
      <w:r w:rsidR="00BD1C37">
        <w:rPr>
          <w:bCs/>
        </w:rPr>
        <w:t>u apstrādes</w:t>
      </w:r>
      <w:r w:rsidRPr="00CF4A4E">
        <w:rPr>
          <w:bCs/>
        </w:rPr>
        <w:t xml:space="preserve"> </w:t>
      </w:r>
      <w:r w:rsidR="000063EF">
        <w:rPr>
          <w:bCs/>
        </w:rPr>
        <w:t>jomā</w:t>
      </w:r>
      <w:r w:rsidRPr="00CF4A4E">
        <w:rPr>
          <w:bCs/>
        </w:rPr>
        <w:t xml:space="preserve">, kas </w:t>
      </w:r>
      <w:r w:rsidR="000063EF">
        <w:rPr>
          <w:bCs/>
        </w:rPr>
        <w:t>sasniegta</w:t>
      </w:r>
      <w:r w:rsidR="00442F2C">
        <w:rPr>
          <w:bCs/>
        </w:rPr>
        <w:t xml:space="preserve"> caur</w:t>
      </w:r>
      <w:r w:rsidRPr="00CF4A4E">
        <w:rPr>
          <w:bCs/>
        </w:rPr>
        <w:t xml:space="preserve"> informācijas </w:t>
      </w:r>
      <w:r w:rsidR="00F73F67">
        <w:rPr>
          <w:bCs/>
        </w:rPr>
        <w:t>sistēmu</w:t>
      </w:r>
      <w:r w:rsidRPr="00CF4A4E">
        <w:rPr>
          <w:bCs/>
        </w:rPr>
        <w:t xml:space="preserve"> moderniz</w:t>
      </w:r>
      <w:r w:rsidR="003C4045">
        <w:rPr>
          <w:bCs/>
        </w:rPr>
        <w:t>āciju</w:t>
      </w:r>
      <w:r w:rsidR="0056617B">
        <w:rPr>
          <w:bCs/>
        </w:rPr>
        <w:t xml:space="preserve"> un</w:t>
      </w:r>
      <w:r w:rsidRPr="00CF4A4E">
        <w:rPr>
          <w:bCs/>
        </w:rPr>
        <w:t xml:space="preserve"> lietotāju apmācīb</w:t>
      </w:r>
      <w:r w:rsidR="0056617B">
        <w:rPr>
          <w:bCs/>
        </w:rPr>
        <w:t>ām</w:t>
      </w:r>
      <w:r w:rsidRPr="00CF4A4E">
        <w:rPr>
          <w:bCs/>
        </w:rPr>
        <w:t>.</w:t>
      </w:r>
    </w:p>
    <w:p w14:paraId="6506F9BE" w14:textId="61A2E530" w:rsidR="00B93B39" w:rsidRPr="00CF4A4E" w:rsidRDefault="00B93B39" w:rsidP="00B93B39">
      <w:pPr>
        <w:pStyle w:val="Sarakstarindkopa"/>
        <w:numPr>
          <w:ilvl w:val="0"/>
          <w:numId w:val="43"/>
        </w:numPr>
        <w:spacing w:after="160"/>
        <w:rPr>
          <w:bCs/>
        </w:rPr>
      </w:pPr>
      <w:r w:rsidRPr="00CF4A4E">
        <w:rPr>
          <w:bCs/>
        </w:rPr>
        <w:t xml:space="preserve">Veicināta Vīzu kodeksa </w:t>
      </w:r>
      <w:r w:rsidR="00FB203A">
        <w:rPr>
          <w:bCs/>
        </w:rPr>
        <w:t xml:space="preserve">efektīva </w:t>
      </w:r>
      <w:r w:rsidRPr="005F7DAF">
        <w:rPr>
          <w:bCs/>
        </w:rPr>
        <w:t>ieviešana,</w:t>
      </w:r>
      <w:r w:rsidRPr="00CF4A4E">
        <w:rPr>
          <w:bCs/>
        </w:rPr>
        <w:t xml:space="preserve"> īstenojot konsulāro darbinieku </w:t>
      </w:r>
      <w:r w:rsidR="00590A19">
        <w:t>profesionālās kvalifikācijas celšanas pasākumus</w:t>
      </w:r>
      <w:r w:rsidRPr="00CF4A4E">
        <w:rPr>
          <w:bCs/>
        </w:rPr>
        <w:t xml:space="preserve">, kas </w:t>
      </w:r>
      <w:r w:rsidR="00590A19">
        <w:rPr>
          <w:bCs/>
        </w:rPr>
        <w:t>rezultējies</w:t>
      </w:r>
      <w:r w:rsidRPr="00CF4A4E">
        <w:rPr>
          <w:bCs/>
        </w:rPr>
        <w:t xml:space="preserve"> gan pakalpojumu kvalitāt</w:t>
      </w:r>
      <w:r w:rsidR="008468C5">
        <w:rPr>
          <w:bCs/>
        </w:rPr>
        <w:t>es uzlabojumā</w:t>
      </w:r>
      <w:r w:rsidRPr="00CF4A4E">
        <w:rPr>
          <w:bCs/>
        </w:rPr>
        <w:t>, gan nodrošināj</w:t>
      </w:r>
      <w:r w:rsidR="00214585">
        <w:rPr>
          <w:bCs/>
        </w:rPr>
        <w:t>is TVP</w:t>
      </w:r>
      <w:r w:rsidRPr="00CF4A4E">
        <w:rPr>
          <w:bCs/>
        </w:rPr>
        <w:t xml:space="preserve"> vienlīdzīgu a</w:t>
      </w:r>
      <w:r w:rsidR="00B449D4">
        <w:rPr>
          <w:bCs/>
        </w:rPr>
        <w:t>pkalpošanu</w:t>
      </w:r>
      <w:r w:rsidRPr="00CF4A4E">
        <w:rPr>
          <w:bCs/>
        </w:rPr>
        <w:t>.</w:t>
      </w:r>
    </w:p>
    <w:p w14:paraId="57A7D772" w14:textId="21219ECB" w:rsidR="00B93B39" w:rsidRPr="00CF4A4E" w:rsidRDefault="00847B98" w:rsidP="00B93B39">
      <w:pPr>
        <w:pStyle w:val="Sarakstarindkopa"/>
        <w:numPr>
          <w:ilvl w:val="0"/>
          <w:numId w:val="43"/>
        </w:numPr>
        <w:spacing w:after="160"/>
        <w:rPr>
          <w:bCs/>
        </w:rPr>
      </w:pPr>
      <w:r>
        <w:rPr>
          <w:bCs/>
        </w:rPr>
        <w:t>Pilnveidota</w:t>
      </w:r>
      <w:r w:rsidR="00B93B39" w:rsidRPr="00CF4A4E">
        <w:rPr>
          <w:bCs/>
        </w:rPr>
        <w:t xml:space="preserve"> Valsts robežsardzes robežkontroles sistēma, ieviešot un </w:t>
      </w:r>
      <w:r w:rsidR="006F73BF">
        <w:rPr>
          <w:bCs/>
        </w:rPr>
        <w:t>attīstot</w:t>
      </w:r>
      <w:r w:rsidR="00B93B39" w:rsidRPr="00CF4A4E">
        <w:rPr>
          <w:bCs/>
        </w:rPr>
        <w:t xml:space="preserve"> EUROSUR sistēmu un </w:t>
      </w:r>
      <w:r w:rsidR="006F73BF">
        <w:rPr>
          <w:bCs/>
        </w:rPr>
        <w:t>uzlabojot</w:t>
      </w:r>
      <w:r w:rsidR="00B93B39" w:rsidRPr="00CF4A4E">
        <w:rPr>
          <w:bCs/>
        </w:rPr>
        <w:t xml:space="preserve"> jūras novērošanas </w:t>
      </w:r>
      <w:r w:rsidR="001332CB">
        <w:rPr>
          <w:bCs/>
        </w:rPr>
        <w:t>tehnoloģiskos risinājumus</w:t>
      </w:r>
      <w:r w:rsidR="00B93B39" w:rsidRPr="00CF4A4E">
        <w:rPr>
          <w:bCs/>
        </w:rPr>
        <w:t>, tādējādi nodrošinot robežu pārvaldības atbilstību ES standartiem.</w:t>
      </w:r>
    </w:p>
    <w:p w14:paraId="5D01200E" w14:textId="17EABAEF" w:rsidR="00B93B39" w:rsidRPr="00CF4A4E" w:rsidRDefault="00B93B39" w:rsidP="00B93B39">
      <w:pPr>
        <w:pStyle w:val="Sarakstarindkopa"/>
        <w:numPr>
          <w:ilvl w:val="0"/>
          <w:numId w:val="43"/>
        </w:numPr>
        <w:spacing w:after="160"/>
      </w:pPr>
      <w:r w:rsidRPr="00CF4A4E">
        <w:rPr>
          <w:bCs/>
        </w:rPr>
        <w:t xml:space="preserve">Īstenotas </w:t>
      </w:r>
      <w:r w:rsidR="00423720">
        <w:rPr>
          <w:bCs/>
        </w:rPr>
        <w:t>fundamentālas</w:t>
      </w:r>
      <w:r w:rsidRPr="00CF4A4E">
        <w:t xml:space="preserve"> informācijas tehnoloģiju sistēmu modifikācijas, tostarp: </w:t>
      </w:r>
    </w:p>
    <w:p w14:paraId="0F37ABA8" w14:textId="77777777" w:rsidR="00B93B39" w:rsidRPr="00CF4A4E" w:rsidRDefault="00B93B39" w:rsidP="00B93B39">
      <w:pPr>
        <w:pStyle w:val="Sarakstarindkopa"/>
        <w:numPr>
          <w:ilvl w:val="1"/>
          <w:numId w:val="43"/>
        </w:numPr>
        <w:spacing w:after="160"/>
        <w:rPr>
          <w:bCs/>
        </w:rPr>
      </w:pPr>
      <w:r w:rsidRPr="005F7DAF">
        <w:rPr>
          <w:bCs/>
        </w:rPr>
        <w:t>Ro</w:t>
      </w:r>
      <w:r w:rsidRPr="00CF4A4E">
        <w:rPr>
          <w:bCs/>
        </w:rPr>
        <w:t>bežkontroles informācijas sistēmas (REIS) izstrāde;</w:t>
      </w:r>
    </w:p>
    <w:p w14:paraId="65C0F517" w14:textId="77777777" w:rsidR="00B93B39" w:rsidRPr="00CF4A4E" w:rsidRDefault="00B93B39" w:rsidP="00B93B39">
      <w:pPr>
        <w:pStyle w:val="Sarakstarindkopa"/>
        <w:numPr>
          <w:ilvl w:val="1"/>
          <w:numId w:val="43"/>
        </w:numPr>
        <w:spacing w:after="160"/>
        <w:rPr>
          <w:bCs/>
        </w:rPr>
      </w:pPr>
      <w:r w:rsidRPr="00CF4A4E">
        <w:rPr>
          <w:bCs/>
        </w:rPr>
        <w:t>Nacionālās Šengenas informācijas sistēmas (N.SIS II) un SIRENE informācijas sistēmas modernizācija;</w:t>
      </w:r>
    </w:p>
    <w:p w14:paraId="368761E0" w14:textId="77777777" w:rsidR="00B93B39" w:rsidRPr="005F7DAF" w:rsidRDefault="00B93B39" w:rsidP="00B93B39">
      <w:pPr>
        <w:pStyle w:val="Sarakstarindkopa"/>
        <w:numPr>
          <w:ilvl w:val="1"/>
          <w:numId w:val="43"/>
        </w:numPr>
        <w:spacing w:after="160"/>
        <w:rPr>
          <w:bCs/>
        </w:rPr>
      </w:pPr>
      <w:r w:rsidRPr="00CF4A4E">
        <w:rPr>
          <w:bCs/>
        </w:rPr>
        <w:t>Biometrisko datu apstrādes sistēmas aprīkojuma pilnveide.</w:t>
      </w:r>
    </w:p>
    <w:p w14:paraId="02C2A525" w14:textId="2ACCCA9B" w:rsidR="00B93B39" w:rsidRPr="005F7DAF" w:rsidRDefault="00B93B39" w:rsidP="00011241">
      <w:pPr>
        <w:contextualSpacing/>
        <w:rPr>
          <w:bCs/>
        </w:rPr>
      </w:pPr>
      <w:r w:rsidRPr="005F7DAF">
        <w:t>Šīs</w:t>
      </w:r>
      <w:r w:rsidR="000A73F6">
        <w:t xml:space="preserve"> </w:t>
      </w:r>
      <w:r w:rsidR="00914BAF">
        <w:t>tehnoloģiskās</w:t>
      </w:r>
      <w:r w:rsidRPr="005F7DAF">
        <w:t xml:space="preserve"> izmaiņas ir </w:t>
      </w:r>
      <w:r w:rsidR="00C41D19">
        <w:t>uzlabojušas</w:t>
      </w:r>
      <w:r w:rsidRPr="005F7DAF">
        <w:t xml:space="preserve"> datu pieejamību un </w:t>
      </w:r>
      <w:r w:rsidR="00050669">
        <w:t xml:space="preserve">sekmējušas </w:t>
      </w:r>
      <w:r w:rsidRPr="005F7DAF">
        <w:t>informācijas apmaiņ</w:t>
      </w:r>
      <w:r w:rsidR="006C4399">
        <w:t>as efektivitāti</w:t>
      </w:r>
      <w:r w:rsidRPr="005F7DAF">
        <w:t xml:space="preserve"> gan nacionālā līmenī, gan </w:t>
      </w:r>
      <w:r w:rsidR="007867E9">
        <w:t xml:space="preserve">starptautiskā kontekstā </w:t>
      </w:r>
      <w:r w:rsidRPr="005F7DAF">
        <w:t>ar</w:t>
      </w:r>
      <w:r w:rsidR="007867E9">
        <w:t xml:space="preserve"> citām</w:t>
      </w:r>
      <w:r w:rsidRPr="005F7DAF">
        <w:t xml:space="preserve"> ES dalībvalstīm.</w:t>
      </w:r>
    </w:p>
    <w:p w14:paraId="00463CF5" w14:textId="7E376822" w:rsidR="00B93B39" w:rsidRPr="005F7DAF" w:rsidRDefault="00B93B39" w:rsidP="00B93B39">
      <w:pPr>
        <w:pStyle w:val="Sarakstarindkopa"/>
        <w:numPr>
          <w:ilvl w:val="0"/>
          <w:numId w:val="44"/>
        </w:numPr>
        <w:spacing w:after="160"/>
        <w:rPr>
          <w:bCs/>
        </w:rPr>
      </w:pPr>
      <w:r w:rsidRPr="005F7DAF">
        <w:t>Atjaunot</w:t>
      </w:r>
      <w:r w:rsidR="00075B9F">
        <w:t>s</w:t>
      </w:r>
      <w:r w:rsidRPr="005F7DAF">
        <w:t xml:space="preserve"> un pilnveidot</w:t>
      </w:r>
      <w:r w:rsidR="00075B9F">
        <w:t>s</w:t>
      </w:r>
      <w:r w:rsidRPr="005F7DAF">
        <w:t xml:space="preserve"> robežkontroles tehnisk</w:t>
      </w:r>
      <w:r w:rsidR="00075B9F">
        <w:t>ais nodrošinājums</w:t>
      </w:r>
      <w:r w:rsidRPr="005F7DAF">
        <w:t>, iegādājoties mūsdien</w:t>
      </w:r>
      <w:r w:rsidR="00AB5E95">
        <w:t>u prasībām atbilstošu</w:t>
      </w:r>
      <w:r w:rsidRPr="005F7DAF">
        <w:t xml:space="preserve"> aprīkojumu un uzlabojot Valsts robežsardzes mobilitāt</w:t>
      </w:r>
      <w:r w:rsidR="00C3323A">
        <w:t>es kapacitāti</w:t>
      </w:r>
      <w:r w:rsidRPr="005F7DAF">
        <w:t xml:space="preserve">, kas </w:t>
      </w:r>
      <w:r w:rsidR="008627B5">
        <w:t>rezultējies</w:t>
      </w:r>
      <w:r w:rsidRPr="005F7DAF">
        <w:t xml:space="preserve"> robežkontroles procesu efektivitāt</w:t>
      </w:r>
      <w:r w:rsidR="008627B5">
        <w:t>es pieaugumā</w:t>
      </w:r>
      <w:r w:rsidRPr="005F7DAF">
        <w:t xml:space="preserve"> un ārējās robežas pārvaldības kvalitāt</w:t>
      </w:r>
      <w:r w:rsidR="004E1DE3">
        <w:t>es uzlabojumā</w:t>
      </w:r>
      <w:r w:rsidRPr="005F7DAF">
        <w:t>.</w:t>
      </w:r>
    </w:p>
    <w:p w14:paraId="219D458B" w14:textId="524449D7" w:rsidR="00B93B39" w:rsidRPr="00CF4A4E" w:rsidRDefault="000732CE" w:rsidP="00B93B39">
      <w:r>
        <w:t>Īstenoto</w:t>
      </w:r>
      <w:r w:rsidR="00B93B39" w:rsidRPr="005F7DAF">
        <w:t xml:space="preserve"> pasākumu </w:t>
      </w:r>
      <w:r>
        <w:t>ilgtspējas</w:t>
      </w:r>
      <w:r w:rsidR="00B93B39" w:rsidRPr="005F7DAF">
        <w:t xml:space="preserve"> un </w:t>
      </w:r>
      <w:r>
        <w:t>efektivitātes nodrošināšanai kritiski svarīgs</w:t>
      </w:r>
      <w:r w:rsidR="00B93B39" w:rsidRPr="005F7DAF">
        <w:t xml:space="preserve"> faktors ir arī turpmāk pieejamais finansējums. Ņemot vērā ģeopolitisk</w:t>
      </w:r>
      <w:r w:rsidR="006F61B9">
        <w:t>o dinamiku</w:t>
      </w:r>
      <w:r w:rsidR="00B93B39" w:rsidRPr="005F7DAF">
        <w:t xml:space="preserve">, tehnoloģiju attīstību un migrācijas plūsmu izmaiņas, </w:t>
      </w:r>
      <w:r w:rsidR="004C75E1">
        <w:t>nepieciešams saglabāt prioritāru</w:t>
      </w:r>
      <w:r w:rsidR="00B93B39" w:rsidRPr="005F7DAF">
        <w:t xml:space="preserve"> atbalstu konsulāro amatpersonu </w:t>
      </w:r>
      <w:r w:rsidR="004C75E1">
        <w:t>kvalifikācijas celšanas aktivitātēm, Valsts robežsardzes</w:t>
      </w:r>
      <w:r w:rsidR="00B93B39" w:rsidRPr="005F7DAF">
        <w:t xml:space="preserve"> kapacitātes </w:t>
      </w:r>
      <w:r w:rsidR="004C75E1">
        <w:t>stiprināšanas pasākumiem</w:t>
      </w:r>
      <w:r w:rsidR="00B93B39" w:rsidRPr="005F7DAF">
        <w:t xml:space="preserve">, kā arī </w:t>
      </w:r>
      <w:r w:rsidR="004C75E1">
        <w:t>turpināt informācijas tehnoloģiju</w:t>
      </w:r>
      <w:r w:rsidR="00B93B39" w:rsidRPr="005F7DAF">
        <w:t xml:space="preserve"> sistēmu integrāciju ar </w:t>
      </w:r>
      <w:r w:rsidR="004C75E1">
        <w:t>Eiropas Savienības</w:t>
      </w:r>
      <w:r w:rsidR="00B93B39" w:rsidRPr="005F7DAF">
        <w:t xml:space="preserve"> līmeņa </w:t>
      </w:r>
      <w:r w:rsidR="004C75E1">
        <w:t>informācijas sistēmām. Šo prioritāšu īstenošana ir fundamentāla</w:t>
      </w:r>
      <w:r w:rsidR="00B93B39" w:rsidRPr="005F7DAF">
        <w:t xml:space="preserve">, lai nodrošinātu </w:t>
      </w:r>
      <w:r w:rsidR="004C75E1">
        <w:t xml:space="preserve">pastāvīgu </w:t>
      </w:r>
      <w:r w:rsidR="00B93B39" w:rsidRPr="005F7DAF">
        <w:t xml:space="preserve">atbilstību </w:t>
      </w:r>
      <w:r w:rsidR="004C75E1">
        <w:t>Eiropas Savienības</w:t>
      </w:r>
      <w:r w:rsidR="00B93B39" w:rsidRPr="005F7DAF">
        <w:t xml:space="preserve"> standartiem un </w:t>
      </w:r>
      <w:r w:rsidR="004C75E1">
        <w:t>veicinātu</w:t>
      </w:r>
      <w:r w:rsidR="00B93B39" w:rsidRPr="00CF4A4E">
        <w:t xml:space="preserve"> efektīvu </w:t>
      </w:r>
      <w:r w:rsidR="004C75E1">
        <w:t xml:space="preserve">starpvalstu </w:t>
      </w:r>
      <w:r w:rsidR="00B93B39" w:rsidRPr="00CF4A4E">
        <w:t xml:space="preserve">informācijas apmaiņu, vienlaikus stiprinot Latvijas ārējās robežas </w:t>
      </w:r>
      <w:r w:rsidR="004C75E1">
        <w:t>drošības līmeni</w:t>
      </w:r>
      <w:r w:rsidR="00B93B39" w:rsidRPr="00CF4A4E">
        <w:t>.</w:t>
      </w:r>
    </w:p>
    <w:p w14:paraId="2981BB5C" w14:textId="77777777" w:rsidR="00B93B39" w:rsidRPr="00F479A9" w:rsidRDefault="00B93B39" w:rsidP="00B93B39">
      <w:pPr>
        <w:rPr>
          <w:b/>
          <w:bCs/>
        </w:rPr>
      </w:pPr>
      <w:r w:rsidRPr="00F479A9">
        <w:rPr>
          <w:b/>
          <w:bCs/>
        </w:rPr>
        <w:t>Lietderība</w:t>
      </w:r>
    </w:p>
    <w:p w14:paraId="70FD8825" w14:textId="107844AD" w:rsidR="00B93B39" w:rsidRDefault="00B93B39" w:rsidP="00B93B39">
      <w:r w:rsidRPr="009A6F4C">
        <w:t xml:space="preserve">Finansējuma apguves rādītāji liecina, ka programmas īstenošanas rezultātā pieejamais finansējums nav </w:t>
      </w:r>
      <w:r w:rsidR="00EF4497">
        <w:t>izmantots</w:t>
      </w:r>
      <w:r w:rsidRPr="009A6F4C">
        <w:t xml:space="preserve"> piln</w:t>
      </w:r>
      <w:r w:rsidR="00E10044">
        <w:t>ā apmērā</w:t>
      </w:r>
      <w:r w:rsidRPr="009A6F4C">
        <w:t xml:space="preserve"> — kopējā finansējuma apguve </w:t>
      </w:r>
      <w:r w:rsidR="00E10044">
        <w:t>sasniedz</w:t>
      </w:r>
      <w:r w:rsidRPr="009A6F4C">
        <w:t xml:space="preserve"> 76</w:t>
      </w:r>
      <w:r w:rsidR="00E10044">
        <w:t xml:space="preserve"> </w:t>
      </w:r>
      <w:r w:rsidRPr="009A6F4C">
        <w:t xml:space="preserve">% no plānošanas periodā pieejamā </w:t>
      </w:r>
      <w:r w:rsidR="00E10044">
        <w:t>apjoma</w:t>
      </w:r>
      <w:r w:rsidRPr="009A6F4C">
        <w:t xml:space="preserve">. Tā kā lielu daļu kopējā finansējuma veidoja </w:t>
      </w:r>
      <w:r>
        <w:t>EK</w:t>
      </w:r>
      <w:r w:rsidRPr="009A6F4C">
        <w:t xml:space="preserve"> </w:t>
      </w:r>
      <w:r w:rsidR="00DC6BEA">
        <w:t xml:space="preserve">papildus </w:t>
      </w:r>
      <w:r w:rsidRPr="009A6F4C">
        <w:t>piešķirt</w:t>
      </w:r>
      <w:r w:rsidR="00285405">
        <w:t>ie</w:t>
      </w:r>
      <w:r w:rsidRPr="009A6F4C">
        <w:t xml:space="preserve"> </w:t>
      </w:r>
      <w:r w:rsidR="005B63EB">
        <w:t>līdzekļi</w:t>
      </w:r>
      <w:r w:rsidRPr="009A6F4C">
        <w:t xml:space="preserve"> sadarbspējas sistēmu attīstīšanai</w:t>
      </w:r>
      <w:r w:rsidR="00106A78">
        <w:t xml:space="preserve"> ar</w:t>
      </w:r>
      <w:r w:rsidRPr="009A6F4C">
        <w:t xml:space="preserve"> skaidri definēti</w:t>
      </w:r>
      <w:r w:rsidR="00106A78">
        <w:t>em</w:t>
      </w:r>
      <w:r w:rsidRPr="009A6F4C">
        <w:t xml:space="preserve"> nosacījumi</w:t>
      </w:r>
      <w:r w:rsidR="00106A78">
        <w:t>em</w:t>
      </w:r>
      <w:r w:rsidRPr="009A6F4C">
        <w:t xml:space="preserve">, iespējas </w:t>
      </w:r>
      <w:r w:rsidR="0075480A">
        <w:t>pārdalīt</w:t>
      </w:r>
      <w:r w:rsidRPr="009A6F4C">
        <w:t xml:space="preserve"> līdzekļus citiem pasākumiem</w:t>
      </w:r>
      <w:r w:rsidR="00330E41">
        <w:t xml:space="preserve"> bija ierobežotas</w:t>
      </w:r>
      <w:r w:rsidRPr="009A6F4C">
        <w:t xml:space="preserve">, neskatoties uz kavējumiem centrālo </w:t>
      </w:r>
      <w:r>
        <w:t>ES IS</w:t>
      </w:r>
      <w:r w:rsidRPr="009A6F4C">
        <w:t xml:space="preserve"> izstrādes procesā.</w:t>
      </w:r>
    </w:p>
    <w:p w14:paraId="495CD778" w14:textId="1EA581AF" w:rsidR="00B93B39" w:rsidRDefault="00B93B39" w:rsidP="00B93B39">
      <w:r w:rsidRPr="009A6F4C">
        <w:lastRenderedPageBreak/>
        <w:t xml:space="preserve">Finansējuma </w:t>
      </w:r>
      <w:r>
        <w:t>atbilstīb</w:t>
      </w:r>
      <w:r w:rsidR="00855D5D">
        <w:t>a sasniegtajiem</w:t>
      </w:r>
      <w:r>
        <w:t xml:space="preserve"> rezultātiem </w:t>
      </w:r>
      <w:r w:rsidR="00855D5D">
        <w:t>tiek apstiprināta ar</w:t>
      </w:r>
      <w:r>
        <w:t xml:space="preserve"> finansējuma saņēmēju aptaujas </w:t>
      </w:r>
      <w:r w:rsidR="003C2A9C">
        <w:t>rezultātiem</w:t>
      </w:r>
      <w:r>
        <w:t>: 75</w:t>
      </w:r>
      <w:r w:rsidR="003C2A9C">
        <w:t xml:space="preserve"> </w:t>
      </w:r>
      <w:r>
        <w:t xml:space="preserve">% </w:t>
      </w:r>
      <w:r w:rsidR="003C2A9C">
        <w:t>respondentu</w:t>
      </w:r>
      <w:r>
        <w:t xml:space="preserve"> uzskata, ka</w:t>
      </w:r>
      <w:r w:rsidRPr="009A6F4C">
        <w:t xml:space="preserve"> </w:t>
      </w:r>
      <w:r w:rsidR="00673517">
        <w:t>piešķirtais</w:t>
      </w:r>
      <w:r w:rsidRPr="009A6F4C">
        <w:t xml:space="preserve"> finansējums ir bijis pilnībā atbilstošs sasniedzamajiem rezultātiem</w:t>
      </w:r>
      <w:r>
        <w:t>, bet 17</w:t>
      </w:r>
      <w:r w:rsidR="002335AD">
        <w:t xml:space="preserve"> </w:t>
      </w:r>
      <w:r>
        <w:t xml:space="preserve">% </w:t>
      </w:r>
      <w:r w:rsidR="002335AD">
        <w:t>norāda,</w:t>
      </w:r>
      <w:r>
        <w:t xml:space="preserve"> ka tas bijis</w:t>
      </w:r>
      <w:r w:rsidRPr="009A6F4C">
        <w:t xml:space="preserve"> daļēji atbilstošs</w:t>
      </w:r>
      <w:r>
        <w:t xml:space="preserve">. </w:t>
      </w:r>
      <w:r w:rsidRPr="009A6F4C">
        <w:t xml:space="preserve">Galvenie faktori, kas </w:t>
      </w:r>
      <w:r w:rsidR="00B802EE">
        <w:t>tikuši</w:t>
      </w:r>
      <w:r w:rsidRPr="009A6F4C">
        <w:t xml:space="preserve"> ņemti vērā, </w:t>
      </w:r>
      <w:r w:rsidR="00B802EE">
        <w:t>plānošanas procesā</w:t>
      </w:r>
      <w:r w:rsidRPr="009A6F4C">
        <w:t xml:space="preserve">, ietvēra gan finansējuma saņēmēju līdzšinējo pieredzi, gan ārēji noteiktās prasības, gan </w:t>
      </w:r>
      <w:r w:rsidR="00A26E49">
        <w:t xml:space="preserve">arī </w:t>
      </w:r>
      <w:r w:rsidRPr="009A6F4C">
        <w:t>vajadzību izpēti. Vienlaikus programmas pārraudzības mehānisms ietvēra</w:t>
      </w:r>
      <w:r w:rsidR="00E53F4D">
        <w:t xml:space="preserve"> instrumentus</w:t>
      </w:r>
      <w:r w:rsidRPr="009A6F4C">
        <w:t xml:space="preserve">, kas nodrošināja izmaksu atbilstību </w:t>
      </w:r>
      <w:r w:rsidR="00986C60">
        <w:t xml:space="preserve">aktuālajai </w:t>
      </w:r>
      <w:r w:rsidRPr="009A6F4C">
        <w:t>tirgus situācijai.</w:t>
      </w:r>
    </w:p>
    <w:p w14:paraId="09C30351" w14:textId="5A903C0A" w:rsidR="00B93B39" w:rsidRPr="009A6F4C" w:rsidRDefault="00B93B39" w:rsidP="00B93B39">
      <w:r w:rsidRPr="009A6F4C">
        <w:t>Pamatojoties uz gadījuma izpētē ietverto projektu analīzi, secinā</w:t>
      </w:r>
      <w:r w:rsidR="00F755ED">
        <w:t>ms</w:t>
      </w:r>
      <w:r w:rsidRPr="009A6F4C">
        <w:t xml:space="preserve">, ka Programma ir atbalstījusi izmaksu </w:t>
      </w:r>
      <w:r w:rsidR="00BD0592">
        <w:t>efektivitātes principiem atbilstošus</w:t>
      </w:r>
      <w:r w:rsidRPr="009A6F4C">
        <w:t xml:space="preserve"> pasākumus. Analizēto pasākumu izmaksu efektivitāte </w:t>
      </w:r>
      <w:r w:rsidR="0002799F">
        <w:t>korelē</w:t>
      </w:r>
      <w:r w:rsidRPr="009A6F4C">
        <w:t xml:space="preserve"> gan ar robežu šķērsošanas un kontroles efektivitātes </w:t>
      </w:r>
      <w:r w:rsidR="00957443">
        <w:t>uzlabojumiem</w:t>
      </w:r>
      <w:r w:rsidRPr="009A6F4C">
        <w:t xml:space="preserve">, gan </w:t>
      </w:r>
      <w:r w:rsidR="00D939E5">
        <w:t xml:space="preserve">ar </w:t>
      </w:r>
      <w:r>
        <w:t>VRS</w:t>
      </w:r>
      <w:r w:rsidRPr="009A6F4C">
        <w:t xml:space="preserve"> reaģēšanas spēju pieaugum</w:t>
      </w:r>
      <w:r w:rsidR="00D939E5">
        <w:t>u</w:t>
      </w:r>
      <w:r w:rsidRPr="009A6F4C">
        <w:t>. Atbilstoši pieejamajiem datiem tiek prognozēts, ka sagaidāmie uzlabojumi radīs ekonomiskos ieguvumus, kas pārsnie</w:t>
      </w:r>
      <w:r w:rsidR="009750E7">
        <w:t>gs</w:t>
      </w:r>
      <w:r w:rsidRPr="009A6F4C">
        <w:t xml:space="preserve"> Programmas </w:t>
      </w:r>
      <w:r w:rsidR="00764C5C">
        <w:t xml:space="preserve">ietvaros </w:t>
      </w:r>
      <w:r w:rsidRPr="009A6F4C">
        <w:t xml:space="preserve">veiktos </w:t>
      </w:r>
      <w:r w:rsidR="00092D56">
        <w:t>investīciju apjomus</w:t>
      </w:r>
      <w:r w:rsidRPr="009A6F4C">
        <w:t xml:space="preserve">. Vienlaikus jāņem vērā, ka robežu uzraudzības un drošības uzlabošana ir saistīta arī ar ieguvumiem, kas nav monetāri izmērāmi, piemēram, robežu drošības </w:t>
      </w:r>
      <w:r w:rsidR="00382FDA">
        <w:t>paaugstināšana</w:t>
      </w:r>
      <w:r w:rsidRPr="009A6F4C">
        <w:t xml:space="preserve"> vai nelegālās migrācijas </w:t>
      </w:r>
      <w:r w:rsidR="00382FDA">
        <w:t xml:space="preserve">plūsmas </w:t>
      </w:r>
      <w:r w:rsidRPr="009A6F4C">
        <w:t>samazināšana.</w:t>
      </w:r>
    </w:p>
    <w:p w14:paraId="19630369" w14:textId="05F5D50B" w:rsidR="00B93B39" w:rsidRPr="009A6F4C" w:rsidRDefault="00B93B39" w:rsidP="00B93B39">
      <w:r w:rsidRPr="009A6F4C">
        <w:t xml:space="preserve">Finansējuma saņēmēju sniegtā analīze par administratīvajiem šķēršļiem </w:t>
      </w:r>
      <w:r w:rsidR="00C81D9F">
        <w:t>projektu</w:t>
      </w:r>
      <w:r w:rsidR="00897DAF">
        <w:t xml:space="preserve"> īstenošanas procesā </w:t>
      </w:r>
      <w:r w:rsidRPr="009A6F4C">
        <w:t>atklāj vairākas būtiskas problēmjomas. Primāri tiek akcentēti iepirkumu procedūr</w:t>
      </w:r>
      <w:r w:rsidR="00BA3CF2">
        <w:t>ām saistītie</w:t>
      </w:r>
      <w:r w:rsidRPr="009A6F4C">
        <w:t xml:space="preserve"> aspekti – dokumentācijas sagatavošana</w:t>
      </w:r>
      <w:r w:rsidR="00A03C22">
        <w:t xml:space="preserve">s </w:t>
      </w:r>
      <w:r w:rsidR="00742677">
        <w:t>un</w:t>
      </w:r>
      <w:r w:rsidRPr="009A6F4C">
        <w:t xml:space="preserve"> iepirkumu procedūru īstenošana</w:t>
      </w:r>
      <w:r w:rsidR="00742677">
        <w:t>s sarežģītība</w:t>
      </w:r>
      <w:r w:rsidRPr="009A6F4C">
        <w:t xml:space="preserve">. Vienlaikus kā apgrūtinoši aspekti tiek identificēti projektu līgumu un iesniegumu formu grozījumu veikšanas procedūru birokrātiskie aspekti, īpaši attiecībā uz gadījumiem, kad nepieciešams sniegt oficiālus grozījumus, piemēram, par izmaiņām projekta personāla sastāvā. Tāpat kritiski vērtēts vienotas projektu uzraudzības sistēmas trūkums. </w:t>
      </w:r>
    </w:p>
    <w:p w14:paraId="0686837A" w14:textId="4EBE7F01" w:rsidR="00B93B39" w:rsidRPr="009A6F4C" w:rsidRDefault="00B93B39" w:rsidP="00B93B39">
      <w:r w:rsidRPr="009A6F4C">
        <w:t>Pozitīvi vērtējamas identificētās uzlabojumu tendences 2021.-2027. gada plānošanas periodā, kas attiecas gan uz projektu grozījumu procedūru vienkāršošanu, gan atskaišu iesniegšanas regularitātes optimizāciju. Tomēr finansējuma saņēmēji norāda uz joprojām pastāvošo nepieciešamību pēc integrētas elektroniskas projektu vadības sistēmas, kas būtiski atvieglotu administratīvo procesu koordināciju</w:t>
      </w:r>
      <w:r w:rsidR="00BA09F2">
        <w:t xml:space="preserve"> un pārvaldību</w:t>
      </w:r>
      <w:r w:rsidRPr="009A6F4C">
        <w:t xml:space="preserve">. </w:t>
      </w:r>
    </w:p>
    <w:p w14:paraId="716E98DD" w14:textId="55239C4C" w:rsidR="00B93B39" w:rsidRPr="009A6F4C" w:rsidRDefault="00B93B39" w:rsidP="00B93B39">
      <w:r w:rsidRPr="009A6F4C">
        <w:t xml:space="preserve">Vienlaikus secināms, ka ieviestā kontroles un uzraudzības sistēma, kas ietvēra gan projektu atskaišu administratīvās pārbaudes, gan iepirkumu pirmspārbaudes, gan projektu pārbaudes īstenošanas vietā, ir sekmējusi savlaicīgu projektu ietvaros </w:t>
      </w:r>
      <w:r w:rsidR="00BF4B1A">
        <w:t>konstatēto</w:t>
      </w:r>
      <w:r w:rsidRPr="009A6F4C">
        <w:t xml:space="preserve"> pārkāpumu identificēšanu un novēršanu.</w:t>
      </w:r>
    </w:p>
    <w:p w14:paraId="3AEB434E" w14:textId="77777777" w:rsidR="00B93B39" w:rsidRPr="00F479A9" w:rsidRDefault="00B93B39" w:rsidP="00B93B39">
      <w:pPr>
        <w:rPr>
          <w:b/>
          <w:bCs/>
        </w:rPr>
      </w:pPr>
      <w:r w:rsidRPr="00F479A9">
        <w:rPr>
          <w:b/>
          <w:bCs/>
        </w:rPr>
        <w:t>Atbilstība</w:t>
      </w:r>
    </w:p>
    <w:p w14:paraId="6E81EC43" w14:textId="717B3965" w:rsidR="00B93B39" w:rsidRPr="00DD568A" w:rsidRDefault="00B93B39" w:rsidP="00B93B39">
      <w:r w:rsidRPr="009A6F4C">
        <w:t>Izvērtējot Iekšējās drošības fonda finansēto pasākumu atbilstību nozares prioritātēm, secināms, ka īstenotie projekti pilnībā atbilst nozares aktuālajām vajadzībām un prioritātēm. Finansējuma saņēmēj</w:t>
      </w:r>
      <w:r w:rsidR="0072249B">
        <w:t>u</w:t>
      </w:r>
      <w:r w:rsidRPr="009A6F4C">
        <w:t xml:space="preserve"> vērtē</w:t>
      </w:r>
      <w:r w:rsidR="00CB52CF">
        <w:t>jumā</w:t>
      </w:r>
      <w:r w:rsidRPr="009A6F4C">
        <w:t xml:space="preserve"> programmas </w:t>
      </w:r>
      <w:r w:rsidR="00A31A97">
        <w:t xml:space="preserve">ir nodrošinājusi </w:t>
      </w:r>
      <w:r w:rsidR="000C6193">
        <w:t>kritiski svarīgu platformu tādu aktivitāšu īstenošanai</w:t>
      </w:r>
      <w:r w:rsidR="00DB69BF">
        <w:t xml:space="preserve">, </w:t>
      </w:r>
      <w:r w:rsidRPr="009A6F4C">
        <w:t xml:space="preserve">kurām valsts budžeta </w:t>
      </w:r>
      <w:r w:rsidR="00DB69BF">
        <w:t xml:space="preserve">resursi </w:t>
      </w:r>
      <w:r w:rsidRPr="009A6F4C">
        <w:t xml:space="preserve">vai </w:t>
      </w:r>
      <w:r w:rsidR="00D24DD2">
        <w:t>alternatīvi</w:t>
      </w:r>
      <w:r w:rsidRPr="009A6F4C">
        <w:t xml:space="preserve"> ārēj</w:t>
      </w:r>
      <w:r w:rsidR="00D24DD2">
        <w:t>ā</w:t>
      </w:r>
      <w:r w:rsidRPr="009A6F4C">
        <w:t xml:space="preserve"> finan</w:t>
      </w:r>
      <w:r w:rsidR="00D24DD2">
        <w:t>sējuma</w:t>
      </w:r>
      <w:r w:rsidRPr="009A6F4C">
        <w:t xml:space="preserve"> avot</w:t>
      </w:r>
      <w:r w:rsidR="00D24DD2">
        <w:t>i</w:t>
      </w:r>
      <w:r w:rsidRPr="009A6F4C">
        <w:t xml:space="preserve"> būtu bijuši ierobežoti. Īpaši nozīmīgs atbalsts ir bijis </w:t>
      </w:r>
      <w:r w:rsidR="0072771B">
        <w:t>t</w:t>
      </w:r>
      <w:r w:rsidRPr="009A6F4C">
        <w:t>ādā</w:t>
      </w:r>
      <w:r w:rsidR="00A80077">
        <w:t>s</w:t>
      </w:r>
      <w:r w:rsidRPr="009A6F4C">
        <w:t xml:space="preserve"> jomā</w:t>
      </w:r>
      <w:r w:rsidR="00A80077">
        <w:t>s</w:t>
      </w:r>
      <w:r w:rsidRPr="009A6F4C">
        <w:t xml:space="preserve"> kā robežkontroles informācijas sistēmas modernizācija, </w:t>
      </w:r>
      <w:r w:rsidR="00A80077">
        <w:t xml:space="preserve">specializētā </w:t>
      </w:r>
      <w:r w:rsidRPr="009A6F4C">
        <w:t xml:space="preserve">aprīkojuma nodrošināšana EUROSUR prasību izpildei un konsulāro amatpersonu </w:t>
      </w:r>
      <w:r w:rsidR="008F7068">
        <w:t>profesionālās kompetences paaugstināšanas programmas</w:t>
      </w:r>
      <w:r w:rsidRPr="009A6F4C">
        <w:t xml:space="preserve">. Programmas stratēģiskā </w:t>
      </w:r>
      <w:r w:rsidR="002F597A">
        <w:t>saskaņošana</w:t>
      </w:r>
      <w:r w:rsidR="00B31150">
        <w:t xml:space="preserve"> ar</w:t>
      </w:r>
      <w:r w:rsidRPr="009A6F4C">
        <w:t xml:space="preserve"> nozares vajadzībām ir </w:t>
      </w:r>
      <w:r w:rsidR="00B31150">
        <w:t>sasniegta</w:t>
      </w:r>
      <w:r w:rsidRPr="009A6F4C">
        <w:t xml:space="preserve">, pateicoties </w:t>
      </w:r>
      <w:r w:rsidR="00B31150">
        <w:t>efektīvai</w:t>
      </w:r>
      <w:r w:rsidRPr="009A6F4C">
        <w:t xml:space="preserve"> koordinācijai </w:t>
      </w:r>
      <w:r w:rsidRPr="00DD568A">
        <w:t>IeM</w:t>
      </w:r>
      <w:r w:rsidRPr="009A6F4C">
        <w:t xml:space="preserve"> vadīb</w:t>
      </w:r>
      <w:r w:rsidRPr="00DD568A">
        <w:t>as līmenī</w:t>
      </w:r>
      <w:r w:rsidRPr="009A6F4C">
        <w:t xml:space="preserve">, kas nodrošinājusi </w:t>
      </w:r>
      <w:r w:rsidR="00B31150">
        <w:t>programmas</w:t>
      </w:r>
      <w:r w:rsidRPr="009A6F4C">
        <w:t xml:space="preserve"> sasaisti ar nozares kopējo attīstības </w:t>
      </w:r>
      <w:r w:rsidR="005E2063">
        <w:t>stratēģisko ietvaru</w:t>
      </w:r>
      <w:r w:rsidRPr="009A6F4C">
        <w:t>.</w:t>
      </w:r>
    </w:p>
    <w:p w14:paraId="0951B9E2" w14:textId="6A44EE1C" w:rsidR="00B93B39" w:rsidRPr="009A6F4C" w:rsidRDefault="00B93B39" w:rsidP="00B93B39">
      <w:pPr>
        <w:spacing w:after="160"/>
      </w:pPr>
      <w:r w:rsidRPr="00DD568A">
        <w:t>Arī</w:t>
      </w:r>
      <w:r w:rsidRPr="009A6F4C">
        <w:t xml:space="preserve"> Savienības darbību gada programm</w:t>
      </w:r>
      <w:r w:rsidRPr="00DD568A">
        <w:t xml:space="preserve">as </w:t>
      </w:r>
      <w:r w:rsidR="006539BB">
        <w:t xml:space="preserve">demonstrē </w:t>
      </w:r>
      <w:r w:rsidRPr="00DD568A">
        <w:t>atbilst</w:t>
      </w:r>
      <w:r w:rsidR="006D6B71">
        <w:t>ības pakāpi</w:t>
      </w:r>
      <w:r w:rsidRPr="00DD568A">
        <w:t xml:space="preserve"> aktuālajām vajadzībām, ko apliecina vairāki VRS </w:t>
      </w:r>
      <w:r w:rsidR="007B1B5A">
        <w:t>īstenoto</w:t>
      </w:r>
      <w:r w:rsidRPr="009A6F4C">
        <w:t xml:space="preserve"> projekt</w:t>
      </w:r>
      <w:r w:rsidR="007B1B5A">
        <w:t>u</w:t>
      </w:r>
      <w:r w:rsidRPr="00DD568A">
        <w:t>, k</w:t>
      </w:r>
      <w:r w:rsidR="007B1B5A">
        <w:t>uru mērķis bijis</w:t>
      </w:r>
      <w:r w:rsidRPr="00DD568A">
        <w:t xml:space="preserve"> starptautiskās sadarbības un informācijas apmaiņas mehānismu uzlabošanu ar </w:t>
      </w:r>
      <w:r w:rsidR="00377D43">
        <w:t xml:space="preserve">citām </w:t>
      </w:r>
      <w:r w:rsidRPr="00DD568A">
        <w:t>ES dalībvalstīm.</w:t>
      </w:r>
    </w:p>
    <w:p w14:paraId="1F54CA2D" w14:textId="7792A21A" w:rsidR="00B93B39" w:rsidRPr="00DD568A" w:rsidRDefault="00B93B39" w:rsidP="00B93B39">
      <w:r w:rsidRPr="00DD568A">
        <w:t>P</w:t>
      </w:r>
      <w:r w:rsidRPr="009A6F4C">
        <w:t xml:space="preserve">rogramma kopumā </w:t>
      </w:r>
      <w:r w:rsidR="00161FFD">
        <w:t>uzrāda ievērojamu pielāgošanās spēju</w:t>
      </w:r>
      <w:r w:rsidRPr="009A6F4C">
        <w:t xml:space="preserve">, </w:t>
      </w:r>
      <w:r w:rsidR="00161FFD">
        <w:t>efektīvi reaģējot</w:t>
      </w:r>
      <w:r w:rsidRPr="009A6F4C">
        <w:t xml:space="preserve"> </w:t>
      </w:r>
      <w:r w:rsidR="00726B3E">
        <w:t>uz</w:t>
      </w:r>
      <w:r w:rsidRPr="009A6F4C">
        <w:t xml:space="preserve"> mainīgajām vajadzībām un ārēj</w:t>
      </w:r>
      <w:r w:rsidR="00726B3E">
        <w:t>ās vides izmaiņām</w:t>
      </w:r>
      <w:r w:rsidRPr="009A6F4C">
        <w:t xml:space="preserve">, </w:t>
      </w:r>
      <w:r w:rsidRPr="00DD568A">
        <w:rPr>
          <w:rFonts w:cstheme="minorHAnsi"/>
        </w:rPr>
        <w:t xml:space="preserve">tai skaitā mainot sākotnēji plānotās </w:t>
      </w:r>
      <w:r w:rsidR="00EF246D">
        <w:rPr>
          <w:rFonts w:cstheme="minorHAnsi"/>
        </w:rPr>
        <w:t>aktivitātes,</w:t>
      </w:r>
      <w:r w:rsidRPr="00DD568A">
        <w:rPr>
          <w:rFonts w:cstheme="minorHAnsi"/>
        </w:rPr>
        <w:t xml:space="preserve"> ieplānojot jaunas aktivitātes vai </w:t>
      </w:r>
      <w:r w:rsidR="00F04642">
        <w:rPr>
          <w:rFonts w:cstheme="minorHAnsi"/>
        </w:rPr>
        <w:t>piesaistot</w:t>
      </w:r>
      <w:r w:rsidRPr="00DD568A">
        <w:rPr>
          <w:rFonts w:cstheme="minorHAnsi"/>
        </w:rPr>
        <w:t xml:space="preserve"> papildu finanšu </w:t>
      </w:r>
      <w:r w:rsidR="00F04642">
        <w:rPr>
          <w:rFonts w:cstheme="minorHAnsi"/>
        </w:rPr>
        <w:t>resursus</w:t>
      </w:r>
      <w:r w:rsidR="00824A7B">
        <w:rPr>
          <w:rFonts w:cstheme="minorHAnsi"/>
        </w:rPr>
        <w:t xml:space="preserve"> atbilstoši </w:t>
      </w:r>
      <w:r w:rsidR="00C10751">
        <w:rPr>
          <w:rFonts w:cstheme="minorHAnsi"/>
        </w:rPr>
        <w:t>identificētajām</w:t>
      </w:r>
      <w:r w:rsidRPr="00DD568A">
        <w:rPr>
          <w:rFonts w:cstheme="minorHAnsi"/>
        </w:rPr>
        <w:t xml:space="preserve"> </w:t>
      </w:r>
      <w:r w:rsidR="00C10751">
        <w:rPr>
          <w:rFonts w:cstheme="minorHAnsi"/>
        </w:rPr>
        <w:t>vajadzībām</w:t>
      </w:r>
      <w:r w:rsidRPr="00DD568A">
        <w:rPr>
          <w:rFonts w:cstheme="minorHAnsi"/>
        </w:rPr>
        <w:t>.</w:t>
      </w:r>
      <w:r w:rsidRPr="00DD568A">
        <w:t xml:space="preserve"> </w:t>
      </w:r>
    </w:p>
    <w:p w14:paraId="6F4B8720" w14:textId="77777777" w:rsidR="00C10751" w:rsidRDefault="00C10751">
      <w:pPr>
        <w:spacing w:before="0" w:after="160" w:line="259" w:lineRule="auto"/>
        <w:jc w:val="left"/>
        <w:rPr>
          <w:b/>
          <w:bCs/>
        </w:rPr>
      </w:pPr>
      <w:r>
        <w:rPr>
          <w:b/>
          <w:bCs/>
        </w:rPr>
        <w:br w:type="page"/>
      </w:r>
    </w:p>
    <w:p w14:paraId="12DCE73C" w14:textId="296DAB26" w:rsidR="00B93B39" w:rsidRDefault="00B93B39" w:rsidP="00B93B39">
      <w:pPr>
        <w:rPr>
          <w:b/>
          <w:bCs/>
        </w:rPr>
      </w:pPr>
      <w:r w:rsidRPr="00F479A9">
        <w:rPr>
          <w:b/>
          <w:bCs/>
        </w:rPr>
        <w:lastRenderedPageBreak/>
        <w:t>Saskaņotība</w:t>
      </w:r>
    </w:p>
    <w:p w14:paraId="3F9F95D4" w14:textId="6C42D768" w:rsidR="00B93B39" w:rsidRPr="009D5004" w:rsidRDefault="00B93B39" w:rsidP="00B93B39">
      <w:r>
        <w:t xml:space="preserve">Programma ir bijusi saskanīga ar citiem </w:t>
      </w:r>
      <w:r w:rsidR="00D83E18">
        <w:t>pieejamajiem</w:t>
      </w:r>
      <w:r>
        <w:t xml:space="preserve"> finanšu instrumentiem, </w:t>
      </w:r>
      <w:r w:rsidR="0065645F">
        <w:t>turklāt šī</w:t>
      </w:r>
      <w:r>
        <w:t xml:space="preserve"> saska</w:t>
      </w:r>
      <w:r w:rsidR="0065645F">
        <w:t>ņotība</w:t>
      </w:r>
      <w:r>
        <w:t xml:space="preserve"> ir tikusi uzraudzīta programmas </w:t>
      </w:r>
      <w:r w:rsidR="00600B81">
        <w:t xml:space="preserve">vadības </w:t>
      </w:r>
      <w:r>
        <w:t xml:space="preserve">līmenī. </w:t>
      </w:r>
      <w:r w:rsidRPr="009D5004">
        <w:t xml:space="preserve">Programmas īstenošanas laikā tika </w:t>
      </w:r>
      <w:r w:rsidR="00600B81">
        <w:t>noteikta</w:t>
      </w:r>
      <w:r w:rsidRPr="009D5004">
        <w:t xml:space="preserve"> skaidra saskaņotība ar Latvijas-Krievijas un Latvijas-Lietuvas-Baltkrievijas pārrobežu sadarbības programmām, </w:t>
      </w:r>
      <w:r>
        <w:t xml:space="preserve">kā </w:t>
      </w:r>
      <w:r w:rsidRPr="009D5004">
        <w:t>arī ar</w:t>
      </w:r>
      <w:r>
        <w:t xml:space="preserve"> </w:t>
      </w:r>
      <w:r w:rsidR="00537A04">
        <w:t>specifiskām</w:t>
      </w:r>
      <w:r>
        <w:t xml:space="preserve"> aktivitātēm</w:t>
      </w:r>
      <w:r w:rsidR="00537A04">
        <w:t>, kas realizētas</w:t>
      </w:r>
      <w:r w:rsidRPr="009D5004">
        <w:t xml:space="preserve"> EEZ finanšu instrumenta programm</w:t>
      </w:r>
      <w:r w:rsidR="00973ACA">
        <w:t>as</w:t>
      </w:r>
      <w:r w:rsidRPr="009D5004">
        <w:t xml:space="preserve"> "Starptautiskā policijas sadarbība un noziedzības apkarošana"</w:t>
      </w:r>
      <w:r>
        <w:t xml:space="preserve"> ietvaros</w:t>
      </w:r>
      <w:r w:rsidRPr="009D5004">
        <w:t xml:space="preserve">. Finansējuma saņēmēji norādīja uz savstarpējās </w:t>
      </w:r>
      <w:r>
        <w:t>saskaņotīb</w:t>
      </w:r>
      <w:r w:rsidR="0053781F">
        <w:t>as</w:t>
      </w:r>
      <w:r w:rsidRPr="009D5004">
        <w:t xml:space="preserve"> principu ievērošanu, īstenojot projektus arī "Apvārsnis 2020"</w:t>
      </w:r>
      <w:r>
        <w:t xml:space="preserve"> vai Latvijas-Lietuvas pārrobežu</w:t>
      </w:r>
      <w:r w:rsidRPr="009D5004">
        <w:t xml:space="preserve"> </w:t>
      </w:r>
      <w:r w:rsidRPr="00380C24">
        <w:rPr>
          <w:bCs/>
        </w:rPr>
        <w:t>sadarbības programm</w:t>
      </w:r>
      <w:r w:rsidR="00515269">
        <w:rPr>
          <w:bCs/>
        </w:rPr>
        <w:t>as</w:t>
      </w:r>
      <w:r w:rsidRPr="00380C24">
        <w:rPr>
          <w:bCs/>
        </w:rPr>
        <w:t xml:space="preserve"> 2014.-2020. gadam</w:t>
      </w:r>
      <w:r w:rsidR="00515269">
        <w:rPr>
          <w:bCs/>
        </w:rPr>
        <w:t xml:space="preserve"> ietvaros</w:t>
      </w:r>
      <w:r w:rsidRPr="009D5004">
        <w:t xml:space="preserve">, kas veicināja kompleksu </w:t>
      </w:r>
      <w:r w:rsidR="004E3BBB">
        <w:t>un integrētu</w:t>
      </w:r>
      <w:r w:rsidRPr="009D5004">
        <w:t xml:space="preserve"> risinājumu attīstību robežpārvaldības jomā.</w:t>
      </w:r>
    </w:p>
    <w:p w14:paraId="6843C639" w14:textId="411F53DB" w:rsidR="00B93B39" w:rsidRDefault="00B93B39" w:rsidP="00B93B39">
      <w:r w:rsidRPr="009D5004">
        <w:t xml:space="preserve">Koordinācijas nodrošināšanai programmas īstenošanas periodā tika izveidoti divi </w:t>
      </w:r>
      <w:r w:rsidR="00DA0C96">
        <w:t xml:space="preserve">nozīmīgi pārvaldības </w:t>
      </w:r>
      <w:r w:rsidRPr="009D5004">
        <w:t xml:space="preserve"> mehānismi - Uzraudzības komiteja un Projektu uzraudzības padome, kas darbojas kā </w:t>
      </w:r>
      <w:r w:rsidR="00D20D92">
        <w:t xml:space="preserve">lietderīgi un </w:t>
      </w:r>
      <w:r w:rsidRPr="009D5004">
        <w:t xml:space="preserve">efektīvi instrumenti </w:t>
      </w:r>
      <w:r w:rsidR="00D20D92">
        <w:t xml:space="preserve">gan </w:t>
      </w:r>
      <w:r w:rsidRPr="009D5004">
        <w:t>stratēģiska</w:t>
      </w:r>
      <w:r w:rsidR="00D20D92">
        <w:t xml:space="preserve"> līmeņa</w:t>
      </w:r>
      <w:r w:rsidRPr="009D5004">
        <w:t xml:space="preserve"> pārraudzībai</w:t>
      </w:r>
      <w:r w:rsidR="00D20D92">
        <w:t>, gan</w:t>
      </w:r>
      <w:r w:rsidRPr="009D5004">
        <w:t xml:space="preserve"> operatīvai </w:t>
      </w:r>
      <w:r w:rsidR="00EF16E3">
        <w:t xml:space="preserve">projektu </w:t>
      </w:r>
      <w:r w:rsidRPr="009D5004">
        <w:t xml:space="preserve">uzraudzībai. Iekšlietu </w:t>
      </w:r>
      <w:r w:rsidR="00EF16E3">
        <w:t>jomā</w:t>
      </w:r>
      <w:r w:rsidRPr="009D5004">
        <w:t xml:space="preserve"> tika ieviesta </w:t>
      </w:r>
      <w:r w:rsidR="00EF16E3">
        <w:t>specifiska</w:t>
      </w:r>
      <w:r w:rsidRPr="009D5004">
        <w:t xml:space="preserve"> prasība finansējuma saņēmējiem sniegt informāciju par visām plānotajām projektu aktivitātēm visos </w:t>
      </w:r>
      <w:r w:rsidR="000805F2">
        <w:t xml:space="preserve">pieejamos </w:t>
      </w:r>
      <w:r w:rsidRPr="009D5004">
        <w:t xml:space="preserve">finansējuma avotos, kas </w:t>
      </w:r>
      <w:r w:rsidR="00E81471">
        <w:t>nodrošināja iespēju</w:t>
      </w:r>
      <w:r w:rsidRPr="009D5004">
        <w:t xml:space="preserve"> novērst potenciālu </w:t>
      </w:r>
      <w:r w:rsidR="006720A4">
        <w:t xml:space="preserve">aktivitāšu </w:t>
      </w:r>
      <w:r w:rsidRPr="009D5004">
        <w:t xml:space="preserve">pārklāšanos un identificēt </w:t>
      </w:r>
      <w:r w:rsidR="007801A5">
        <w:t>jaunas</w:t>
      </w:r>
      <w:r w:rsidR="00EF6BA6">
        <w:t xml:space="preserve"> </w:t>
      </w:r>
      <w:r w:rsidRPr="009D5004">
        <w:t>sinerģijas</w:t>
      </w:r>
      <w:r w:rsidR="00EF6BA6">
        <w:t xml:space="preserve"> iespējas starp dažādiem projektiem</w:t>
      </w:r>
      <w:r w:rsidRPr="009D5004">
        <w:t xml:space="preserve">. </w:t>
      </w:r>
    </w:p>
    <w:p w14:paraId="0B185B3E" w14:textId="77777777" w:rsidR="00B93B39" w:rsidRPr="005C42CF" w:rsidRDefault="00B93B39" w:rsidP="00B93B39">
      <w:pPr>
        <w:rPr>
          <w:b/>
          <w:bCs/>
        </w:rPr>
      </w:pPr>
      <w:r w:rsidRPr="005C42CF">
        <w:rPr>
          <w:b/>
          <w:bCs/>
        </w:rPr>
        <w:t>Papildināmība</w:t>
      </w:r>
    </w:p>
    <w:p w14:paraId="40710788" w14:textId="5E559B6A" w:rsidR="00B93B39" w:rsidRPr="005C42CF" w:rsidRDefault="00B93B39" w:rsidP="00B93B39">
      <w:r w:rsidRPr="005C42CF">
        <w:t xml:space="preserve">IDF nacionālā programma ir saskaņota ar Latvijas iekšlietu nozares stratēģiskās attīstības dokumentiem, </w:t>
      </w:r>
      <w:r w:rsidR="00023DFB">
        <w:t>tostarp</w:t>
      </w:r>
      <w:r w:rsidRPr="005C42CF">
        <w:t xml:space="preserve"> IeM darbības stratēģiju un VRS, IeM IC un PMLP attīstības plāniem. Tā veicina </w:t>
      </w:r>
      <w:r w:rsidR="00474C04">
        <w:t>stratēģisko</w:t>
      </w:r>
      <w:r w:rsidRPr="005C42CF">
        <w:t xml:space="preserve"> mērķu sasniegšanu </w:t>
      </w:r>
      <w:r w:rsidR="00A66807">
        <w:t>robežu pārvaldības</w:t>
      </w:r>
      <w:r w:rsidRPr="005C42CF">
        <w:t xml:space="preserve"> jomā, vienlaikus nodrošinot papildināmību ar nacionālajiem, piemēram, Latvijas valsts robežas pārvaldības koncepciju</w:t>
      </w:r>
      <w:r w:rsidR="00A62430">
        <w:t>,</w:t>
      </w:r>
      <w:r w:rsidR="00A62430" w:rsidRPr="005C42CF">
        <w:t xml:space="preserve"> </w:t>
      </w:r>
      <w:r w:rsidRPr="005C42CF">
        <w:t>un ES līmeņa plānošanas dokumentiem.</w:t>
      </w:r>
    </w:p>
    <w:p w14:paraId="4B3AB41D" w14:textId="36957FA6" w:rsidR="00B93B39" w:rsidRPr="005C42CF" w:rsidRDefault="00B93B39" w:rsidP="00B93B39">
      <w:r w:rsidRPr="005C42CF">
        <w:t xml:space="preserve">Programmas izstrādes laikā tika veikta citu pasākumu </w:t>
      </w:r>
      <w:r w:rsidR="00842B61">
        <w:t>analīze</w:t>
      </w:r>
      <w:r w:rsidRPr="005C42CF">
        <w:t>, lai nodrošinātu aktivitāšu atbilstību nacionālajos plānošanas dokumentos definētajām prioritātēm un novērstu pārklāšanās riskus. Š</w:t>
      </w:r>
      <w:r w:rsidR="00075F66">
        <w:t>ī</w:t>
      </w:r>
      <w:r w:rsidR="007E0DAE">
        <w:t xml:space="preserve"> mērķa sasniegšanai</w:t>
      </w:r>
      <w:r w:rsidRPr="005C42CF">
        <w:t xml:space="preserve"> tika izveidoti koordinācijas mehānismi, piemēram, UK un Projektu uzraudzības padome, kas uzraudzīja projektu </w:t>
      </w:r>
      <w:r w:rsidR="003A2873">
        <w:t xml:space="preserve">sasvstarpējo </w:t>
      </w:r>
      <w:r w:rsidRPr="005C42CF">
        <w:t xml:space="preserve">saskaņotību, </w:t>
      </w:r>
      <w:r w:rsidR="00FB27BD">
        <w:t xml:space="preserve">iespējamos </w:t>
      </w:r>
      <w:r w:rsidRPr="005C42CF">
        <w:t>dubultā finansējuma riskus un efektīvu resursu izmantošanu. Vienlaikus projektu pieteikumu dokumentācijā bija j</w:t>
      </w:r>
      <w:r w:rsidR="00840CC1">
        <w:t>āiekļauj</w:t>
      </w:r>
      <w:r w:rsidRPr="005C42CF">
        <w:t xml:space="preserve"> informācija par citiem īstenotajiem projektiem, </w:t>
      </w:r>
      <w:r w:rsidR="00815337">
        <w:t xml:space="preserve">jāpamato </w:t>
      </w:r>
      <w:r w:rsidRPr="005C42CF">
        <w:t>atbilstīb</w:t>
      </w:r>
      <w:r w:rsidR="00815337">
        <w:t>a</w:t>
      </w:r>
      <w:r w:rsidRPr="005C42CF">
        <w:t xml:space="preserve"> nacionālā un ES līmeņa politikas plānošanas dokumentiem, kā arī jāapliecina, ka netiks </w:t>
      </w:r>
      <w:r w:rsidR="00D75901">
        <w:t>piesaistīts</w:t>
      </w:r>
      <w:r w:rsidRPr="005C42CF">
        <w:t xml:space="preserve"> papildu finansējums </w:t>
      </w:r>
      <w:r w:rsidR="00D75901">
        <w:t xml:space="preserve">identisku vai </w:t>
      </w:r>
      <w:r w:rsidRPr="005C42CF">
        <w:t xml:space="preserve">to pašu aktivitāšu īstenošanai. </w:t>
      </w:r>
    </w:p>
    <w:p w14:paraId="261C8FDB" w14:textId="77777777" w:rsidR="00B93B39" w:rsidRPr="005C42CF" w:rsidRDefault="00B93B39" w:rsidP="00B93B39">
      <w:pPr>
        <w:rPr>
          <w:b/>
          <w:bCs/>
        </w:rPr>
      </w:pPr>
      <w:r w:rsidRPr="005C42CF">
        <w:rPr>
          <w:b/>
          <w:bCs/>
        </w:rPr>
        <w:t>ES pievienotā vērtība</w:t>
      </w:r>
    </w:p>
    <w:p w14:paraId="30C79DCD" w14:textId="57AB5F92" w:rsidR="00B93B39" w:rsidRPr="005C42CF" w:rsidRDefault="00B93B39" w:rsidP="00B93B39">
      <w:pPr>
        <w:spacing w:after="160"/>
        <w:rPr>
          <w:bCs/>
        </w:rPr>
      </w:pPr>
      <w:r w:rsidRPr="005C42CF">
        <w:rPr>
          <w:bCs/>
        </w:rPr>
        <w:t xml:space="preserve">ES fondu atbalsts ir bijis kritiski nozīmīgs Latvijas ārējās robežas drošības stiprināšanā, vīzu politikas īstenošanā un institucionālās kapacitātes celšanā. Ar fonda </w:t>
      </w:r>
      <w:r w:rsidR="00352FE2">
        <w:rPr>
          <w:bCs/>
        </w:rPr>
        <w:t>piešķirto finansējumu</w:t>
      </w:r>
      <w:r w:rsidRPr="005C42CF">
        <w:rPr>
          <w:bCs/>
        </w:rPr>
        <w:t xml:space="preserve"> tika </w:t>
      </w:r>
      <w:r w:rsidR="009362D4">
        <w:rPr>
          <w:bCs/>
        </w:rPr>
        <w:t xml:space="preserve">veikta </w:t>
      </w:r>
      <w:r w:rsidR="006B77DB">
        <w:rPr>
          <w:bCs/>
        </w:rPr>
        <w:t xml:space="preserve">robežu </w:t>
      </w:r>
      <w:r w:rsidRPr="005C42CF">
        <w:rPr>
          <w:bCs/>
        </w:rPr>
        <w:t>uzraudzības un IT sistēm</w:t>
      </w:r>
      <w:r w:rsidR="005D5F08">
        <w:rPr>
          <w:bCs/>
        </w:rPr>
        <w:t>u modernizācija</w:t>
      </w:r>
      <w:r w:rsidRPr="005C42CF">
        <w:rPr>
          <w:bCs/>
        </w:rPr>
        <w:t>, uzlabot</w:t>
      </w:r>
      <w:r w:rsidR="005D5F08">
        <w:rPr>
          <w:bCs/>
        </w:rPr>
        <w:t>i</w:t>
      </w:r>
      <w:r w:rsidRPr="005C42CF">
        <w:rPr>
          <w:bCs/>
        </w:rPr>
        <w:t xml:space="preserve"> informācijas apmaiņa</w:t>
      </w:r>
      <w:r w:rsidR="005D5F08">
        <w:rPr>
          <w:bCs/>
        </w:rPr>
        <w:t>s procesi</w:t>
      </w:r>
      <w:r w:rsidRPr="005C42CF">
        <w:rPr>
          <w:bCs/>
        </w:rPr>
        <w:t xml:space="preserve"> starp ES dalībvalstīm un sekmēta starpinstitucionālā sadarbība. </w:t>
      </w:r>
      <w:r w:rsidR="009A6C93">
        <w:rPr>
          <w:bCs/>
        </w:rPr>
        <w:t>Šīs aktivitātes</w:t>
      </w:r>
      <w:r w:rsidRPr="005C42CF">
        <w:rPr>
          <w:bCs/>
        </w:rPr>
        <w:t xml:space="preserve"> ļāva optimizēt cilvēkresursu izmantošanu un nodrošināt </w:t>
      </w:r>
      <w:r w:rsidR="005D0E48">
        <w:rPr>
          <w:bCs/>
        </w:rPr>
        <w:t>ātru</w:t>
      </w:r>
      <w:r w:rsidRPr="005C42CF">
        <w:rPr>
          <w:bCs/>
        </w:rPr>
        <w:t xml:space="preserve"> </w:t>
      </w:r>
      <w:r w:rsidR="00716FD2">
        <w:rPr>
          <w:bCs/>
        </w:rPr>
        <w:t>un efektīvu</w:t>
      </w:r>
      <w:r w:rsidRPr="005C42CF">
        <w:rPr>
          <w:bCs/>
        </w:rPr>
        <w:t xml:space="preserve"> reaģēšanu uz drošības riskiem, vienlaikus </w:t>
      </w:r>
      <w:r w:rsidR="007C28E6">
        <w:rPr>
          <w:bCs/>
        </w:rPr>
        <w:t>sekmējot</w:t>
      </w:r>
      <w:r w:rsidRPr="005C42CF">
        <w:rPr>
          <w:bCs/>
        </w:rPr>
        <w:t xml:space="preserve"> atbilstību ES </w:t>
      </w:r>
      <w:r w:rsidR="00601FD3">
        <w:rPr>
          <w:bCs/>
        </w:rPr>
        <w:t xml:space="preserve">izvirzītajiem </w:t>
      </w:r>
      <w:r w:rsidRPr="005C42CF">
        <w:rPr>
          <w:bCs/>
        </w:rPr>
        <w:t>standartiem.</w:t>
      </w:r>
    </w:p>
    <w:p w14:paraId="74FD81C2" w14:textId="3793C03D" w:rsidR="00B93B39" w:rsidRPr="005C42CF" w:rsidRDefault="00B93B39" w:rsidP="00B93B39">
      <w:pPr>
        <w:rPr>
          <w:bCs/>
        </w:rPr>
      </w:pPr>
      <w:r w:rsidRPr="005C42CF">
        <w:rPr>
          <w:bCs/>
        </w:rPr>
        <w:t>Bez ES fonda</w:t>
      </w:r>
      <w:r w:rsidR="0004798A">
        <w:rPr>
          <w:bCs/>
        </w:rPr>
        <w:t xml:space="preserve"> sniegtā</w:t>
      </w:r>
      <w:r w:rsidRPr="005C42CF">
        <w:rPr>
          <w:bCs/>
        </w:rPr>
        <w:t xml:space="preserve"> finansiālā atbalsta Latvija nebūtu spējīga īstenot tik apjomīgus un tehnoloģiski sarežģītus projektus, </w:t>
      </w:r>
      <w:r w:rsidR="00E80DFE">
        <w:rPr>
          <w:bCs/>
        </w:rPr>
        <w:t>jo</w:t>
      </w:r>
      <w:r w:rsidRPr="005C42CF">
        <w:rPr>
          <w:bCs/>
        </w:rPr>
        <w:t xml:space="preserve"> valsts budžeta līdzekļi ir ierobežoti. Fonda atbalsta pārtraukšana </w:t>
      </w:r>
      <w:r w:rsidR="00A365B2">
        <w:rPr>
          <w:bCs/>
        </w:rPr>
        <w:t>radīt</w:t>
      </w:r>
      <w:r w:rsidR="003C7BC5">
        <w:rPr>
          <w:bCs/>
        </w:rPr>
        <w:t xml:space="preserve">u </w:t>
      </w:r>
      <w:r w:rsidRPr="005C42CF">
        <w:rPr>
          <w:bCs/>
        </w:rPr>
        <w:t>būtisk</w:t>
      </w:r>
      <w:r w:rsidR="00A07C47">
        <w:rPr>
          <w:bCs/>
        </w:rPr>
        <w:t>us</w:t>
      </w:r>
      <w:r w:rsidRPr="005C42CF">
        <w:rPr>
          <w:bCs/>
        </w:rPr>
        <w:t xml:space="preserve"> </w:t>
      </w:r>
      <w:r w:rsidR="00F26641">
        <w:rPr>
          <w:bCs/>
        </w:rPr>
        <w:t>draudus</w:t>
      </w:r>
      <w:r w:rsidRPr="005C42CF">
        <w:rPr>
          <w:bCs/>
        </w:rPr>
        <w:t xml:space="preserve"> gan līdzšinējo </w:t>
      </w:r>
      <w:r w:rsidR="00D63F4D">
        <w:rPr>
          <w:bCs/>
        </w:rPr>
        <w:t>sasniegumu ilgtspējai</w:t>
      </w:r>
      <w:r w:rsidRPr="005C42CF">
        <w:rPr>
          <w:bCs/>
        </w:rPr>
        <w:t>, gan turpmāk</w:t>
      </w:r>
      <w:r w:rsidR="00D63F4D">
        <w:rPr>
          <w:bCs/>
        </w:rPr>
        <w:t>ajai</w:t>
      </w:r>
      <w:r w:rsidRPr="005C42CF">
        <w:rPr>
          <w:bCs/>
        </w:rPr>
        <w:t xml:space="preserve"> spēj</w:t>
      </w:r>
      <w:r w:rsidR="00D63F4D">
        <w:rPr>
          <w:bCs/>
        </w:rPr>
        <w:t>ai</w:t>
      </w:r>
      <w:r w:rsidRPr="005C42CF">
        <w:rPr>
          <w:bCs/>
        </w:rPr>
        <w:t xml:space="preserve"> reaģēt uz </w:t>
      </w:r>
      <w:r w:rsidR="00315AD8">
        <w:rPr>
          <w:bCs/>
        </w:rPr>
        <w:t xml:space="preserve">pieaugušajiem </w:t>
      </w:r>
      <w:r w:rsidRPr="005C42CF">
        <w:rPr>
          <w:bCs/>
        </w:rPr>
        <w:t xml:space="preserve">migrācijas un drošības izaicinājumiem, kā arī mazinātu Latvijas </w:t>
      </w:r>
      <w:r w:rsidR="00704163">
        <w:rPr>
          <w:bCs/>
        </w:rPr>
        <w:t>kapacitāti</w:t>
      </w:r>
      <w:r w:rsidRPr="005C42CF">
        <w:rPr>
          <w:bCs/>
        </w:rPr>
        <w:t xml:space="preserve"> nodrošināt ES ārējās robežas drošību. Tādēļ fonda </w:t>
      </w:r>
      <w:r w:rsidR="00C31544">
        <w:rPr>
          <w:bCs/>
        </w:rPr>
        <w:t>sniegtais</w:t>
      </w:r>
      <w:r w:rsidRPr="005C42CF">
        <w:rPr>
          <w:bCs/>
        </w:rPr>
        <w:t xml:space="preserve"> atbalsts ir </w:t>
      </w:r>
      <w:r w:rsidR="00A45143">
        <w:rPr>
          <w:bCs/>
        </w:rPr>
        <w:t>uzskatāms</w:t>
      </w:r>
      <w:r w:rsidRPr="005C42CF">
        <w:rPr>
          <w:bCs/>
        </w:rPr>
        <w:t xml:space="preserve"> </w:t>
      </w:r>
      <w:r w:rsidR="00BF2D97">
        <w:rPr>
          <w:bCs/>
        </w:rPr>
        <w:t xml:space="preserve">par nozīmīgu pievienoto vērtību </w:t>
      </w:r>
      <w:r w:rsidRPr="005C42CF">
        <w:rPr>
          <w:bCs/>
        </w:rPr>
        <w:t>ne tikai nacionāl</w:t>
      </w:r>
      <w:r w:rsidR="00BF2D97">
        <w:rPr>
          <w:bCs/>
        </w:rPr>
        <w:t>ā</w:t>
      </w:r>
      <w:r w:rsidRPr="005C42CF">
        <w:rPr>
          <w:bCs/>
        </w:rPr>
        <w:t xml:space="preserve">, bet arī </w:t>
      </w:r>
      <w:r w:rsidR="00BD728E">
        <w:rPr>
          <w:bCs/>
        </w:rPr>
        <w:t xml:space="preserve">Eiropas </w:t>
      </w:r>
      <w:r w:rsidRPr="005C42CF">
        <w:rPr>
          <w:bCs/>
        </w:rPr>
        <w:t>Savienības līme</w:t>
      </w:r>
      <w:r w:rsidR="00BD728E">
        <w:rPr>
          <w:bCs/>
        </w:rPr>
        <w:t xml:space="preserve">nī, </w:t>
      </w:r>
      <w:r w:rsidRPr="005C42CF">
        <w:rPr>
          <w:bCs/>
        </w:rPr>
        <w:t>veicin</w:t>
      </w:r>
      <w:r w:rsidR="00BD728E">
        <w:rPr>
          <w:bCs/>
        </w:rPr>
        <w:t>ot</w:t>
      </w:r>
      <w:r w:rsidRPr="005C42CF">
        <w:rPr>
          <w:bCs/>
        </w:rPr>
        <w:t xml:space="preserve"> vienotu un drošu Eiropas robežu pārvaldību</w:t>
      </w:r>
      <w:r w:rsidR="007174ED">
        <w:rPr>
          <w:bCs/>
        </w:rPr>
        <w:t xml:space="preserve"> sistēmu</w:t>
      </w:r>
      <w:r w:rsidRPr="005C42CF">
        <w:rPr>
          <w:bCs/>
        </w:rPr>
        <w:t>.</w:t>
      </w:r>
    </w:p>
    <w:p w14:paraId="3C67E9D6" w14:textId="335BE529" w:rsidR="00B93B39" w:rsidRPr="005C42CF" w:rsidRDefault="00B93B39" w:rsidP="00B93B39">
      <w:pPr>
        <w:spacing w:after="160"/>
        <w:rPr>
          <w:bCs/>
        </w:rPr>
      </w:pPr>
      <w:r w:rsidRPr="005C42CF">
        <w:rPr>
          <w:bCs/>
        </w:rPr>
        <w:t>Vienlaikus jā</w:t>
      </w:r>
      <w:r w:rsidR="007174ED">
        <w:rPr>
          <w:bCs/>
        </w:rPr>
        <w:t>atzīmē</w:t>
      </w:r>
      <w:r w:rsidRPr="005C42CF">
        <w:rPr>
          <w:bCs/>
        </w:rPr>
        <w:t xml:space="preserve">, ka ģeopolitisko </w:t>
      </w:r>
      <w:r w:rsidR="00212573">
        <w:rPr>
          <w:bCs/>
        </w:rPr>
        <w:t>pārmaiņu</w:t>
      </w:r>
      <w:r w:rsidRPr="005C42CF">
        <w:rPr>
          <w:bCs/>
        </w:rPr>
        <w:t xml:space="preserve">, tehnoloģiju </w:t>
      </w:r>
      <w:r w:rsidR="00212573">
        <w:rPr>
          <w:bCs/>
        </w:rPr>
        <w:t xml:space="preserve">straujas </w:t>
      </w:r>
      <w:r w:rsidRPr="005C42CF">
        <w:rPr>
          <w:bCs/>
        </w:rPr>
        <w:t>attīstīb</w:t>
      </w:r>
      <w:r w:rsidR="00212573">
        <w:rPr>
          <w:bCs/>
        </w:rPr>
        <w:t>as</w:t>
      </w:r>
      <w:r w:rsidRPr="005C42CF">
        <w:rPr>
          <w:bCs/>
        </w:rPr>
        <w:t xml:space="preserve"> un citu </w:t>
      </w:r>
      <w:r w:rsidR="00212573">
        <w:rPr>
          <w:bCs/>
        </w:rPr>
        <w:t xml:space="preserve">globālo </w:t>
      </w:r>
      <w:r w:rsidRPr="005C42CF">
        <w:rPr>
          <w:bCs/>
        </w:rPr>
        <w:t xml:space="preserve">procesu rezultātā nozares vajadzības </w:t>
      </w:r>
      <w:r w:rsidR="003F5A28">
        <w:rPr>
          <w:bCs/>
        </w:rPr>
        <w:t>uzrāda</w:t>
      </w:r>
      <w:r w:rsidRPr="005C42CF">
        <w:rPr>
          <w:bCs/>
        </w:rPr>
        <w:t xml:space="preserve"> </w:t>
      </w:r>
      <w:r w:rsidR="00187450">
        <w:rPr>
          <w:bCs/>
        </w:rPr>
        <w:t>nepārtrauktu</w:t>
      </w:r>
      <w:r w:rsidRPr="005C42CF">
        <w:rPr>
          <w:bCs/>
        </w:rPr>
        <w:t xml:space="preserve"> </w:t>
      </w:r>
      <w:r w:rsidR="00003D1D">
        <w:rPr>
          <w:bCs/>
        </w:rPr>
        <w:t>pieauguma</w:t>
      </w:r>
      <w:r w:rsidRPr="005C42CF">
        <w:rPr>
          <w:bCs/>
        </w:rPr>
        <w:t xml:space="preserve"> tendenci. Ņemot vērā valsts budžeta līdzekļ</w:t>
      </w:r>
      <w:r w:rsidR="00921131">
        <w:rPr>
          <w:bCs/>
        </w:rPr>
        <w:t>u ierobežoto raksturu</w:t>
      </w:r>
      <w:r w:rsidRPr="005C42CF">
        <w:rPr>
          <w:bCs/>
        </w:rPr>
        <w:t xml:space="preserve">, </w:t>
      </w:r>
      <w:r w:rsidR="00210E1A">
        <w:rPr>
          <w:bCs/>
        </w:rPr>
        <w:t>paredzams</w:t>
      </w:r>
      <w:r w:rsidRPr="005C42CF">
        <w:rPr>
          <w:bCs/>
        </w:rPr>
        <w:t xml:space="preserve">, ka </w:t>
      </w:r>
      <w:r w:rsidR="008E58A1">
        <w:rPr>
          <w:bCs/>
        </w:rPr>
        <w:t xml:space="preserve">ES </w:t>
      </w:r>
      <w:r w:rsidRPr="005C42CF">
        <w:rPr>
          <w:bCs/>
        </w:rPr>
        <w:t>fondu nozīme ārējo robežu pārvaldīb</w:t>
      </w:r>
      <w:r w:rsidR="00EA0A76">
        <w:rPr>
          <w:bCs/>
        </w:rPr>
        <w:t>as</w:t>
      </w:r>
      <w:r w:rsidRPr="005C42CF">
        <w:rPr>
          <w:bCs/>
        </w:rPr>
        <w:t xml:space="preserve"> un vīzu politikas attīstības jomā </w:t>
      </w:r>
      <w:r w:rsidR="00DC3512">
        <w:rPr>
          <w:bCs/>
        </w:rPr>
        <w:t xml:space="preserve">turpmākajos gados </w:t>
      </w:r>
      <w:r w:rsidRPr="005C42CF">
        <w:rPr>
          <w:bCs/>
        </w:rPr>
        <w:t xml:space="preserve">tikai pieaugs.  </w:t>
      </w:r>
    </w:p>
    <w:p w14:paraId="7982820B" w14:textId="77777777" w:rsidR="00B93B39" w:rsidRPr="005C42CF" w:rsidRDefault="00B93B39" w:rsidP="00B93B39">
      <w:pPr>
        <w:rPr>
          <w:b/>
          <w:bCs/>
        </w:rPr>
      </w:pPr>
      <w:r w:rsidRPr="005C42CF">
        <w:rPr>
          <w:b/>
          <w:bCs/>
        </w:rPr>
        <w:lastRenderedPageBreak/>
        <w:t xml:space="preserve">Ilgtspēja </w:t>
      </w:r>
    </w:p>
    <w:p w14:paraId="1EC3CEE4" w14:textId="6CECBFAF" w:rsidR="00B93B39" w:rsidRPr="005C42CF" w:rsidRDefault="00B93B39" w:rsidP="00B93B39">
      <w:r w:rsidRPr="005C42CF">
        <w:t xml:space="preserve">Projektu rezultāti kopumā tiek </w:t>
      </w:r>
      <w:r w:rsidR="009031AB">
        <w:t>no</w:t>
      </w:r>
      <w:r w:rsidRPr="005C42CF">
        <w:t xml:space="preserve">vērtēti kā noturīgi vai drīzāk noturīgi. Finansējuma saņēmēji, parakstot līgumus, </w:t>
      </w:r>
      <w:r w:rsidR="003D5628">
        <w:t>uz</w:t>
      </w:r>
      <w:r w:rsidRPr="005C42CF">
        <w:t xml:space="preserve">ņemas </w:t>
      </w:r>
      <w:r w:rsidR="00AA3150">
        <w:t xml:space="preserve">saistības </w:t>
      </w:r>
      <w:r w:rsidRPr="005C42CF">
        <w:t xml:space="preserve">nodrošināt sasniegto rezultātu ilgtspēju, kuras termiņš ir atkarīgs no </w:t>
      </w:r>
      <w:r w:rsidR="00DA4A3C">
        <w:t xml:space="preserve">konkrētā </w:t>
      </w:r>
      <w:r w:rsidRPr="005C42CF">
        <w:t xml:space="preserve">ieguldījumu veida. </w:t>
      </w:r>
    </w:p>
    <w:p w14:paraId="58E4D412" w14:textId="6FA3DAE6" w:rsidR="00B93B39" w:rsidRPr="005C42CF" w:rsidRDefault="00B93B39" w:rsidP="00B93B39">
      <w:r w:rsidRPr="005C42CF">
        <w:t xml:space="preserve">Galvenie riski, kas var apdraudēt rezultātu ilgtspēju, ir saistīti ar finanšu resursu trūkumu rezultātu uzturēšanai un uzsākto aktivitāšu turpināšanai, </w:t>
      </w:r>
      <w:r w:rsidR="00311D1E">
        <w:t xml:space="preserve">nepietiekamu </w:t>
      </w:r>
      <w:r w:rsidRPr="005C42CF">
        <w:t xml:space="preserve">cilvēkresursu </w:t>
      </w:r>
      <w:r w:rsidR="00311D1E">
        <w:t>pieejamību</w:t>
      </w:r>
      <w:r w:rsidRPr="005C42CF">
        <w:t xml:space="preserve">, kā arī ārējiem faktoriem, piemēram, ģeopolitiskām </w:t>
      </w:r>
      <w:r w:rsidR="00447ED2">
        <w:t>pār</w:t>
      </w:r>
      <w:r w:rsidRPr="005C42CF">
        <w:t xml:space="preserve">maiņām. Vienlaikus kā papildu risks tiek identificēta straujā tehnoloģiju attīstība, īpaši mākslīgā intelekta jomā, </w:t>
      </w:r>
      <w:r w:rsidR="00194195">
        <w:t xml:space="preserve">kas </w:t>
      </w:r>
      <w:r w:rsidRPr="005C42CF">
        <w:t xml:space="preserve">rada izaicinājumus IT risinājumu ilgtermiņa darbībai, kā arī tehnoloģisko iekārtu atbilstībai mainīgajiem standartiem. Tādējādi, lai uzturētu nepieciešamo funkcionalitāti, ir nepieciešams </w:t>
      </w:r>
      <w:r w:rsidR="00D960F7">
        <w:t xml:space="preserve">turpmāks </w:t>
      </w:r>
      <w:r w:rsidRPr="005C42CF">
        <w:t xml:space="preserve">finansējums IT sistēmu attīstībai un pilnveidei. </w:t>
      </w:r>
    </w:p>
    <w:p w14:paraId="5DA8AF2C" w14:textId="2B812ED0" w:rsidR="00B93B39" w:rsidRPr="005C42CF" w:rsidRDefault="00B93B39" w:rsidP="00B93B39">
      <w:r w:rsidRPr="005C42CF">
        <w:rPr>
          <w:bCs/>
        </w:rPr>
        <w:t>Pozitīvi vērtējams, ka 2021.-2027. gada plānošanas perioda finansējums tiek izmantots, lai turpinātu attīstīt un paplašināt iepriekš sasniegtos rezultātus, tādējādi nodrošinot to ilgtspēju un pilnveidošanu.</w:t>
      </w:r>
    </w:p>
    <w:p w14:paraId="2B5515C2" w14:textId="77777777" w:rsidR="00B93B39" w:rsidRPr="00476F07" w:rsidRDefault="00B93B39" w:rsidP="00B93B39">
      <w:pPr>
        <w:spacing w:after="160"/>
        <w:rPr>
          <w:b/>
          <w:bCs/>
        </w:rPr>
      </w:pPr>
      <w:r w:rsidRPr="005C42CF">
        <w:rPr>
          <w:b/>
          <w:bCs/>
        </w:rPr>
        <w:t>Administratīvā sloga vienkāršošana un samazināšana</w:t>
      </w:r>
    </w:p>
    <w:p w14:paraId="7A308718" w14:textId="68150106" w:rsidR="00B93B39" w:rsidRPr="005C42CF" w:rsidRDefault="00B93B39" w:rsidP="00B93B39">
      <w:r w:rsidRPr="005C42CF">
        <w:t xml:space="preserve">Plānošanas perioda ievaros ir bijuši atsevišķi pasākumi, kas vērsti uz administratīvā sloga mazināšanu, kā piemēram, pāreja uz elektronisko dokumentu apriti, kā arī elastīgāka pieeja grozījumu veikšanā. Vienlaikus daudzgadu programmu ieviešana </w:t>
      </w:r>
      <w:r w:rsidR="00E40474">
        <w:t xml:space="preserve">ir </w:t>
      </w:r>
      <w:r w:rsidRPr="005C42CF">
        <w:t xml:space="preserve">ļāvusi īstenot stratēģiskāku projektu plānošanu, īstenot projektus ar garāku termiņu, kā arī elastīgāk pielāgoties mainīgajām vajadzībām. </w:t>
      </w:r>
    </w:p>
    <w:p w14:paraId="266BF46B" w14:textId="03F0100E" w:rsidR="00B93B39" w:rsidRPr="00B93B39" w:rsidRDefault="00B93B39" w:rsidP="00B93B39">
      <w:r w:rsidRPr="005C42CF">
        <w:t xml:space="preserve">Taču, neskatoties uz to, ka administratīvā sloga vienkāršošana 2014.-2020. gada plānošanas perioda ietvaros ir bijusi ierobežota, finansējuma saņēmēji norāda uz nozīmīgiem uzlabojumiem 2021.-2027.gada plānošanas periodā. </w:t>
      </w:r>
    </w:p>
    <w:p w14:paraId="5C768F22" w14:textId="2EFA0285" w:rsidR="00095865" w:rsidRDefault="00095865" w:rsidP="00BF4167">
      <w:pPr>
        <w:pStyle w:val="Virsraksts2"/>
        <w:numPr>
          <w:ilvl w:val="1"/>
          <w:numId w:val="42"/>
        </w:numPr>
        <w:rPr>
          <w:sz w:val="30"/>
          <w:szCs w:val="28"/>
        </w:rPr>
      </w:pPr>
      <w:bookmarkStart w:id="101" w:name="_Toc193371313"/>
      <w:r w:rsidRPr="008F64A0">
        <w:rPr>
          <w:sz w:val="30"/>
          <w:szCs w:val="28"/>
        </w:rPr>
        <w:t>I</w:t>
      </w:r>
      <w:r w:rsidR="004C1F45">
        <w:rPr>
          <w:sz w:val="30"/>
          <w:szCs w:val="28"/>
        </w:rPr>
        <w:t>ekšējās drošības fonda</w:t>
      </w:r>
      <w:r w:rsidRPr="008F64A0">
        <w:rPr>
          <w:sz w:val="30"/>
          <w:szCs w:val="28"/>
        </w:rPr>
        <w:t xml:space="preserve"> finansiāla atbalsta instruments </w:t>
      </w:r>
      <w:r w:rsidR="00890EC8" w:rsidRPr="008F64A0">
        <w:rPr>
          <w:sz w:val="30"/>
          <w:szCs w:val="28"/>
        </w:rPr>
        <w:t>policijas sadarbībai, noziedzības novēršanai un apkarošanai un krīžu pārvarēšanai</w:t>
      </w:r>
      <w:r w:rsidR="004F7679">
        <w:rPr>
          <w:sz w:val="30"/>
          <w:szCs w:val="28"/>
        </w:rPr>
        <w:t xml:space="preserve"> secinājumi un atziņas</w:t>
      </w:r>
      <w:bookmarkEnd w:id="101"/>
    </w:p>
    <w:p w14:paraId="47B850C0" w14:textId="5543CCB3" w:rsidR="00345F71" w:rsidRPr="00A353A3" w:rsidRDefault="00345F71" w:rsidP="00345F71">
      <w:r>
        <w:t xml:space="preserve">IDF </w:t>
      </w:r>
      <w:r w:rsidR="0098761A">
        <w:t xml:space="preserve">ietvaros īstenotie pasākumi </w:t>
      </w:r>
      <w:r>
        <w:t>policija</w:t>
      </w:r>
      <w:r w:rsidR="0098761A">
        <w:t>s</w:t>
      </w:r>
      <w:r w:rsidR="00DA5387">
        <w:t xml:space="preserve"> sadarbības</w:t>
      </w:r>
      <w:r>
        <w:t>, noziedzība</w:t>
      </w:r>
      <w:r w:rsidR="00DA5387">
        <w:t xml:space="preserve">s novēršanas un apkarošanas, kā arī </w:t>
      </w:r>
      <w:r>
        <w:t>krī</w:t>
      </w:r>
      <w:r w:rsidR="00DA5387">
        <w:t>žu</w:t>
      </w:r>
      <w:r>
        <w:t xml:space="preserve"> </w:t>
      </w:r>
      <w:r w:rsidR="004B1F72">
        <w:t>pārvarēšanas jomā</w:t>
      </w:r>
      <w:r>
        <w:t xml:space="preserve"> ir bijuši </w:t>
      </w:r>
      <w:r w:rsidR="008B7A48">
        <w:t xml:space="preserve">mērķtiecīgi </w:t>
      </w:r>
      <w:r>
        <w:t>vērsti uz noziedzības, tai skaitā organizēt</w:t>
      </w:r>
      <w:r w:rsidR="006F5BD0">
        <w:t>ās</w:t>
      </w:r>
      <w:r>
        <w:t xml:space="preserve"> noziedzīb</w:t>
      </w:r>
      <w:r w:rsidR="006F5BD0">
        <w:t>as un</w:t>
      </w:r>
      <w:r>
        <w:t xml:space="preserve"> terorism</w:t>
      </w:r>
      <w:r w:rsidR="006F5BD0">
        <w:t>a apkarošanu</w:t>
      </w:r>
      <w:r>
        <w:t xml:space="preserve">, kā arī uz starpinstitucionālās un starptautiskās sadarbības </w:t>
      </w:r>
      <w:r w:rsidR="00083740">
        <w:t>stiprināšanu</w:t>
      </w:r>
      <w:r>
        <w:t>. Vienlaikus pasākumi ir bijuši vērsti uz krīžu un ar drošību saistītu risku pārvaldības spēju attīstību un gatavības veicināšanu cilvēku un kritiskās infrastruktūras aizsardzībai</w:t>
      </w:r>
      <w:r>
        <w:rPr>
          <w:i/>
          <w:iCs/>
        </w:rPr>
        <w:t xml:space="preserve">. </w:t>
      </w:r>
      <w:r>
        <w:t>Kopumā IDF policija</w:t>
      </w:r>
      <w:r w:rsidR="007735B2">
        <w:t>s</w:t>
      </w:r>
      <w:r>
        <w:t>, noziedzība</w:t>
      </w:r>
      <w:r w:rsidR="007735B2">
        <w:t>s</w:t>
      </w:r>
      <w:r>
        <w:t xml:space="preserve"> un krī</w:t>
      </w:r>
      <w:r w:rsidR="007735B2">
        <w:t>žu jomas</w:t>
      </w:r>
      <w:r>
        <w:t xml:space="preserve"> ietvaros īstenoti 11 projekti, no kuriem 8 ir īstenojusi VP. </w:t>
      </w:r>
    </w:p>
    <w:p w14:paraId="04FEA062" w14:textId="77777777" w:rsidR="00345F71" w:rsidRPr="00F479A9" w:rsidRDefault="00345F71" w:rsidP="00345F71">
      <w:pPr>
        <w:rPr>
          <w:b/>
          <w:bCs/>
        </w:rPr>
      </w:pPr>
      <w:r w:rsidRPr="00F479A9">
        <w:rPr>
          <w:b/>
          <w:bCs/>
        </w:rPr>
        <w:t>Efektivitāte</w:t>
      </w:r>
    </w:p>
    <w:p w14:paraId="375B7FC8" w14:textId="2BB5DE9B" w:rsidR="00345F71" w:rsidRDefault="00BF0FC1" w:rsidP="00345F71">
      <w:r>
        <w:t xml:space="preserve">IDF </w:t>
      </w:r>
      <w:r w:rsidR="00345F71" w:rsidRPr="005F7DAF">
        <w:t xml:space="preserve">ietvaros īstenotās aktivitātes </w:t>
      </w:r>
      <w:r w:rsidR="00345F71">
        <w:t>policijas, noziedzības un krīžu</w:t>
      </w:r>
      <w:r w:rsidR="00345F71" w:rsidRPr="005F7DAF">
        <w:t xml:space="preserve"> jomā ir sekmīgi veicinājušas izvirzīto mērķu </w:t>
      </w:r>
      <w:r w:rsidR="00345F71" w:rsidRPr="00471787">
        <w:t xml:space="preserve">sasniegšanu. Lai gan kvantitatīvā izteiksmē ir sasniegta tikai puse no plānotajiem rezultatīvajiem rādītājiem, jāņem vērā, ka tikai trīs projektiem ir bijuši definēti IDF nacionālajai programmai atbilstoši sasniedzamie rezultatīvie rādītāji. Pārējo īstenoto pasākumu progress netiek atspoguļots kvantitatīvajos programmas rezultātos, taču tie bijuši vērsti uz programmas mērķu sasniegšanu. </w:t>
      </w:r>
      <w:r w:rsidR="003F004B">
        <w:t>Šie pasākumi</w:t>
      </w:r>
      <w:r w:rsidR="00345F71" w:rsidRPr="00471787">
        <w:t xml:space="preserve"> ietvēra tād</w:t>
      </w:r>
      <w:r w:rsidR="00912068">
        <w:t>as</w:t>
      </w:r>
      <w:r w:rsidR="00345F71" w:rsidRPr="00471787">
        <w:t xml:space="preserve"> </w:t>
      </w:r>
      <w:r w:rsidR="00912068">
        <w:t>aktivitātes</w:t>
      </w:r>
      <w:r w:rsidR="00345F71" w:rsidRPr="00471787">
        <w:t xml:space="preserve"> kā apmācību infrastruktūras izveidi gan CBRNE </w:t>
      </w:r>
      <w:r w:rsidR="0054345C">
        <w:t xml:space="preserve">(ķīmisko, bioloģisko, radioloģisko, kodol- un eksplozīvo vielu) </w:t>
      </w:r>
      <w:r w:rsidR="00345F71" w:rsidRPr="00471787">
        <w:t>krīžu mācībām, gan “OMEGA” vienības spēju attīstīšanai, atbildīgo iestāžu – VUGD un VP materiāltehniskais nodrošinājuma uzlabošan</w:t>
      </w:r>
      <w:r w:rsidR="00EE3004">
        <w:t>u</w:t>
      </w:r>
      <w:r w:rsidR="00345F71" w:rsidRPr="00471787">
        <w:t xml:space="preserve"> efektīvāk</w:t>
      </w:r>
      <w:r w:rsidR="00EE3004">
        <w:t>ai</w:t>
      </w:r>
      <w:r w:rsidR="00345F71" w:rsidRPr="00471787">
        <w:t xml:space="preserve"> reaģē</w:t>
      </w:r>
      <w:r w:rsidR="00EE3004">
        <w:t>šanai</w:t>
      </w:r>
      <w:r w:rsidR="00345F71" w:rsidRPr="00471787">
        <w:t xml:space="preserve"> uz krīzēm un terorisma draudiem, kā arī VP Kriminālistikas pārvaldes kapacitātes stiprināšan</w:t>
      </w:r>
      <w:r w:rsidR="0011547F">
        <w:t>u</w:t>
      </w:r>
      <w:r w:rsidR="00345F71" w:rsidRPr="00471787">
        <w:t>, tai skaitā, ieviešot modernizētas IS — ELIS un NKIM.</w:t>
      </w:r>
      <w:r w:rsidR="00345F71">
        <w:t xml:space="preserve"> </w:t>
      </w:r>
    </w:p>
    <w:p w14:paraId="4C41EDA1" w14:textId="0F68E545" w:rsidR="00345F71" w:rsidRPr="00CF4A4E" w:rsidRDefault="00345F71" w:rsidP="00345F71">
      <w:pPr>
        <w:spacing w:after="160"/>
      </w:pPr>
      <w:r w:rsidRPr="00CF4A4E">
        <w:t xml:space="preserve">Vairāku ārējo faktoru ietekmē, tostarp </w:t>
      </w:r>
      <w:r>
        <w:t>Ukrain</w:t>
      </w:r>
      <w:r w:rsidR="002E1334">
        <w:t>ā esošā</w:t>
      </w:r>
      <w:r>
        <w:t xml:space="preserve"> kara izraisīto seku un </w:t>
      </w:r>
      <w:r w:rsidRPr="00CF4A4E">
        <w:t xml:space="preserve">ar iepirkumu procedūrām saistītu aspektu dēļ, daļa pasākumu tiek turpināti 2021.-2027. gada plānošanas periodā. Saskaņā ar IDF </w:t>
      </w:r>
      <w:r w:rsidRPr="00CF4A4E">
        <w:lastRenderedPageBreak/>
        <w:t>finansējuma saņēmēju aptaujas datiem</w:t>
      </w:r>
      <w:r w:rsidRPr="005F7DAF">
        <w:t xml:space="preserve"> </w:t>
      </w:r>
      <w:r w:rsidRPr="00CF4A4E">
        <w:t>projektu mērķi ir sasniegti pilnībā</w:t>
      </w:r>
      <w:r w:rsidRPr="005F7DAF">
        <w:t xml:space="preserve"> (58%) vai </w:t>
      </w:r>
      <w:r w:rsidRPr="00CF4A4E">
        <w:t xml:space="preserve">ir sasniegti daļēji un tiek turpināti nākamajā plānošanas </w:t>
      </w:r>
      <w:r w:rsidRPr="005F7DAF">
        <w:t>period</w:t>
      </w:r>
      <w:r>
        <w:t>ā</w:t>
      </w:r>
      <w:r w:rsidRPr="005F7DAF">
        <w:t xml:space="preserve"> (42%). </w:t>
      </w:r>
    </w:p>
    <w:p w14:paraId="18460864" w14:textId="77777777" w:rsidR="00345F71" w:rsidRPr="005F7DAF" w:rsidRDefault="00345F71" w:rsidP="00345F71">
      <w:r w:rsidRPr="00CF4A4E">
        <w:t>Programma nodrošināja elastīgu pieeju, ļaujot pielāgot sākotnēji plānotās aktivitātes un projektu mērķus atbilstoši mainīgajiem ārējiem apstākļiem. Šāda adaptācijas pieeja deva iespēju turpināt darbu pie vēl nesasniegtajiem rezultātiem nākamajā plānošanas periodā. Tomēr šī pielāgošanās, lai gan pamatota ar objektīviem apstākļiem, daļēji ir ietekmējusi sākotnēji iecerēto progresu. Rezultātā dažas 2014.-2020. gada plānošanas perioda aktivitātes pārklājas ar nākamo periodu, kurā vienlaikus ir īstenojami jauni attīstības virzieni un iniciatīvas.</w:t>
      </w:r>
    </w:p>
    <w:p w14:paraId="51BCA211" w14:textId="77777777" w:rsidR="00345F71" w:rsidRPr="00CF4A4E" w:rsidRDefault="00345F71" w:rsidP="00345F71">
      <w:pPr>
        <w:spacing w:after="160"/>
      </w:pPr>
      <w:r w:rsidRPr="00CF4A4E">
        <w:t>IDF programmas īstenošanas rezultātā vīzu un robežu jomā ir identificējami šādi galvenie sasniegumi:</w:t>
      </w:r>
    </w:p>
    <w:p w14:paraId="4CA259CA" w14:textId="77777777" w:rsidR="00345F71" w:rsidRPr="00BE77AE" w:rsidRDefault="00345F71" w:rsidP="00345F71">
      <w:pPr>
        <w:pStyle w:val="Sarakstarindkopa"/>
        <w:numPr>
          <w:ilvl w:val="0"/>
          <w:numId w:val="43"/>
        </w:numPr>
        <w:spacing w:after="160"/>
        <w:rPr>
          <w:bCs/>
        </w:rPr>
      </w:pPr>
      <w:r w:rsidRPr="00BE77AE">
        <w:rPr>
          <w:bCs/>
        </w:rPr>
        <w:t>Veikti nozīmīgi uzlabojumi tiesu ekspertīžu jomā, modernizējot materiāltehnisko nodrošinājumu un cilvēkresursu kapacitāti, nodrošinot apmācības. Īstenotie pasākumi ir uzlabojuši nozieguma vietu apskates procesu kvalitāti, kā arī pilnveidojuši ekspertīžu veikšanas metodes un procesus.</w:t>
      </w:r>
    </w:p>
    <w:p w14:paraId="0B5B7EA4" w14:textId="77777777" w:rsidR="00345F71" w:rsidRPr="00BE77AE" w:rsidRDefault="00345F71" w:rsidP="00345F71">
      <w:pPr>
        <w:pStyle w:val="Sarakstarindkopa"/>
        <w:numPr>
          <w:ilvl w:val="0"/>
          <w:numId w:val="43"/>
        </w:numPr>
        <w:spacing w:after="160"/>
        <w:rPr>
          <w:bCs/>
        </w:rPr>
      </w:pPr>
      <w:r w:rsidRPr="00BE77AE">
        <w:rPr>
          <w:bCs/>
        </w:rPr>
        <w:t xml:space="preserve">Uzlabota </w:t>
      </w:r>
      <w:r w:rsidRPr="00BE77AE">
        <w:rPr>
          <w:bCs/>
          <w:color w:val="232323" w:themeColor="text1"/>
        </w:rPr>
        <w:t>informācijas apmaiņa ar citām Eiropas tiesībaizsardzības iestādēm</w:t>
      </w:r>
    </w:p>
    <w:p w14:paraId="50160E67" w14:textId="77777777" w:rsidR="00345F71" w:rsidRPr="00BE77AE" w:rsidRDefault="00345F71" w:rsidP="00345F71">
      <w:pPr>
        <w:pStyle w:val="Sarakstarindkopa"/>
        <w:numPr>
          <w:ilvl w:val="0"/>
          <w:numId w:val="43"/>
        </w:numPr>
        <w:spacing w:after="160"/>
        <w:rPr>
          <w:bCs/>
        </w:rPr>
      </w:pPr>
      <w:r w:rsidRPr="00BE77AE">
        <w:rPr>
          <w:bCs/>
          <w:color w:val="232323" w:themeColor="text1"/>
        </w:rPr>
        <w:t>Uzlabotas kibernoziedzības novēršanas un apkarošanas spējas, ieviešot jaunas IS un uzlabojot automātisku datu apmaiņu Eiropas līmenī</w:t>
      </w:r>
      <w:r w:rsidRPr="00BE77AE">
        <w:rPr>
          <w:bCs/>
        </w:rPr>
        <w:t xml:space="preserve"> </w:t>
      </w:r>
    </w:p>
    <w:p w14:paraId="7933616D" w14:textId="77777777" w:rsidR="00345F71" w:rsidRPr="00BE77AE" w:rsidRDefault="00345F71" w:rsidP="00345F71">
      <w:pPr>
        <w:pStyle w:val="Sarakstarindkopa"/>
        <w:numPr>
          <w:ilvl w:val="0"/>
          <w:numId w:val="43"/>
        </w:numPr>
        <w:spacing w:after="160"/>
      </w:pPr>
      <w:r w:rsidRPr="00BE77AE">
        <w:rPr>
          <w:bCs/>
        </w:rPr>
        <w:t>Uzlabotas reaģēšanas spējas uz CBRNE apdraudējumiem, uzlabojot materiāltehnisko aprīkojumu, kā arī izveidojot specializētu praktisko apmācību infrastruktūru</w:t>
      </w:r>
    </w:p>
    <w:p w14:paraId="432D94E6" w14:textId="77777777" w:rsidR="00345F71" w:rsidRPr="00BE77AE" w:rsidRDefault="00345F71" w:rsidP="00345F71">
      <w:pPr>
        <w:pStyle w:val="Sarakstarindkopa"/>
        <w:numPr>
          <w:ilvl w:val="0"/>
          <w:numId w:val="43"/>
        </w:numPr>
        <w:spacing w:after="160"/>
      </w:pPr>
      <w:r w:rsidRPr="00BE77AE">
        <w:rPr>
          <w:bCs/>
        </w:rPr>
        <w:t xml:space="preserve">Uzlabota pretterorisma vienību kapacitāte un to iesaiste ATLAS tīklā, izveidojot speciāli pielāgotu apmācību infrastruktūru un nodrošinot atbilstošus treniņu apstākļus </w:t>
      </w:r>
    </w:p>
    <w:p w14:paraId="46B61099" w14:textId="77777777" w:rsidR="00345F71" w:rsidRPr="00CF4A4E" w:rsidRDefault="00345F71" w:rsidP="00345F71">
      <w:r>
        <w:t xml:space="preserve">Fondu sniegtais atbalsts ir bijis īpaši nozīmīgs kopējai dienestu kapacitātes stiprināšanai un attīstībai, jo trūkst alternatīvu finanšu avotu, kas paredzētu iespējas īstenot apjomīgus attīstības projektus, tai skaitā ieguldījumus infrastruktūrā. </w:t>
      </w:r>
    </w:p>
    <w:p w14:paraId="51A79DA4" w14:textId="77777777" w:rsidR="00345F71" w:rsidRPr="00F479A9" w:rsidRDefault="00345F71" w:rsidP="00345F71">
      <w:pPr>
        <w:rPr>
          <w:b/>
          <w:bCs/>
        </w:rPr>
      </w:pPr>
      <w:r w:rsidRPr="00F479A9">
        <w:rPr>
          <w:b/>
          <w:bCs/>
        </w:rPr>
        <w:t>Lietderība</w:t>
      </w:r>
    </w:p>
    <w:p w14:paraId="2657712D" w14:textId="77777777" w:rsidR="00345F71" w:rsidRDefault="00345F71" w:rsidP="00345F71">
      <w:r w:rsidRPr="009A6F4C">
        <w:t xml:space="preserve">Finansējuma apguves rādītāji liecina, ka programmas īstenošanas rezultātā pieejamais finansējums </w:t>
      </w:r>
      <w:r>
        <w:t>ir gandrīz pilnībā apgūts</w:t>
      </w:r>
      <w:r w:rsidRPr="009A6F4C">
        <w:t xml:space="preserve"> — kopējā finansējuma apguve ir </w:t>
      </w:r>
      <w:r>
        <w:t>99</w:t>
      </w:r>
      <w:r w:rsidRPr="009A6F4C">
        <w:t xml:space="preserve">% no plānošanas periodā pieejamā finansējuma. </w:t>
      </w:r>
      <w:r w:rsidRPr="00BE77AE">
        <w:t>Finansējuma atbilstību rezultātiem apliecina finansējuma saņēmēju aptaujas dati: 75% uzskata, ka finansējums ir bijis pilnībā atbilstošs sasniedzamajiem rezultātiem, bet 17% — ka tas bijis daļēji atbilstošs. Vienlaikus finansējuma saņēmēji norāda uz ģeopolitisko izmaiņu un Krievijas uzsāktā kara Ukrainā radītajām sekām, kas būtiski ietekmēja projektā plānoto aktivitāšu izmaksas.</w:t>
      </w:r>
    </w:p>
    <w:p w14:paraId="039D819A" w14:textId="77777777" w:rsidR="00345F71" w:rsidRPr="009A6F4C" w:rsidRDefault="00345F71" w:rsidP="00345F71">
      <w:r w:rsidRPr="009A6F4C">
        <w:t xml:space="preserve">Pamatojoties uz gadījuma izpētē ietverto projektu analīzi, tiek secināts, ka Programma ir atbalstījusi izmaksu efektīvus pasākumus. Analizēto pasākumu izmaksu efektivitāte ir saistīta </w:t>
      </w:r>
      <w:r>
        <w:t>ar</w:t>
      </w:r>
      <w:r w:rsidRPr="009A6F4C">
        <w:t xml:space="preserve"> efektivitātes pieaugum</w:t>
      </w:r>
      <w:r>
        <w:t>u reaģējot uz krīzēm, kā arī dienestu darbības efektivitātes pieaugumu</w:t>
      </w:r>
      <w:r w:rsidRPr="009A6F4C">
        <w:t xml:space="preserve">. Atbilstoši pieejamajiem datiem tiek prognozēts, ka sagaidāmie uzlabojumi radīs ekonomiskos ieguvumus, kas pārsniedz Programmas veiktos ieguldījumus. Vienlaikus jāņem vērā, ka </w:t>
      </w:r>
      <w:r>
        <w:t>īstenotie pasākumi</w:t>
      </w:r>
      <w:r w:rsidRPr="009A6F4C">
        <w:t xml:space="preserve"> ir saistīt</w:t>
      </w:r>
      <w:r>
        <w:t>i</w:t>
      </w:r>
      <w:r w:rsidRPr="009A6F4C">
        <w:t xml:space="preserve"> arī ar ieguvumiem, kas nav monetāri izmērāmi, piemēram, </w:t>
      </w:r>
      <w:r>
        <w:t>sabiedrības drošības uzlabošanās</w:t>
      </w:r>
      <w:r w:rsidRPr="009A6F4C">
        <w:t>.</w:t>
      </w:r>
    </w:p>
    <w:p w14:paraId="4C81918A" w14:textId="77777777" w:rsidR="00345F71" w:rsidRPr="009A6F4C" w:rsidRDefault="00345F71" w:rsidP="00345F71">
      <w:r w:rsidRPr="009A6F4C">
        <w:t xml:space="preserve">Finansējuma saņēmēju sniegtā analīze par administratīvajiem šķēršļiem atklāj vairākas būtiskas problēmjomas projektu īstenošanas procesā. Primāri tiek akcentēti iepirkumu procedūru aspekti – gan dokumentācijas sagatavošana, gan iepirkumu procedūru īstenošana. Vienlaikus kā apgrūtinoši aspekti tiek identificēti projektu līgumu un iesniegumu formu grozījumu veikšanas procedūru birokrātiskie aspekti, īpaši attiecībā uz gadījumiem, kad nepieciešams sniegt oficiālus grozījumus, piemēram, par izmaiņām projekta personāla sastāvā. Tāpat kritiski vērtēts vienotas projektu uzraudzības sistēmas trūkums. </w:t>
      </w:r>
    </w:p>
    <w:p w14:paraId="21B93580" w14:textId="77777777" w:rsidR="00345F71" w:rsidRPr="009A6F4C" w:rsidRDefault="00345F71" w:rsidP="00345F71">
      <w:r w:rsidRPr="009A6F4C">
        <w:t xml:space="preserve">Pozitīvi vērtējamas identificētās uzlabojumu tendences 2021.-2027. gada plānošanas periodā, kas attiecas gan uz projektu grozījumu procedūru vienkāršošanu, gan atskaišu iesniegšanas regularitātes optimizāciju. </w:t>
      </w:r>
      <w:r w:rsidRPr="009A6F4C">
        <w:lastRenderedPageBreak/>
        <w:t xml:space="preserve">Tomēr finansējuma saņēmēji norāda uz joprojām pastāvošo nepieciešamību pēc integrētas elektroniskas projektu vadības sistēmas, kas būtiski atvieglotu administratīvo procesu koordināciju. </w:t>
      </w:r>
    </w:p>
    <w:p w14:paraId="59462539" w14:textId="77777777" w:rsidR="00345F71" w:rsidRPr="009A6F4C" w:rsidRDefault="00345F71" w:rsidP="00345F71">
      <w:r w:rsidRPr="009A6F4C">
        <w:t>Vienlaikus ir secināms, ka ieviestā kontroles un uzraudzības sistēma, kas ietvēra gan projektu atskaišu administratīvās pārbaudes, gan iepirkumu pirmspārbaudes, gan projektu pārbaudes īstenošanas vietā, ir sekmējusi savlaicīgu projektu ietvaros īstenoto pārkāpumu identificēšanu un novēršanu.</w:t>
      </w:r>
    </w:p>
    <w:p w14:paraId="730EDE9C" w14:textId="77777777" w:rsidR="00345F71" w:rsidRPr="00567FE9" w:rsidRDefault="00345F71" w:rsidP="00345F71">
      <w:pPr>
        <w:rPr>
          <w:b/>
          <w:bCs/>
        </w:rPr>
      </w:pPr>
      <w:r w:rsidRPr="00567FE9">
        <w:rPr>
          <w:b/>
          <w:bCs/>
        </w:rPr>
        <w:t>Atbilstība</w:t>
      </w:r>
    </w:p>
    <w:p w14:paraId="1C7EFDE3" w14:textId="77777777" w:rsidR="00345F71" w:rsidRPr="00BE77AE" w:rsidRDefault="00345F71" w:rsidP="00345F71">
      <w:pPr>
        <w:spacing w:after="160"/>
      </w:pPr>
      <w:r w:rsidRPr="00567FE9">
        <w:t>Izvērtējuma</w:t>
      </w:r>
      <w:r w:rsidRPr="00BE77AE">
        <w:t xml:space="preserve"> rezultāti apstiprina, ka fonda finansētie pasākumi ir bijuši cieši saskaņoti ar nozares aktuālajām prioritātēm un reālajām vajadzībām. Finansējuma saņēmēji un nozares pārstāvji augstu novērtē iespēju īstenot stratēģiski nozīmīgas aktivitātes, kurām citos finansējuma avotos resursi bija ierobežoti. Īpaši veiksmīgi tika realizētas infrastruktūras attīstības iniciatīvas, piemēram, OMEGA mācību centra un CBRNE poligona izveide, kā arī VP Kriminālistikas pārvaldes kapacitātes stiprināšana un informācijas sistēmu pilnveide.</w:t>
      </w:r>
    </w:p>
    <w:p w14:paraId="4EDEA0A4" w14:textId="77777777" w:rsidR="00345F71" w:rsidRPr="00BE77AE" w:rsidRDefault="00345F71" w:rsidP="00345F71">
      <w:pPr>
        <w:spacing w:after="160"/>
      </w:pPr>
      <w:r w:rsidRPr="00BE77AE">
        <w:t>Programmas elastība un spēja pielāgoties mainīgajām vajadzībām tika novērtēta kā drīzāk pozitīva</w:t>
      </w:r>
      <w:r w:rsidRPr="00567FE9">
        <w:t>.</w:t>
      </w:r>
      <w:r w:rsidRPr="00BE77AE">
        <w:t xml:space="preserve"> </w:t>
      </w:r>
      <w:r w:rsidRPr="00567FE9">
        <w:t>A</w:t>
      </w:r>
      <w:r w:rsidRPr="00BE77AE">
        <w:t>tbildīgā iestāde demonstrēja augstu atsaucību un elastību, pielāgojot projektu aktivitātes ārējiem apstākļiem, piemēram, Covid-19 pandēmijas un Ukrainas kara ietekmei, kā arī veicot efektīvu finanšu resursu pārplānošanu.</w:t>
      </w:r>
    </w:p>
    <w:p w14:paraId="4DC58FBD" w14:textId="77777777" w:rsidR="00345F71" w:rsidRPr="00BE77AE" w:rsidRDefault="00345F71" w:rsidP="00345F71">
      <w:pPr>
        <w:spacing w:after="160"/>
      </w:pPr>
      <w:r w:rsidRPr="00567FE9">
        <w:t>Arī</w:t>
      </w:r>
      <w:r w:rsidRPr="009A6F4C">
        <w:t xml:space="preserve"> Savienības darbību gada programm</w:t>
      </w:r>
      <w:r w:rsidRPr="00567FE9">
        <w:t xml:space="preserve">as bijušas atbilstošas aktuālajām vajadzībām, ko apliecina vairāki </w:t>
      </w:r>
      <w:r w:rsidRPr="00BE77AE">
        <w:t>Latvijas</w:t>
      </w:r>
      <w:r w:rsidRPr="00567FE9">
        <w:t xml:space="preserve"> iestāžu</w:t>
      </w:r>
      <w:r w:rsidRPr="00BE77AE">
        <w:t xml:space="preserve"> īstenotie projekti. </w:t>
      </w:r>
      <w:r w:rsidRPr="00567FE9">
        <w:t>Ieviestie</w:t>
      </w:r>
      <w:r w:rsidRPr="00BE77AE">
        <w:t xml:space="preserve"> starpvalstu sadarbības projekti informācijas apmaiņas, organizētās noziedzības apkarošanas un vides noziegumu jomās sekmēja iestāžu kapacitātes stiprināšanu un starptautiskās sadarbības efektivitātes uzlabošanu, tādējādi s</w:t>
      </w:r>
      <w:r w:rsidRPr="00567FE9">
        <w:t>niedzo</w:t>
      </w:r>
      <w:r w:rsidRPr="00BE77AE">
        <w:t>t</w:t>
      </w:r>
      <w:r w:rsidRPr="00567FE9">
        <w:t xml:space="preserve"> ieguldījumu arī P</w:t>
      </w:r>
      <w:r w:rsidRPr="00BE77AE">
        <w:t>rogrammas stratēģiskos mērķu</w:t>
      </w:r>
      <w:r w:rsidRPr="00567FE9">
        <w:t xml:space="preserve"> sasniegšanā. </w:t>
      </w:r>
    </w:p>
    <w:p w14:paraId="2F282F89" w14:textId="77777777" w:rsidR="00345F71" w:rsidRDefault="00345F71" w:rsidP="00345F71">
      <w:pPr>
        <w:rPr>
          <w:b/>
          <w:bCs/>
        </w:rPr>
      </w:pPr>
      <w:r w:rsidRPr="00F479A9">
        <w:rPr>
          <w:b/>
          <w:bCs/>
        </w:rPr>
        <w:t>Saskaņotība</w:t>
      </w:r>
    </w:p>
    <w:p w14:paraId="33B4677F" w14:textId="77777777" w:rsidR="00345F71" w:rsidRPr="009D5004" w:rsidRDefault="00345F71" w:rsidP="00345F71">
      <w:r>
        <w:t xml:space="preserve">Programma ir bijusi saskanīga ar citiem finanšu instrumentiem, kā arī saskanība ir tikusi uzraudzīta programmas līmenī. </w:t>
      </w:r>
      <w:r w:rsidRPr="009D5004">
        <w:t>Programmas īstenošanas laikā tika identificēta skaidra saskaņotība a EEZ finanšu instrumenta programmu "Starptautiskā policijas sadarbība un noziedzības apkarošana"</w:t>
      </w:r>
      <w:r>
        <w:t xml:space="preserve">, kā arī ar </w:t>
      </w:r>
      <w:r w:rsidRPr="001611DC">
        <w:t>Latvijas-Lietuvas pārrobežu sadarbības programmu 2014</w:t>
      </w:r>
      <w:r>
        <w:t>.</w:t>
      </w:r>
      <w:r w:rsidRPr="001611DC">
        <w:t>-2020. Gadam</w:t>
      </w:r>
      <w:r>
        <w:t xml:space="preserve">. </w:t>
      </w:r>
      <w:r w:rsidRPr="009D5004">
        <w:t xml:space="preserve">Finansējuma saņēmēji savukārt norādīja uz savstarpējās </w:t>
      </w:r>
      <w:r>
        <w:t>saskaņotību</w:t>
      </w:r>
      <w:r w:rsidRPr="009D5004">
        <w:t xml:space="preserve"> principu ievērošanu,</w:t>
      </w:r>
      <w:r>
        <w:t xml:space="preserve"> piemēram,</w:t>
      </w:r>
      <w:r w:rsidRPr="009D5004">
        <w:t xml:space="preserve"> īstenojot projektus arī "Apvārsnis 2020"</w:t>
      </w:r>
      <w:r>
        <w:t xml:space="preserve"> programmas ietvaros</w:t>
      </w:r>
      <w:r w:rsidRPr="009D5004">
        <w:t>.</w:t>
      </w:r>
    </w:p>
    <w:p w14:paraId="2AF34CFA" w14:textId="77777777" w:rsidR="00345F71" w:rsidRDefault="00345F71" w:rsidP="00345F71">
      <w:r w:rsidRPr="009D5004">
        <w:t xml:space="preserve">Koordinācijas nodrošināšanai programmas īstenošanas periodā tika izveidoti divi svarīgi mehānismi - Uzraudzības komiteja un Projektu uzraudzības padome, kas darbojas kā efektīvi instrumenti stratēģiskai pārraudzībai un operatīvai uzraudzībai. Iekšlietu sektorā tika ieviesta prasība finansējuma saņēmējiem sniegt informāciju par visām plānotajām projektu aktivitātēm visos finansējuma avotos, kas ļāva novērst potenciālu pārklāšanos un identificēt iespējamās sinerģijas. </w:t>
      </w:r>
    </w:p>
    <w:p w14:paraId="52DCE47E" w14:textId="77777777" w:rsidR="00345F71" w:rsidRPr="005C42CF" w:rsidRDefault="00345F71" w:rsidP="00345F71">
      <w:pPr>
        <w:rPr>
          <w:b/>
          <w:bCs/>
        </w:rPr>
      </w:pPr>
      <w:r w:rsidRPr="005C42CF">
        <w:rPr>
          <w:b/>
          <w:bCs/>
        </w:rPr>
        <w:t>Papildināmība</w:t>
      </w:r>
    </w:p>
    <w:p w14:paraId="7F368F29" w14:textId="77777777" w:rsidR="00345F71" w:rsidRPr="005C42CF" w:rsidRDefault="00345F71" w:rsidP="00345F71">
      <w:r w:rsidRPr="005C42CF">
        <w:t xml:space="preserve">IDF nacionālā programma ir cieši saskaņota ar Latvijas iekšlietu nozares stratēģiskās attīstības dokumentiem, piemēram, IeM darbības stratēģiju un </w:t>
      </w:r>
      <w:r>
        <w:t>VP un VUGD</w:t>
      </w:r>
      <w:r w:rsidRPr="005C42CF">
        <w:t xml:space="preserve"> attīstības plāniem. Tā veicina mērķu sasniegšanu migrācijas, patvēruma un integrācijas jomā, vienlaikus nodrošinot papildināmību ar nacionālajiem un ES līmeņa plānošanas dokumentiem, piemēram, </w:t>
      </w:r>
      <w:r>
        <w:t>Valsts aizsardzības koncepciju</w:t>
      </w:r>
      <w:r w:rsidRPr="005C42CF">
        <w:t>.</w:t>
      </w:r>
    </w:p>
    <w:p w14:paraId="6B1F0C7B" w14:textId="77777777" w:rsidR="00345F71" w:rsidRPr="005C42CF" w:rsidRDefault="00345F71" w:rsidP="00345F71">
      <w:r w:rsidRPr="005C42CF">
        <w:t xml:space="preserve">Programmas izstrādes laikā tika veikta rūpīga citu pasākumu izvērtēšana, lai nodrošinātu aktivitāšu atbilstību nacionālajos plānošanas dokumentos definētajām prioritātēm un novērstu pārklāšanās riskus. Šim nolūkam tika izveidoti koordinācijas mehānismi, piemēram, UK un Projektu uzraudzības padome, kas uzraudzīja projektu saskaņotību, dubultā finansējuma riskus un efektīvu resursu izmantošanu. Vienlaikus </w:t>
      </w:r>
      <w:r w:rsidRPr="005C42CF">
        <w:lastRenderedPageBreak/>
        <w:t xml:space="preserve">projektu pieteikumu dokumentācijā bija jānorāda informācija par citiem īstenotajiem projektiem, atbilstību nacionālā un ES līmeņa politikas plānošanas dokumentiem, kā arī jāapliecina, ka netiks saņemts papildu finansējums to pašu aktivitāšu īstenošanai. </w:t>
      </w:r>
    </w:p>
    <w:p w14:paraId="212EBCCD" w14:textId="77777777" w:rsidR="00345F71" w:rsidRPr="005C42CF" w:rsidRDefault="00345F71" w:rsidP="00345F71">
      <w:pPr>
        <w:rPr>
          <w:b/>
          <w:bCs/>
        </w:rPr>
      </w:pPr>
      <w:r w:rsidRPr="005C42CF">
        <w:rPr>
          <w:b/>
          <w:bCs/>
        </w:rPr>
        <w:t>ES pievienotā vērtība</w:t>
      </w:r>
    </w:p>
    <w:p w14:paraId="190DD087" w14:textId="77777777" w:rsidR="00345F71" w:rsidRPr="00567FE9" w:rsidRDefault="00345F71" w:rsidP="00345F71">
      <w:pPr>
        <w:spacing w:after="160"/>
        <w:rPr>
          <w:bCs/>
        </w:rPr>
      </w:pPr>
      <w:r w:rsidRPr="00567FE9">
        <w:rPr>
          <w:bCs/>
        </w:rPr>
        <w:t xml:space="preserve">ES fondu finansējums ir bijis būtisks faktors Latvijas iekšējās drošības sektora modernizācijā un attīstībā. Tas nodrošinājis </w:t>
      </w:r>
      <w:r>
        <w:rPr>
          <w:bCs/>
        </w:rPr>
        <w:t xml:space="preserve">VP </w:t>
      </w:r>
      <w:r w:rsidRPr="00567FE9">
        <w:rPr>
          <w:bCs/>
        </w:rPr>
        <w:t>Kriminālistikas pārvaldes kapacitātes stiprināšanu, IT sistēmu attīstību un modernas apmācību infrastruktūras izveidi, kas ievērojami uzlaboja iestāžu efektivitāti un spēju reaģēt uz vietējiem un Eiropas līmeņa drošības izaicinājumiem. Īpaši nozīmīgi ir ieguldījumi CBRNE risku pārvaldības jomā, nodrošinot specializēto aprīkojumu un mācību poligonu izveidi, kas veicina praktisko iemaņu attīstību un starpinstitūciju sadarbību.</w:t>
      </w:r>
    </w:p>
    <w:p w14:paraId="42058C88" w14:textId="77777777" w:rsidR="00345F71" w:rsidRPr="00567FE9" w:rsidRDefault="00345F71" w:rsidP="00345F71">
      <w:pPr>
        <w:spacing w:after="160"/>
        <w:rPr>
          <w:bCs/>
        </w:rPr>
      </w:pPr>
      <w:r w:rsidRPr="00567FE9">
        <w:rPr>
          <w:bCs/>
        </w:rPr>
        <w:t>Bez ES fondu atbalsta šādu apjomīgu projektu īstenošana nebūtu iespējama valsts budžeta ietvaros, un attīstības tempi būtu ievērojami lēnāki. Fonda finansējums ne tikai stiprināja nacionāl</w:t>
      </w:r>
      <w:r>
        <w:rPr>
          <w:bCs/>
        </w:rPr>
        <w:t>o</w:t>
      </w:r>
      <w:r w:rsidRPr="00567FE9">
        <w:rPr>
          <w:bCs/>
        </w:rPr>
        <w:t xml:space="preserve"> kapacitāt</w:t>
      </w:r>
      <w:r>
        <w:rPr>
          <w:bCs/>
        </w:rPr>
        <w:t>i</w:t>
      </w:r>
      <w:r w:rsidRPr="00567FE9">
        <w:rPr>
          <w:bCs/>
        </w:rPr>
        <w:t>, bet arī veicināja starptautisko sadarbību un pieredzes apmaiņu ar citām ES dalībvalstīm. Fonda atbalsta pārtraukšana nopietni ierobežotu turpmāko modernizācijas procesu un apdraudētu sasniegtos rezultātus, tādējādi negatīvi ietekmējot gan Latvijas, gan ES kopējo drošību.</w:t>
      </w:r>
    </w:p>
    <w:p w14:paraId="69ED0DCD" w14:textId="77777777" w:rsidR="00345F71" w:rsidRPr="005C42CF" w:rsidRDefault="00345F71" w:rsidP="00345F71">
      <w:pPr>
        <w:rPr>
          <w:b/>
          <w:bCs/>
        </w:rPr>
      </w:pPr>
      <w:r w:rsidRPr="005C42CF">
        <w:rPr>
          <w:b/>
          <w:bCs/>
        </w:rPr>
        <w:t xml:space="preserve">Ilgtspēja </w:t>
      </w:r>
    </w:p>
    <w:p w14:paraId="46376DDB" w14:textId="77777777" w:rsidR="00345F71" w:rsidRPr="005C42CF" w:rsidRDefault="00345F71" w:rsidP="00345F71">
      <w:r w:rsidRPr="005C42CF">
        <w:t xml:space="preserve">Projektu rezultāti kopumā tiek vērtēti kā noturīgi vai drīzāk noturīgi. Finansējuma saņēmēji, parakstot līgumus, apņemas nodrošināt sasniegto rezultātu ilgtspēju, kuras termiņš ir atkarīgs no ieguldījumu veida. </w:t>
      </w:r>
    </w:p>
    <w:p w14:paraId="577E321D" w14:textId="77777777" w:rsidR="00345F71" w:rsidRPr="005C42CF" w:rsidRDefault="00345F71" w:rsidP="00345F71">
      <w:r w:rsidRPr="005C42CF">
        <w:t xml:space="preserve">Galvenie riski, kas var apdraudēt rezultātu ilgtspēju, ir saistīti ar finanšu resursu trūkumu rezultātu uzturēšanai un uzsākto aktivitāšu turpināšanai, cilvēkresursu trūkums, kā arī ārējiem faktoriem, piemēram, ģeopolitiskām izmaiņām. Vienlaikus kā papildu risks tiek identificēta straujā tehnoloģiju attīstība, īpaši mākslīgā intelekta jomā, rada izaicinājumus IT risinājumu ilgtermiņa darbībai, kā arī tehnoloģisko iekārtu atbilstībai mainīgajiem standartiem. Tādējādi, lai uzturētu nepieciešamo funkcionalitāti, ir nepieciešams finansējums IT sistēmu turpmākai attīstībai un pilnveidei. </w:t>
      </w:r>
    </w:p>
    <w:p w14:paraId="1F556E49" w14:textId="77777777" w:rsidR="00345F71" w:rsidRPr="005C42CF" w:rsidRDefault="00345F71" w:rsidP="00345F71">
      <w:r w:rsidRPr="005C42CF">
        <w:rPr>
          <w:bCs/>
        </w:rPr>
        <w:t>Pozitīvi vērtējams, ka 2021.-2027. gada plānošanas perioda finansējums tiek izmantots, lai turpinātu arī attīstīt un paplašināt iepriekš sasniegtos rezultātus, tādējādi nodrošinot to ilgtspēju un pilnveidošanu.</w:t>
      </w:r>
    </w:p>
    <w:p w14:paraId="2B74A1A4" w14:textId="77777777" w:rsidR="00345F71" w:rsidRPr="00476F07" w:rsidRDefault="00345F71" w:rsidP="00345F71">
      <w:pPr>
        <w:spacing w:after="160"/>
        <w:rPr>
          <w:b/>
          <w:bCs/>
        </w:rPr>
      </w:pPr>
      <w:r w:rsidRPr="005C42CF">
        <w:rPr>
          <w:b/>
          <w:bCs/>
        </w:rPr>
        <w:t>Administratīvā sloga vienkāršošana un samazināšana</w:t>
      </w:r>
    </w:p>
    <w:p w14:paraId="3469D01E" w14:textId="2812154B" w:rsidR="00345F71" w:rsidRPr="005C42CF" w:rsidRDefault="00345F71" w:rsidP="00345F71">
      <w:r w:rsidRPr="005C42CF">
        <w:t xml:space="preserve">Plānošanas perioda ievaros ir bijuši vien atsevišķi pasākumi, kas vērsti uz administratīvā sloga mazināšanu, piemēram, pāreja uz elektronisko dokumentu apriti, kā arī elastīgāka pieeja grozījumu veikšanā. Vienlaikus daudzgadu programmu ieviešana </w:t>
      </w:r>
      <w:r w:rsidR="00454AEE">
        <w:t xml:space="preserve">ir </w:t>
      </w:r>
      <w:r w:rsidRPr="005C42CF">
        <w:t xml:space="preserve">ļāvusi īstenot stratēģiskāku projektu plānošanu, īstenot projektus ar garāku termiņu, kā arī elastīgāk pielāgoties mainīgajām vajadzībām. </w:t>
      </w:r>
    </w:p>
    <w:p w14:paraId="5A61E9EF" w14:textId="154560AC" w:rsidR="00345F71" w:rsidRPr="005C42CF" w:rsidRDefault="004C1807" w:rsidP="00345F71">
      <w:r>
        <w:t>N</w:t>
      </w:r>
      <w:r w:rsidR="00345F71" w:rsidRPr="005C42CF">
        <w:t xml:space="preserve">eskatoties uz to, ka administratīvā sloga vienkāršošana 2014.-2020. gada plānošanas perioda ietvaros ir bijusi ierobežota, finansējuma saņēmēji norāda uz nozīmīgiem uzlabojumiem 2021.-2027.gada plānošanas periodā. </w:t>
      </w:r>
      <w:r w:rsidR="00F243BD">
        <w:t>Šie uzlabojumi liecina par programmas administrēšanas sistēmas attīstību un pakāpenisku virzību uz efektīvāku pārvaldības modeli, kas varētu veicināt gan projektu īstenošanas efektivitāti, gan finansējuma apguves rādītājus nākotnē.</w:t>
      </w:r>
    </w:p>
    <w:p w14:paraId="56C54E59" w14:textId="44578F54" w:rsidR="00095865" w:rsidRPr="008F64A0" w:rsidRDefault="00095865" w:rsidP="00095865"/>
    <w:p w14:paraId="31AC9683" w14:textId="57A0C523" w:rsidR="004D642E" w:rsidRPr="008F64A0" w:rsidRDefault="00BF3346" w:rsidP="004D642E">
      <w:r w:rsidRPr="008F64A0">
        <w:rPr>
          <w:noProof/>
        </w:rPr>
        <w:lastRenderedPageBreak/>
        <mc:AlternateContent>
          <mc:Choice Requires="wps">
            <w:drawing>
              <wp:anchor distT="45720" distB="45720" distL="114300" distR="114300" simplePos="0" relativeHeight="251658243" behindDoc="0" locked="1" layoutInCell="1" hidden="0" allowOverlap="1" wp14:anchorId="4DB7C115" wp14:editId="4A92068A">
                <wp:simplePos x="0" y="0"/>
                <wp:positionH relativeFrom="margin">
                  <wp:posOffset>3956050</wp:posOffset>
                </wp:positionH>
                <wp:positionV relativeFrom="margin">
                  <wp:posOffset>6171565</wp:posOffset>
                </wp:positionV>
                <wp:extent cx="2465705" cy="2415540"/>
                <wp:effectExtent l="0" t="0" r="10795" b="3810"/>
                <wp:wrapSquare wrapText="bothSides" distT="45720" distB="45720" distL="114300" distR="114300"/>
                <wp:docPr id="267689913" name="Rectangle 2"/>
                <wp:cNvGraphicFramePr/>
                <a:graphic xmlns:a="http://schemas.openxmlformats.org/drawingml/2006/main">
                  <a:graphicData uri="http://schemas.microsoft.com/office/word/2010/wordprocessingShape">
                    <wps:wsp>
                      <wps:cNvSpPr/>
                      <wps:spPr>
                        <a:xfrm>
                          <a:off x="0" y="0"/>
                          <a:ext cx="2465705" cy="2415540"/>
                        </a:xfrm>
                        <a:prstGeom prst="rect">
                          <a:avLst/>
                        </a:prstGeom>
                        <a:noFill/>
                        <a:ln>
                          <a:noFill/>
                        </a:ln>
                      </wps:spPr>
                      <wps:txbx>
                        <w:txbxContent>
                          <w:p w14:paraId="1DD09403" w14:textId="77777777" w:rsidR="00B76001" w:rsidRPr="00CD7323" w:rsidRDefault="00B76001" w:rsidP="00BF3346">
                            <w:pPr>
                              <w:pStyle w:val="CoverText"/>
                            </w:pPr>
                            <w:r w:rsidRPr="00CD7323">
                              <w:t>Civitta pārstāvis:</w:t>
                            </w:r>
                          </w:p>
                          <w:p w14:paraId="65CB0BE8" w14:textId="77777777" w:rsidR="00B76001" w:rsidRPr="00CD7323" w:rsidRDefault="00B76001" w:rsidP="00BF3346">
                            <w:pPr>
                              <w:pStyle w:val="CoverText"/>
                            </w:pPr>
                          </w:p>
                          <w:p w14:paraId="3994B4CC" w14:textId="77777777" w:rsidR="00B76001" w:rsidRPr="00CD7323" w:rsidRDefault="00B76001" w:rsidP="00BF3346">
                            <w:pPr>
                              <w:pStyle w:val="CoverText"/>
                              <w:rPr>
                                <w:rStyle w:val="Izteiksmgs"/>
                              </w:rPr>
                            </w:pPr>
                            <w:r w:rsidRPr="00CD7323">
                              <w:rPr>
                                <w:rStyle w:val="Izteiksmgs"/>
                              </w:rPr>
                              <w:t>Santa Barone-Upeniece</w:t>
                            </w:r>
                          </w:p>
                          <w:p w14:paraId="18E8D712" w14:textId="77777777" w:rsidR="00B76001" w:rsidRPr="00CD7323" w:rsidRDefault="00B76001" w:rsidP="00BF3346">
                            <w:pPr>
                              <w:pStyle w:val="CoverText"/>
                            </w:pPr>
                            <w:r w:rsidRPr="00CD7323">
                              <w:t>Projektu vadītāja</w:t>
                            </w:r>
                          </w:p>
                          <w:p w14:paraId="378F82AA" w14:textId="77777777" w:rsidR="00B76001" w:rsidRPr="00CD7323" w:rsidRDefault="00B76001" w:rsidP="00BF3346">
                            <w:pPr>
                              <w:pStyle w:val="CoverText"/>
                            </w:pPr>
                            <w:r w:rsidRPr="00CD7323">
                              <w:t>santa.barone-upeniece@civitta.com</w:t>
                            </w:r>
                          </w:p>
                          <w:p w14:paraId="17948548" w14:textId="77777777" w:rsidR="00B76001" w:rsidRPr="00CD7323" w:rsidRDefault="00B76001" w:rsidP="00BF3346">
                            <w:pPr>
                              <w:pStyle w:val="CoverText"/>
                            </w:pPr>
                            <w:r w:rsidRPr="00CD7323">
                              <w:t>+371 26462383</w:t>
                            </w:r>
                          </w:p>
                          <w:p w14:paraId="37C9E69C" w14:textId="77777777" w:rsidR="00B76001" w:rsidRPr="00CD7323" w:rsidRDefault="00B76001" w:rsidP="00BF3346">
                            <w:pPr>
                              <w:pStyle w:val="CoverText"/>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DB7C115" id="Rectangle 2" o:spid="_x0000_s1027" style="position:absolute;left:0;text-align:left;margin-left:311.5pt;margin-top:485.95pt;width:194.15pt;height:190.2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" filled="f" stroked="f">
                <v:textbox inset="0,0,0,0">
                  <w:txbxContent>
                    <w:p w14:paraId="1DD09403" w14:textId="77777777" w:rsidR="00B76001" w:rsidRPr="00CD7323" w:rsidRDefault="00B76001" w:rsidP="00BF3346">
                      <w:pPr>
                        <w:pStyle w:val="CoverText"/>
                      </w:pPr>
                      <w:r w:rsidRPr="00CD7323">
                        <w:t>Civitta pārstāvis:</w:t>
                      </w:r>
                    </w:p>
                    <w:p w14:paraId="65CB0BE8" w14:textId="77777777" w:rsidR="00B76001" w:rsidRPr="00CD7323" w:rsidRDefault="00B76001" w:rsidP="00BF3346">
                      <w:pPr>
                        <w:pStyle w:val="CoverText"/>
                      </w:pPr>
                    </w:p>
                    <w:p w14:paraId="3994B4CC" w14:textId="77777777" w:rsidR="00B76001" w:rsidRPr="00CD7323" w:rsidRDefault="00B76001" w:rsidP="00BF3346">
                      <w:pPr>
                        <w:pStyle w:val="CoverText"/>
                        <w:rPr>
                          <w:rStyle w:val="Strong"/>
                        </w:rPr>
                      </w:pPr>
                      <w:r w:rsidRPr="00CD7323">
                        <w:rPr>
                          <w:rStyle w:val="Strong"/>
                        </w:rPr>
                        <w:t>Santa Barone-Upeniece</w:t>
                      </w:r>
                    </w:p>
                    <w:p w14:paraId="18E8D712" w14:textId="77777777" w:rsidR="00B76001" w:rsidRPr="00CD7323" w:rsidRDefault="00B76001" w:rsidP="00BF3346">
                      <w:pPr>
                        <w:pStyle w:val="CoverText"/>
                      </w:pPr>
                      <w:r w:rsidRPr="00CD7323">
                        <w:t>Projektu vadītāja</w:t>
                      </w:r>
                    </w:p>
                    <w:p w14:paraId="378F82AA" w14:textId="77777777" w:rsidR="00B76001" w:rsidRPr="00CD7323" w:rsidRDefault="00B76001" w:rsidP="00BF3346">
                      <w:pPr>
                        <w:pStyle w:val="CoverText"/>
                      </w:pPr>
                      <w:r w:rsidRPr="00CD7323">
                        <w:t>santa.barone-upeniece@civitta.com</w:t>
                      </w:r>
                    </w:p>
                    <w:p w14:paraId="17948548" w14:textId="77777777" w:rsidR="00B76001" w:rsidRPr="00CD7323" w:rsidRDefault="00B76001" w:rsidP="00BF3346">
                      <w:pPr>
                        <w:pStyle w:val="CoverText"/>
                      </w:pPr>
                      <w:r w:rsidRPr="00CD7323">
                        <w:t>+371 26462383</w:t>
                      </w:r>
                    </w:p>
                    <w:p w14:paraId="37C9E69C" w14:textId="77777777" w:rsidR="00B76001" w:rsidRPr="00CD7323" w:rsidRDefault="00B76001" w:rsidP="00BF3346">
                      <w:pPr>
                        <w:pStyle w:val="CoverText"/>
                      </w:pPr>
                    </w:p>
                  </w:txbxContent>
                </v:textbox>
                <w10:wrap type="square" anchorx="margin" anchory="margin"/>
                <w10:anchorlock/>
              </v:rect>
            </w:pict>
          </mc:Fallback>
        </mc:AlternateContent>
      </w:r>
      <w:r w:rsidR="00B52E7D" w:rsidRPr="008F64A0">
        <w:rPr>
          <w:noProof/>
        </w:rPr>
        <w:drawing>
          <wp:anchor distT="0" distB="0" distL="114300" distR="114300" simplePos="0" relativeHeight="251658242" behindDoc="0" locked="1" layoutInCell="1" hidden="0" allowOverlap="0" wp14:anchorId="4E5BCCF4" wp14:editId="4696AF51">
            <wp:simplePos x="0" y="0"/>
            <wp:positionH relativeFrom="page">
              <wp:posOffset>12065</wp:posOffset>
            </wp:positionH>
            <wp:positionV relativeFrom="page">
              <wp:posOffset>36830</wp:posOffset>
            </wp:positionV>
            <wp:extent cx="7541895" cy="10899775"/>
            <wp:effectExtent l="0" t="0" r="1905" b="0"/>
            <wp:wrapTopAndBottom/>
            <wp:docPr id="891044594" name="image4.jpg" descr="A white background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281" name="image4.jpg" descr="A white background with black lines&#10;&#10;Description automatically generated"/>
                    <pic:cNvPicPr preferRelativeResize="0"/>
                  </pic:nvPicPr>
                  <pic:blipFill>
                    <a:blip r:embed="rId45">
                      <a:extLst>
                        <a:ext uri="{28A0092B-C50C-407E-A947-70E740481C1C}">
                          <a14:useLocalDpi xmlns:a14="http://schemas.microsoft.com/office/drawing/2010/main" val="0"/>
                        </a:ext>
                      </a:extLst>
                    </a:blip>
                    <a:stretch>
                      <a:fillRect/>
                    </a:stretch>
                  </pic:blipFill>
                  <pic:spPr>
                    <a:xfrm>
                      <a:off x="0" y="0"/>
                      <a:ext cx="7541895" cy="10899775"/>
                    </a:xfrm>
                    <a:prstGeom prst="rect">
                      <a:avLst/>
                    </a:prstGeom>
                    <a:ln/>
                  </pic:spPr>
                </pic:pic>
              </a:graphicData>
            </a:graphic>
            <wp14:sizeRelH relativeFrom="margin">
              <wp14:pctWidth>0</wp14:pctWidth>
            </wp14:sizeRelH>
            <wp14:sizeRelV relativeFrom="margin">
              <wp14:pctHeight>0</wp14:pctHeight>
            </wp14:sizeRelV>
          </wp:anchor>
        </w:drawing>
      </w:r>
    </w:p>
    <w:sectPr w:rsidR="004D642E" w:rsidRPr="008F64A0" w:rsidSect="00DD5928">
      <w:pgSz w:w="11906" w:h="16838"/>
      <w:pgMar w:top="1474" w:right="822" w:bottom="1474" w:left="82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86909" w14:textId="77777777" w:rsidR="00DD002F" w:rsidRPr="009E0301" w:rsidRDefault="00DD002F" w:rsidP="00BA2BE6">
      <w:pPr>
        <w:spacing w:before="0" w:after="0" w:line="240" w:lineRule="auto"/>
      </w:pPr>
      <w:r w:rsidRPr="009E0301">
        <w:separator/>
      </w:r>
    </w:p>
  </w:endnote>
  <w:endnote w:type="continuationSeparator" w:id="0">
    <w:p w14:paraId="44717407" w14:textId="77777777" w:rsidR="00DD002F" w:rsidRPr="009E0301" w:rsidRDefault="00DD002F" w:rsidP="00BA2BE6">
      <w:pPr>
        <w:spacing w:before="0" w:after="0" w:line="240" w:lineRule="auto"/>
      </w:pPr>
      <w:r w:rsidRPr="009E0301">
        <w:continuationSeparator/>
      </w:r>
    </w:p>
  </w:endnote>
  <w:endnote w:type="continuationNotice" w:id="1">
    <w:p w14:paraId="0B743E3C" w14:textId="77777777" w:rsidR="00DD002F" w:rsidRPr="009E0301" w:rsidRDefault="00DD002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embedRegular r:id="rId1" w:fontKey="{55118582-AAEB-4683-AA5E-A90B43BAA67E}"/>
  </w:font>
  <w:font w:name="Times New Roman">
    <w:panose1 w:val="02020603050405020304"/>
    <w:charset w:val="00"/>
    <w:family w:val="roman"/>
    <w:pitch w:val="variable"/>
    <w:sig w:usb0="E0002EFF" w:usb1="C000785B" w:usb2="00000009" w:usb3="00000000" w:csb0="000001FF" w:csb1="00000000"/>
  </w:font>
  <w:font w:name="Montserrat Black">
    <w:charset w:val="00"/>
    <w:family w:val="auto"/>
    <w:pitch w:val="variable"/>
    <w:sig w:usb0="2000020F" w:usb1="00000003" w:usb2="00000000" w:usb3="00000000" w:csb0="00000197" w:csb1="00000000"/>
    <w:embedRegular r:id="rId2" w:fontKey="{21515525-91E2-48A5-BF6C-F22F866C33DE}"/>
  </w:font>
  <w:font w:name="Wingdings 2">
    <w:charset w:val="02"/>
    <w:family w:val="decorative"/>
    <w:pitch w:val="variable"/>
    <w:sig w:usb0="00000000" w:usb1="10000000" w:usb2="00000000" w:usb3="00000000" w:csb0="80000000" w:csb1="00000000"/>
    <w:embedRegular r:id="rId3" w:fontKey="{CAE3FC3F-518F-4788-A21F-DAC438D1B658}"/>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4" w:fontKey="{5E5C4BD2-4401-407E-967C-5B7C09311353}"/>
    <w:embedBold r:id="rId5" w:fontKey="{D2849487-8D2C-407B-BEF2-AFD8DE6A4245}"/>
  </w:font>
  <w:font w:name="Consolas">
    <w:panose1 w:val="020B0609020204030204"/>
    <w:charset w:val="00"/>
    <w:family w:val="modern"/>
    <w:pitch w:val="fixed"/>
    <w:sig w:usb0="E00006FF" w:usb1="0000FCFF" w:usb2="00000001" w:usb3="00000000" w:csb0="0000019F" w:csb1="00000000"/>
    <w:embedRegular r:id="rId6" w:fontKey="{BF75AC32-41A2-4809-8842-3FF67A13B095}"/>
  </w:font>
  <w:font w:name="Segoe UI">
    <w:panose1 w:val="020B0502040204020203"/>
    <w:charset w:val="00"/>
    <w:family w:val="swiss"/>
    <w:pitch w:val="variable"/>
    <w:sig w:usb0="E4002EFF" w:usb1="C000E47F" w:usb2="00000009" w:usb3="00000000" w:csb0="000001FF" w:csb1="00000000"/>
    <w:embedRegular r:id="rId7" w:fontKey="{5FA3F529-3593-4564-942A-7D75EF590E86}"/>
  </w:font>
  <w:font w:name="EUAlbertina">
    <w:altName w:val="Times New Roman"/>
    <w:charset w:val="00"/>
    <w:family w:val="roman"/>
    <w:pitch w:val="default"/>
    <w:sig w:usb0="00000007" w:usb1="00000000" w:usb2="00000000" w:usb3="00000000" w:csb0="00000003" w:csb1="00000000"/>
  </w:font>
  <w:font w:name="RobustaTLPro-Medium">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332727"/>
      <w:docPartObj>
        <w:docPartGallery w:val="Page Numbers (Bottom of Page)"/>
        <w:docPartUnique/>
      </w:docPartObj>
    </w:sdtPr>
    <w:sdtEndPr>
      <w:rPr>
        <w:noProof/>
      </w:rPr>
    </w:sdtEndPr>
    <w:sdtContent>
      <w:p w14:paraId="59DD0A44" w14:textId="291989AD" w:rsidR="00B76001" w:rsidRDefault="00B76001">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E77CF42" w14:textId="77777777" w:rsidR="00B76001" w:rsidRDefault="00B7600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435946"/>
      <w:docPartObj>
        <w:docPartGallery w:val="Page Numbers (Bottom of Page)"/>
        <w:docPartUnique/>
      </w:docPartObj>
    </w:sdtPr>
    <w:sdtEndPr/>
    <w:sdtContent>
      <w:p w14:paraId="3A5E73C1" w14:textId="77777777" w:rsidR="00B76001" w:rsidRPr="009E0301" w:rsidRDefault="00B76001">
        <w:pPr>
          <w:pStyle w:val="Kjene"/>
          <w:jc w:val="right"/>
        </w:pPr>
        <w:r w:rsidRPr="009E0301">
          <w:fldChar w:fldCharType="begin"/>
        </w:r>
        <w:r w:rsidRPr="009E0301">
          <w:instrText xml:space="preserve"> PAGE   \* MERGEFORMAT </w:instrText>
        </w:r>
        <w:r w:rsidRPr="009E0301">
          <w:fldChar w:fldCharType="separate"/>
        </w:r>
        <w:r w:rsidRPr="009E0301">
          <w:t>2</w:t>
        </w:r>
        <w:r w:rsidRPr="009E0301">
          <w:fldChar w:fldCharType="end"/>
        </w:r>
      </w:p>
    </w:sdtContent>
  </w:sdt>
  <w:p w14:paraId="0994C39E" w14:textId="77777777" w:rsidR="00B76001" w:rsidRPr="009E0301" w:rsidRDefault="00B7600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AEE1" w14:textId="77777777" w:rsidR="00B76001" w:rsidRPr="009E0301" w:rsidRDefault="00B76001">
    <w:pPr>
      <w:pStyle w:val="Kjene"/>
    </w:pPr>
    <w:r w:rsidRPr="009E0301">
      <w:rPr>
        <w:noProof/>
      </w:rPr>
      <mc:AlternateContent>
        <mc:Choice Requires="wps">
          <w:drawing>
            <wp:anchor distT="0" distB="0" distL="114300" distR="114300" simplePos="0" relativeHeight="251658241" behindDoc="0" locked="0" layoutInCell="1" allowOverlap="1" wp14:anchorId="01F7CCF4" wp14:editId="1A7E6E0E">
              <wp:simplePos x="0" y="0"/>
              <wp:positionH relativeFrom="rightMargin">
                <wp:posOffset>-323850</wp:posOffset>
              </wp:positionH>
              <wp:positionV relativeFrom="paragraph">
                <wp:posOffset>189906</wp:posOffset>
              </wp:positionV>
              <wp:extent cx="324000" cy="198000"/>
              <wp:effectExtent l="0" t="0" r="0" b="12065"/>
              <wp:wrapNone/>
              <wp:docPr id="1994033937" name="Text Box 9"/>
              <wp:cNvGraphicFramePr/>
              <a:graphic xmlns:a="http://schemas.openxmlformats.org/drawingml/2006/main">
                <a:graphicData uri="http://schemas.microsoft.com/office/word/2010/wordprocessingShape">
                  <wps:wsp>
                    <wps:cNvSpPr txBox="1"/>
                    <wps:spPr>
                      <a:xfrm>
                        <a:off x="0" y="0"/>
                        <a:ext cx="324000" cy="198000"/>
                      </a:xfrm>
                      <a:prstGeom prst="rect">
                        <a:avLst/>
                      </a:prstGeom>
                      <a:noFill/>
                      <a:ln w="6350">
                        <a:noFill/>
                      </a:ln>
                    </wps:spPr>
                    <wps:txbx>
                      <w:txbxContent>
                        <w:p w14:paraId="4C3EE094" w14:textId="77777777" w:rsidR="00B76001" w:rsidRPr="009E0301" w:rsidRDefault="00B76001" w:rsidP="00DC6A03">
                          <w:pPr>
                            <w:pStyle w:val="Galvene"/>
                            <w:jc w:val="left"/>
                          </w:pPr>
                          <w:r w:rsidRPr="009E0301">
                            <w:fldChar w:fldCharType="begin"/>
                          </w:r>
                          <w:r w:rsidRPr="009E0301">
                            <w:instrText xml:space="preserve"> PAGE   \* MERGEFORMAT </w:instrText>
                          </w:r>
                          <w:r w:rsidRPr="009E0301">
                            <w:fldChar w:fldCharType="separate"/>
                          </w:r>
                          <w:r w:rsidRPr="009E0301">
                            <w:t>1</w:t>
                          </w:r>
                          <w:r w:rsidRPr="009E0301">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7CCF4" id="_x0000_t202" coordsize="21600,21600" o:spt="202" path="m,l,21600r21600,l21600,xe">
              <v:stroke joinstyle="miter"/>
              <v:path gradientshapeok="t" o:connecttype="rect"/>
            </v:shapetype>
            <v:shape id="Text Box 9" o:spid="_x0000_s1028" type="#_x0000_t202" style="position:absolute;left:0;text-align:left;margin-left:-25.5pt;margin-top:14.95pt;width:25.5pt;height:15.6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" filled="f" stroked="f" strokeweight=".5pt">
              <v:textbox inset="0,0,0,0">
                <w:txbxContent>
                  <w:p w14:paraId="4C3EE094" w14:textId="77777777" w:rsidR="00B76001" w:rsidRPr="009E0301" w:rsidRDefault="00B76001" w:rsidP="00DC6A03">
                    <w:pPr>
                      <w:pStyle w:val="Header"/>
                      <w:jc w:val="left"/>
                    </w:pPr>
                    <w:r w:rsidRPr="009E0301">
                      <w:fldChar w:fldCharType="begin"/>
                    </w:r>
                    <w:r w:rsidRPr="009E0301">
                      <w:instrText xml:space="preserve"> PAGE   \* MERGEFORMAT </w:instrText>
                    </w:r>
                    <w:r w:rsidRPr="009E0301">
                      <w:fldChar w:fldCharType="separate"/>
                    </w:r>
                    <w:r w:rsidRPr="009E0301">
                      <w:t>1</w:t>
                    </w:r>
                    <w:r w:rsidRPr="009E0301">
                      <w:fldChar w:fldCharType="end"/>
                    </w:r>
                  </w:p>
                </w:txbxContent>
              </v:textbox>
              <w10:wrap anchorx="margin"/>
            </v:shape>
          </w:pict>
        </mc:Fallback>
      </mc:AlternateContent>
    </w:r>
    <w:r w:rsidRPr="009E0301">
      <w:rPr>
        <w:noProof/>
      </w:rPr>
      <mc:AlternateContent>
        <mc:Choice Requires="wps">
          <w:drawing>
            <wp:anchor distT="0" distB="0" distL="114300" distR="114300" simplePos="0" relativeHeight="251658242" behindDoc="0" locked="0" layoutInCell="1" allowOverlap="1" wp14:anchorId="7F50D884" wp14:editId="5B8F3118">
              <wp:simplePos x="0" y="0"/>
              <wp:positionH relativeFrom="rightMargin">
                <wp:posOffset>-377825</wp:posOffset>
              </wp:positionH>
              <wp:positionV relativeFrom="paragraph">
                <wp:posOffset>201197</wp:posOffset>
              </wp:positionV>
              <wp:extent cx="0" cy="162000"/>
              <wp:effectExtent l="0" t="0" r="38100" b="28575"/>
              <wp:wrapNone/>
              <wp:docPr id="557382857" name="Straight Connector 10"/>
              <wp:cNvGraphicFramePr/>
              <a:graphic xmlns:a="http://schemas.openxmlformats.org/drawingml/2006/main">
                <a:graphicData uri="http://schemas.microsoft.com/office/word/2010/wordprocessingShape">
                  <wps:wsp>
                    <wps:cNvCnPr/>
                    <wps:spPr>
                      <a:xfrm>
                        <a:off x="0" y="0"/>
                        <a:ext cx="0" cy="162000"/>
                      </a:xfrm>
                      <a:prstGeom prst="line">
                        <a:avLst/>
                      </a:prstGeom>
                      <a:ln w="1270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E07B99E" id="Straight Connector 10" o:spid="_x0000_s1026" style="position:absolute;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29.75pt,15.85pt" to="-29.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" strokecolor="#e6e6e6 [3206]" strokeweight="1pt">
              <v:stroke joinstyle="miter"/>
              <w10:wrap anchorx="margin"/>
            </v:line>
          </w:pict>
        </mc:Fallback>
      </mc:AlternateContent>
    </w:r>
    <w:r w:rsidRPr="009E0301">
      <w:rPr>
        <w:noProof/>
      </w:rPr>
      <mc:AlternateContent>
        <mc:Choice Requires="wps">
          <w:drawing>
            <wp:anchor distT="0" distB="0" distL="114300" distR="114300" simplePos="0" relativeHeight="251658243" behindDoc="0" locked="0" layoutInCell="1" allowOverlap="1" wp14:anchorId="1F5B4A5A" wp14:editId="0C401000">
              <wp:simplePos x="0" y="0"/>
              <wp:positionH relativeFrom="rightMargin">
                <wp:posOffset>-4860925</wp:posOffset>
              </wp:positionH>
              <wp:positionV relativeFrom="paragraph">
                <wp:posOffset>6985</wp:posOffset>
              </wp:positionV>
              <wp:extent cx="4381200" cy="378000"/>
              <wp:effectExtent l="0" t="0" r="635" b="3175"/>
              <wp:wrapNone/>
              <wp:docPr id="768170244" name="Text Box 9"/>
              <wp:cNvGraphicFramePr/>
              <a:graphic xmlns:a="http://schemas.openxmlformats.org/drawingml/2006/main">
                <a:graphicData uri="http://schemas.microsoft.com/office/word/2010/wordprocessingShape">
                  <wps:wsp>
                    <wps:cNvSpPr txBox="1"/>
                    <wps:spPr>
                      <a:xfrm>
                        <a:off x="0" y="0"/>
                        <a:ext cx="4381200" cy="378000"/>
                      </a:xfrm>
                      <a:prstGeom prst="rect">
                        <a:avLst/>
                      </a:prstGeom>
                      <a:noFill/>
                      <a:ln w="6350">
                        <a:noFill/>
                      </a:ln>
                    </wps:spPr>
                    <wps:txbx>
                      <w:txbxContent>
                        <w:sdt>
                          <w:sdtPr>
                            <w:alias w:val="Title"/>
                            <w:tag w:val=""/>
                            <w:id w:val="-1443305023"/>
                            <w:dataBinding w:prefixMappings="xmlns:ns0='http://purl.org/dc/elements/1.1/' xmlns:ns1='http://schemas.openxmlformats.org/package/2006/metadata/core-properties' " w:xpath="/ns1:coreProperties[1]/ns0:title[1]" w:storeItemID="{6C3C8BC8-F283-45AE-878A-BAB7291924A1}"/>
                            <w:text/>
                          </w:sdtPr>
                          <w:sdtEndPr/>
                          <w:sdtContent>
                            <w:p w14:paraId="14578375" w14:textId="77777777" w:rsidR="00B76001" w:rsidRPr="009E0301" w:rsidRDefault="00B76001" w:rsidP="00892D67">
                              <w:pPr>
                                <w:pStyle w:val="Galvene"/>
                              </w:pPr>
                              <w:r w:rsidRPr="009E0301">
                                <w:t>Longer Document title which is expanded to three lines!</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B4A5A" id="_x0000_s1029" type="#_x0000_t202" style="position:absolute;left:0;text-align:left;margin-left:-382.75pt;margin-top:.55pt;width:345pt;height:29.75pt;z-index:251658243;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" filled="f" stroked="f" strokeweight=".5pt">
              <v:textbox inset="0,0,0,0">
                <w:txbxContent>
                  <w:sdt>
                    <w:sdtPr>
                      <w:alias w:val="Title"/>
                      <w:tag w:val=""/>
                      <w:id w:val="-1443305023"/>
                      <w:dataBinding w:prefixMappings="xmlns:ns0='http://purl.org/dc/elements/1.1/' xmlns:ns1='http://schemas.openxmlformats.org/package/2006/metadata/core-properties' " w:xpath="/ns1:coreProperties[1]/ns0:title[1]" w:storeItemID="{6C3C8BC8-F283-45AE-878A-BAB7291924A1}"/>
                      <w:text/>
                    </w:sdtPr>
                    <w:sdtEndPr/>
                    <w:sdtContent>
                      <w:p w14:paraId="14578375" w14:textId="77777777" w:rsidR="00B76001" w:rsidRPr="009E0301" w:rsidRDefault="00B76001" w:rsidP="00892D67">
                        <w:pPr>
                          <w:pStyle w:val="Header"/>
                        </w:pPr>
                        <w:r w:rsidRPr="009E0301">
                          <w:t>Longer Document title which is expanded to three lines!</w:t>
                        </w:r>
                      </w:p>
                    </w:sdtContent>
                  </w:sdt>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675D4" w14:textId="77777777" w:rsidR="00DD002F" w:rsidRPr="009E0301" w:rsidRDefault="00DD002F" w:rsidP="00BA2BE6">
      <w:pPr>
        <w:spacing w:before="0" w:after="0" w:line="240" w:lineRule="auto"/>
      </w:pPr>
      <w:r w:rsidRPr="009E0301">
        <w:separator/>
      </w:r>
    </w:p>
  </w:footnote>
  <w:footnote w:type="continuationSeparator" w:id="0">
    <w:p w14:paraId="1B6F3D25" w14:textId="77777777" w:rsidR="00DD002F" w:rsidRPr="009E0301" w:rsidRDefault="00DD002F" w:rsidP="00BA2BE6">
      <w:pPr>
        <w:spacing w:before="0" w:after="0" w:line="240" w:lineRule="auto"/>
      </w:pPr>
      <w:r w:rsidRPr="009E0301">
        <w:continuationSeparator/>
      </w:r>
    </w:p>
  </w:footnote>
  <w:footnote w:type="continuationNotice" w:id="1">
    <w:p w14:paraId="56D12C99" w14:textId="77777777" w:rsidR="00DD002F" w:rsidRPr="009E0301" w:rsidRDefault="00DD002F">
      <w:pPr>
        <w:spacing w:before="0" w:after="0" w:line="240" w:lineRule="auto"/>
      </w:pPr>
    </w:p>
  </w:footnote>
  <w:footnote w:id="2">
    <w:p w14:paraId="68B23DD1" w14:textId="1CCC4598" w:rsidR="00B56522" w:rsidRPr="00D711B1" w:rsidRDefault="00B56522" w:rsidP="00AE57B6">
      <w:pPr>
        <w:pStyle w:val="Vresteksts"/>
        <w:spacing w:before="0"/>
      </w:pPr>
      <w:r w:rsidRPr="00D711B1">
        <w:rPr>
          <w:rStyle w:val="Vresatsauce"/>
        </w:rPr>
        <w:footnoteRef/>
      </w:r>
      <w:r w:rsidRPr="00D711B1">
        <w:t xml:space="preserve"> Iekšējās drošības fonds ir sadalīts divos virzienos – 1) Iekšējās drošības fonda finansiālā atbalsta instruments ārējām robežām un vīzām, 2) Iekšējās drošības fonda finansiālā atbalsta instruments policijas sadarbībai, noziedzības novēršanai un apkarošanai un krīžu pārvarēšanai. — Autora piezīme</w:t>
      </w:r>
    </w:p>
  </w:footnote>
  <w:footnote w:id="3">
    <w:p w14:paraId="2BE74B7B" w14:textId="0E7E4D47" w:rsidR="00383498" w:rsidRPr="00D711B1" w:rsidRDefault="00383498" w:rsidP="00AE57B6">
      <w:pPr>
        <w:pStyle w:val="Vresteksts"/>
        <w:spacing w:before="0"/>
      </w:pPr>
      <w:r w:rsidRPr="00D711B1">
        <w:rPr>
          <w:rStyle w:val="Vresatsauce"/>
        </w:rPr>
        <w:footnoteRef/>
      </w:r>
      <w:r w:rsidRPr="00D711B1">
        <w:t xml:space="preserve"> </w:t>
      </w:r>
      <w:r w:rsidR="00402747" w:rsidRPr="00D711B1">
        <w:t xml:space="preserve">Atbilstoši </w:t>
      </w:r>
      <w:r w:rsidRPr="00D711B1">
        <w:t>kritēriju jautājumiem, kas definēti Komisijas Deleģētajā regulā (ES) 2017/207 (2016. gada 3. oktobris) par vienoto uzraudzības un izvērtēšanas sistēmu, kura paredzēta Eiropas Parlamenta un Padomes Regulā (ES) Nr. 514/2014, ar ko paredz vispārīgus noteikumus Patvēruma, migrācijas un integrācijas fondam un finansiālā atbalsta instrumentam policijas sadarbībai, noziedzības novēršanai un apkarošanai un krīžu pārvarēšanai</w:t>
      </w:r>
      <w:r w:rsidR="008F4384" w:rsidRPr="00D711B1">
        <w:t xml:space="preserve">. </w:t>
      </w:r>
      <w:hyperlink r:id="rId1" w:history="1">
        <w:r w:rsidR="008F4384" w:rsidRPr="00D711B1">
          <w:rPr>
            <w:rStyle w:val="Hipersaite"/>
          </w:rPr>
          <w:t>&lt;Saite&gt;</w:t>
        </w:r>
      </w:hyperlink>
    </w:p>
  </w:footnote>
  <w:footnote w:id="4">
    <w:p w14:paraId="54C15F7B" w14:textId="77777777" w:rsidR="00E254FF" w:rsidRPr="00D711B1" w:rsidRDefault="00E254FF" w:rsidP="00AE57B6">
      <w:pPr>
        <w:pBdr>
          <w:top w:val="nil"/>
          <w:left w:val="single" w:sz="6" w:space="5" w:color="3CEB9D"/>
          <w:bottom w:val="nil"/>
          <w:right w:val="nil"/>
          <w:between w:val="nil"/>
        </w:pBdr>
        <w:spacing w:before="0" w:after="0" w:line="240" w:lineRule="auto"/>
        <w:rPr>
          <w:color w:val="000000"/>
          <w:sz w:val="18"/>
          <w:szCs w:val="18"/>
        </w:rPr>
      </w:pPr>
      <w:r w:rsidRPr="00D711B1">
        <w:rPr>
          <w:rStyle w:val="Vresatsauce"/>
          <w:sz w:val="18"/>
          <w:szCs w:val="18"/>
        </w:rPr>
        <w:footnoteRef/>
      </w:r>
      <w:r w:rsidRPr="00D711B1">
        <w:rPr>
          <w:color w:val="000000"/>
          <w:sz w:val="18"/>
          <w:szCs w:val="18"/>
        </w:rPr>
        <w:t xml:space="preserve"> </w:t>
      </w:r>
      <w:r w:rsidRPr="00D711B1">
        <w:rPr>
          <w:color w:val="000000"/>
          <w:sz w:val="18"/>
          <w:szCs w:val="18"/>
        </w:rPr>
        <w:t>Creamer, E. G., &amp; Schoonenboom, J. (2018). Inter–Method Mixing as a Gateway to Methodological Innovation. American Behavioral Scientist, 62(7), 879–886. https://doi.org/10.1177/0002764218756917</w:t>
      </w:r>
    </w:p>
  </w:footnote>
  <w:footnote w:id="5">
    <w:p w14:paraId="5C89FE01" w14:textId="77777777" w:rsidR="00DA37C2" w:rsidRPr="00D711B1" w:rsidRDefault="00DA37C2" w:rsidP="00AE57B6">
      <w:pPr>
        <w:pStyle w:val="Vresteksts"/>
        <w:spacing w:before="0" w:line="240" w:lineRule="auto"/>
      </w:pPr>
      <w:r w:rsidRPr="00D711B1">
        <w:rPr>
          <w:rStyle w:val="Vresatsauce"/>
        </w:rPr>
        <w:footnoteRef/>
      </w:r>
      <w:r w:rsidRPr="00D711B1">
        <w:t xml:space="preserve"> </w:t>
      </w:r>
      <w:r w:rsidRPr="00D711B1">
        <w:t>Eiropas Komisija (2018). Evaluation of the Regulation (EU) No 1052/2013 of the European Parliament and of the</w:t>
      </w:r>
    </w:p>
    <w:p w14:paraId="733713E0" w14:textId="36EA222B" w:rsidR="00DA37C2" w:rsidRPr="00D711B1" w:rsidRDefault="00DA37C2" w:rsidP="00AE57B6">
      <w:pPr>
        <w:pStyle w:val="Vresteksts"/>
        <w:spacing w:before="0" w:line="240" w:lineRule="auto"/>
      </w:pPr>
      <w:r w:rsidRPr="00D711B1">
        <w:t>Council of 22 October 2013 establishing the European Border Surveillance System (Eurosur) &lt;</w:t>
      </w:r>
      <w:hyperlink r:id="rId2" w:history="1">
        <w:r w:rsidRPr="00D711B1">
          <w:rPr>
            <w:rStyle w:val="Hipersaite"/>
          </w:rPr>
          <w:t>Saite</w:t>
        </w:r>
      </w:hyperlink>
      <w:r w:rsidRPr="00D711B1">
        <w:t>&gt;</w:t>
      </w:r>
    </w:p>
  </w:footnote>
  <w:footnote w:id="6">
    <w:p w14:paraId="208F8EC1" w14:textId="6AA6B94F"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KOMISIJAS ĪSTENOŠANAS LĒMUMS (21.03.2015)   C(2016) 1820, ar ko apstiprina Latvijas valsts programmu atbalsta saņemšanai no Patvēruma, migrācijas un integrācijas fonda laikposmam no 2014. gada līdz 2020. Gadam. </w:t>
      </w:r>
      <w:hyperlink r:id="rId3" w:history="1">
        <w:r w:rsidRPr="00D711B1">
          <w:rPr>
            <w:rStyle w:val="Hipersaite"/>
          </w:rPr>
          <w:t>&lt;Saite&gt;</w:t>
        </w:r>
      </w:hyperlink>
    </w:p>
  </w:footnote>
  <w:footnote w:id="7">
    <w:p w14:paraId="5F9176C7" w14:textId="4CF06503"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No kopējā projektu skaita ir izslēgts VRS īstenotais projekts Nr. VRS/PMIF/2016/3 “Personu, kurām nepieciešama starptautiskā aizsardzība, pārvietošana Latvijā”, jo tas ir ticis pārtraukts – Autoru piezīme.</w:t>
      </w:r>
    </w:p>
  </w:footnote>
  <w:footnote w:id="8">
    <w:p w14:paraId="6F9CB66B" w14:textId="68BEE71F"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“Atbalsta pasākumi personu, kurām nepieciešama starptautiskā aizsardzība, uzņemšanai un izmitināšanai Latvijā (1.posms)” (Nr. PMLP/PMIF/2016/1), “Atbalsta pasākumi personu, kurām nepieciešama starptautiskā aizsardzība, uzņemšanai un izmitināšanai Latvijā (2.posms)” (Nr. PMLP/PMIF/2017/4) un “Atbalsta pasākumi personu, kurām nepieciešama starptautiskā aizsardzība, uzņemšanai un izmitināšanai Latvijā (3.posms)” (Nr. PMLP/PMIF/2019/7) – Autoru piezīme</w:t>
      </w:r>
    </w:p>
  </w:footnote>
  <w:footnote w:id="9">
    <w:p w14:paraId="0E1179C8" w14:textId="7777777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Gala ziņojuma par Patvēruma, migrācijas un integrācijas fonda 2014.-2020.gadam nacionālās programmas īstenošanu par laika periodu no  2023.gada 1.janvāra līdz 2024.gada 30.jūnijam pielikums “Vispārējs novērtējums par progresu Patvēruma, migrācijas un integrācijas fonda valsts programmas mērķu sasniegšanā no 01.01.2014. līdz 30.06.2024”.</w:t>
      </w:r>
    </w:p>
  </w:footnote>
  <w:footnote w:id="10">
    <w:p w14:paraId="4D4E5D03" w14:textId="389D2517" w:rsidR="00173A7E" w:rsidRPr="00D711B1" w:rsidRDefault="00173A7E" w:rsidP="00AE57B6">
      <w:pPr>
        <w:pStyle w:val="Vresteksts"/>
        <w:spacing w:before="0"/>
      </w:pPr>
      <w:r w:rsidRPr="00D711B1">
        <w:rPr>
          <w:rStyle w:val="Vresatsauce"/>
        </w:rPr>
        <w:footnoteRef/>
      </w:r>
      <w:r w:rsidRPr="00D711B1">
        <w:t xml:space="preserve"> </w:t>
      </w:r>
      <w:r w:rsidR="00CF71B1" w:rsidRPr="00D711B1">
        <w:t xml:space="preserve">Eiropas migrācijas tīkls. (2024). </w:t>
      </w:r>
      <w:r w:rsidR="00D21074" w:rsidRPr="00D711B1">
        <w:t xml:space="preserve">Eiropas migrācijas tīkla pētījumam par darbaspēka migrāciju darbaspēka trūkuma laikā. </w:t>
      </w:r>
      <w:hyperlink r:id="rId4" w:history="1">
        <w:r w:rsidR="00D21074" w:rsidRPr="00D711B1">
          <w:rPr>
            <w:rStyle w:val="Hipersaite"/>
          </w:rPr>
          <w:t>&lt;Saite&gt;</w:t>
        </w:r>
      </w:hyperlink>
    </w:p>
  </w:footnote>
  <w:footnote w:id="11">
    <w:p w14:paraId="1FF7ED20" w14:textId="77777777" w:rsidR="00B3316E" w:rsidRPr="00D711B1" w:rsidRDefault="00B3316E" w:rsidP="00AE57B6">
      <w:pPr>
        <w:pStyle w:val="Vresteksts"/>
        <w:spacing w:before="0" w:line="240" w:lineRule="auto"/>
      </w:pPr>
      <w:r w:rsidRPr="00D711B1">
        <w:rPr>
          <w:rStyle w:val="Vresatsauce"/>
        </w:rPr>
        <w:footnoteRef/>
      </w:r>
      <w:r w:rsidRPr="00D711B1">
        <w:t xml:space="preserve"> </w:t>
      </w:r>
      <w:r w:rsidRPr="00D711B1">
        <w:t xml:space="preserve">Latvijas Republikas Valsts Kontrole. (2025). Saliedētas sabiedrības politika – neskaidra un nekoordinēta. </w:t>
      </w:r>
      <w:hyperlink r:id="rId5" w:history="1">
        <w:r w:rsidRPr="00D711B1">
          <w:rPr>
            <w:rStyle w:val="Hipersaite"/>
          </w:rPr>
          <w:t>&lt;Saite&gt;</w:t>
        </w:r>
      </w:hyperlink>
    </w:p>
  </w:footnote>
  <w:footnote w:id="12">
    <w:p w14:paraId="4DBF6833" w14:textId="3C8AFBD9" w:rsidR="00AE5C0E" w:rsidRPr="00D711B1" w:rsidRDefault="00AE5C0E" w:rsidP="00343DF4">
      <w:pPr>
        <w:pStyle w:val="Vresteksts"/>
        <w:spacing w:before="0"/>
      </w:pPr>
      <w:r w:rsidRPr="00D711B1">
        <w:rPr>
          <w:rStyle w:val="Vresatsauce"/>
        </w:rPr>
        <w:footnoteRef/>
      </w:r>
      <w:r w:rsidRPr="00D711B1">
        <w:t xml:space="preserve"> </w:t>
      </w:r>
      <w:r w:rsidR="00AE57B6" w:rsidRPr="00D711B1">
        <w:t xml:space="preserve">Valsts Kontrole. Ieteikumu ieviešanas plāns lietderības revīzijā “Vai politika sabiedrības saliedētības jomā tiek mērķtiecīgi plānota un īstenota?” (revīzijas grafiks Nr. 2.4.1-28/2023). </w:t>
      </w:r>
      <w:hyperlink r:id="rId6" w:history="1">
        <w:r w:rsidR="00AE57B6" w:rsidRPr="00D711B1">
          <w:rPr>
            <w:rStyle w:val="Hipersaite"/>
          </w:rPr>
          <w:t>&lt;Saite&gt;</w:t>
        </w:r>
      </w:hyperlink>
    </w:p>
  </w:footnote>
  <w:footnote w:id="13">
    <w:p w14:paraId="1077CB1D" w14:textId="686D17F0" w:rsidR="00D6682E" w:rsidRDefault="00D6682E" w:rsidP="00343DF4">
      <w:pPr>
        <w:pStyle w:val="Vresteksts"/>
        <w:spacing w:before="0"/>
      </w:pPr>
      <w:r>
        <w:rPr>
          <w:rStyle w:val="Vresatsauce"/>
        </w:rPr>
        <w:footnoteRef/>
      </w:r>
      <w:r>
        <w:t xml:space="preserve"> </w:t>
      </w:r>
      <w:r>
        <w:t xml:space="preserve">EIROPAS PARLAMENTA UN PADOMES REGULA (ES) Nr. 604/2013 (2013. gada 26. jūnijs), ar ko paredz kritērijus un mehānismus, lai noteiktu dalībvalsti, kura ir atbildīga par trešās valsts valstspiederīgā vai bezvalstnieka starptautiskās aizsardzības pieteikuma izskatīšanu, kas iesniegts kādā no dalībvalstīm (pārstrādāta redakcija). </w:t>
      </w:r>
      <w:hyperlink r:id="rId7" w:history="1">
        <w:r w:rsidRPr="00314293">
          <w:rPr>
            <w:rStyle w:val="Hipersaite"/>
          </w:rPr>
          <w:t>&lt;Saite&gt;</w:t>
        </w:r>
      </w:hyperlink>
    </w:p>
  </w:footnote>
  <w:footnote w:id="14">
    <w:p w14:paraId="3EA9CFEE" w14:textId="2C43819A" w:rsidR="00A8408B" w:rsidRPr="00D711B1" w:rsidRDefault="00A8408B" w:rsidP="00AE57B6">
      <w:pPr>
        <w:pStyle w:val="Vresteksts"/>
        <w:spacing w:before="0"/>
      </w:pPr>
      <w:r w:rsidRPr="00D711B1">
        <w:rPr>
          <w:rStyle w:val="Vresatsauce"/>
        </w:rPr>
        <w:footnoteRef/>
      </w:r>
      <w:r w:rsidRPr="00D711B1">
        <w:t xml:space="preserve"> </w:t>
      </w:r>
      <w:r w:rsidRPr="00D711B1">
        <w:t xml:space="preserve">MIPEX. (2020). Latvia. Key findings. </w:t>
      </w:r>
      <w:hyperlink r:id="rId8" w:history="1">
        <w:r w:rsidRPr="00D711B1">
          <w:rPr>
            <w:rStyle w:val="Hipersaite"/>
          </w:rPr>
          <w:t>&lt;Saite&gt;</w:t>
        </w:r>
      </w:hyperlink>
    </w:p>
  </w:footnote>
  <w:footnote w:id="15">
    <w:p w14:paraId="63D06ABA" w14:textId="4BB00920"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Projekts “Brīvprātīgās atgriešanās un reintegrācijas palīdzības sniegšana Latvijā, 2016.-2018.g.” (Nr. AK/IOM/PMIF/2015/1) un “Brīvprātīgās atgriešanās un reintegrācijas palīdzības sniegšana Latvijā, 2019.-2022.gads” (Nr. AK/IOM/PMIF/2018/1) -Autoru piezīme</w:t>
      </w:r>
    </w:p>
  </w:footnote>
  <w:footnote w:id="16">
    <w:p w14:paraId="1DA50471" w14:textId="0A47483D"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Publications Office of the European Union. Returning illegal immigrants – common standards and procedures. </w:t>
      </w:r>
      <w:hyperlink r:id="rId9" w:history="1">
        <w:r w:rsidRPr="00D711B1">
          <w:rPr>
            <w:rStyle w:val="Hipersaite"/>
          </w:rPr>
          <w:t>&lt;Saite&gt;</w:t>
        </w:r>
      </w:hyperlink>
    </w:p>
  </w:footnote>
  <w:footnote w:id="17">
    <w:p w14:paraId="4DC5A6A3" w14:textId="14A23966"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Providus. (2019). Izvērtējuma ziņojums par patvēruma, migrācijas un integrācijas fonda 2014. – 2020.gada plānošanas perioda mērķa grupas apmierinātības izvērtējumu par nacionālās programmas ietvaros sniegtajiem pakalpojumiem. </w:t>
      </w:r>
      <w:hyperlink r:id="rId10" w:history="1">
        <w:r w:rsidRPr="00D711B1">
          <w:rPr>
            <w:rStyle w:val="Hipersaite"/>
          </w:rPr>
          <w:t>&lt;Saite&gt;</w:t>
        </w:r>
      </w:hyperlink>
    </w:p>
  </w:footnote>
  <w:footnote w:id="18">
    <w:p w14:paraId="393B19C8" w14:textId="53D73A84"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rPr>
          <w:bCs/>
        </w:rPr>
        <w:t xml:space="preserve">Ministru kabineta 2015. gada 28. jūlija noteikumi Nr. 433 "Iekšējās drošības fonda un Patvēruma, migrācijas un integrācijas fonda 2014.–2020. gada plānošanas perioda pārvaldības un kontroles sistēmas izveides un finanšu vadības un kontroles kārtība". </w:t>
      </w:r>
      <w:hyperlink r:id="rId11" w:history="1">
        <w:r w:rsidRPr="00D711B1">
          <w:rPr>
            <w:rStyle w:val="Hipersaite"/>
            <w:bCs/>
          </w:rPr>
          <w:t>&lt;Saite&gt;</w:t>
        </w:r>
      </w:hyperlink>
    </w:p>
  </w:footnote>
  <w:footnote w:id="19">
    <w:p w14:paraId="3671F28A" w14:textId="0155082E"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17.08.2021. Audita ziņojums par Iekšējās drošības fonda un Patvēruma, migrācijas un integrācijas fonda 2014.-2020.gada plānošanas periodam izveidotās pārvaldības un kontroles sistēmas darbību Iekšlietu ministrijā kā Atbildīgajā iestādē un Kultūras ministrijā kā Deleģētajā iestādē.</w:t>
      </w:r>
    </w:p>
  </w:footnote>
  <w:footnote w:id="20">
    <w:p w14:paraId="720BB46D" w14:textId="69FC53B9"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15.01.2019. Audita ziņojums par Iekšējās drošības fonda un Patvēruma, migrācijas un integrācijas fonda darbību atkārtošanas pārbaudēm (</w:t>
      </w:r>
      <w:r w:rsidRPr="00D711B1">
        <w:rPr>
          <w:i/>
          <w:iCs/>
        </w:rPr>
        <w:t>re-performance</w:t>
      </w:r>
      <w:r w:rsidRPr="00D711B1">
        <w:t>), t.sk. pārbaudēm projektu īstenošanas vietās.</w:t>
      </w:r>
    </w:p>
  </w:footnote>
  <w:footnote w:id="21">
    <w:p w14:paraId="308EFDB4" w14:textId="7777777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Providus. (2019). Izvērtējuma ziņojums par patvēruma, migrācijas un integrācijas fonda 2014. – 2020.gada plānošanas perioda mērķa grupas apmierinātības izvērtējumu par nacionālās programmas ietvaros sniegtajiem pakalpojumiem. </w:t>
      </w:r>
      <w:hyperlink r:id="rId12" w:history="1">
        <w:r w:rsidRPr="00D711B1">
          <w:rPr>
            <w:rStyle w:val="Hipersaite"/>
          </w:rPr>
          <w:t>&lt;Saite&gt;</w:t>
        </w:r>
      </w:hyperlink>
    </w:p>
  </w:footnote>
  <w:footnote w:id="22">
    <w:p w14:paraId="6A82353A" w14:textId="576CFDD1" w:rsidR="003A3925" w:rsidRPr="00D711B1" w:rsidRDefault="003A3925" w:rsidP="00AE57B6">
      <w:pPr>
        <w:pStyle w:val="Vresteksts"/>
        <w:spacing w:before="0" w:line="240" w:lineRule="auto"/>
      </w:pPr>
      <w:r w:rsidRPr="00D711B1">
        <w:rPr>
          <w:rStyle w:val="Vresatsauce"/>
        </w:rPr>
        <w:footnoteRef/>
      </w:r>
      <w:r w:rsidRPr="00D711B1">
        <w:t xml:space="preserve"> </w:t>
      </w:r>
      <w:r w:rsidRPr="00D711B1">
        <w:t xml:space="preserve">European Commission. Union Actions. </w:t>
      </w:r>
      <w:hyperlink r:id="rId13" w:history="1">
        <w:r w:rsidRPr="00D711B1">
          <w:rPr>
            <w:rStyle w:val="Hipersaite"/>
          </w:rPr>
          <w:t>&lt;Saite&gt;</w:t>
        </w:r>
      </w:hyperlink>
    </w:p>
  </w:footnote>
  <w:footnote w:id="23">
    <w:p w14:paraId="0A72678E" w14:textId="0C91CF19" w:rsidR="00416441" w:rsidRPr="00D711B1" w:rsidRDefault="00416441" w:rsidP="00AE57B6">
      <w:pPr>
        <w:pStyle w:val="Vresteksts"/>
        <w:spacing w:before="0" w:line="240" w:lineRule="auto"/>
      </w:pPr>
      <w:r w:rsidRPr="00D711B1">
        <w:rPr>
          <w:rStyle w:val="Vresatsauce"/>
        </w:rPr>
        <w:footnoteRef/>
      </w:r>
      <w:r w:rsidRPr="00D711B1">
        <w:t xml:space="preserve"> </w:t>
      </w:r>
      <w:r w:rsidRPr="00D711B1">
        <w:t xml:space="preserve">Eiropas Migrācijas tīkls. </w:t>
      </w:r>
      <w:r w:rsidR="00B46683" w:rsidRPr="00D711B1">
        <w:t xml:space="preserve">Par mums. </w:t>
      </w:r>
      <w:hyperlink r:id="rId14" w:history="1">
        <w:r w:rsidR="00B46683" w:rsidRPr="00D711B1">
          <w:rPr>
            <w:rStyle w:val="Hipersaite"/>
          </w:rPr>
          <w:t>&lt;Saite&gt;</w:t>
        </w:r>
      </w:hyperlink>
    </w:p>
  </w:footnote>
  <w:footnote w:id="24">
    <w:p w14:paraId="58DB8C9E" w14:textId="102B4F10"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Implementation Report AMIF. Latvija National Programme AMIF. Version 2016.2.</w:t>
      </w:r>
    </w:p>
  </w:footnote>
  <w:footnote w:id="25">
    <w:p w14:paraId="0BA3C33D" w14:textId="68EE7AA1"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Turpat.</w:t>
      </w:r>
    </w:p>
  </w:footnote>
  <w:footnote w:id="26">
    <w:p w14:paraId="732F87EB" w14:textId="32D01FE6"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Implementation Report AMIF. Latvija National Programme AMIF. Version 2021.0.</w:t>
      </w:r>
    </w:p>
  </w:footnote>
  <w:footnote w:id="27">
    <w:p w14:paraId="3C5B8E87" w14:textId="5D920040"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Implementation Report AMIF. Latvija National Programme AMIF. Version 2022.0.</w:t>
      </w:r>
    </w:p>
  </w:footnote>
  <w:footnote w:id="28">
    <w:p w14:paraId="5AE1C627" w14:textId="77777777" w:rsidR="007A5359" w:rsidRPr="00D711B1" w:rsidRDefault="007A5359" w:rsidP="00AE57B6">
      <w:pPr>
        <w:pStyle w:val="Vresteksts"/>
        <w:spacing w:before="0" w:line="240" w:lineRule="auto"/>
      </w:pPr>
      <w:r w:rsidRPr="00D711B1">
        <w:rPr>
          <w:rStyle w:val="Vresatsauce"/>
        </w:rPr>
        <w:footnoteRef/>
      </w:r>
      <w:r w:rsidRPr="00D711B1">
        <w:t xml:space="preserve"> </w:t>
      </w:r>
      <w:r w:rsidRPr="00D711B1">
        <w:t xml:space="preserve">SIF. Dažādības veicināšana. </w:t>
      </w:r>
      <w:hyperlink r:id="rId15" w:history="1">
        <w:r w:rsidRPr="00D711B1">
          <w:rPr>
            <w:rStyle w:val="Hipersaite"/>
          </w:rPr>
          <w:t>&lt;Saite&gt;</w:t>
        </w:r>
      </w:hyperlink>
    </w:p>
  </w:footnote>
  <w:footnote w:id="29">
    <w:p w14:paraId="227BB3DD" w14:textId="77777777" w:rsidR="007A5359" w:rsidRPr="00D711B1" w:rsidRDefault="007A5359" w:rsidP="00AE57B6">
      <w:pPr>
        <w:pStyle w:val="Vresteksts"/>
        <w:spacing w:before="0" w:line="240" w:lineRule="auto"/>
      </w:pPr>
      <w:r w:rsidRPr="00D711B1">
        <w:rPr>
          <w:rStyle w:val="Vresatsauce"/>
        </w:rPr>
        <w:footnoteRef/>
      </w:r>
      <w:r w:rsidRPr="00D711B1">
        <w:t xml:space="preserve"> </w:t>
      </w:r>
      <w:r w:rsidRPr="00D711B1">
        <w:t xml:space="preserve">NVA. Projekts “Bēgļu un alternatīvo statusu ieguvušo personu integrācija Latvijas darba tirgū”. </w:t>
      </w:r>
      <w:hyperlink r:id="rId16" w:history="1">
        <w:r w:rsidRPr="00D711B1">
          <w:rPr>
            <w:rStyle w:val="Hipersaite"/>
          </w:rPr>
          <w:t>&lt;Saite&gt;</w:t>
        </w:r>
      </w:hyperlink>
    </w:p>
  </w:footnote>
  <w:footnote w:id="30">
    <w:p w14:paraId="3404EB97" w14:textId="7DE61602"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15.09.2022. Iekšlietu ministrijas Rīkojums Nr.1-2/1231 Par projektu uzraudzības padomes izveidošanu. </w:t>
      </w:r>
    </w:p>
  </w:footnote>
  <w:footnote w:id="31">
    <w:p w14:paraId="1691C086" w14:textId="4ECE485E"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Ministru kabineta 2015. gada 16. februāra rīkojums Nr. 78 "Par Valdības rīcības plānu Deklarācijas par Laimdotas Straujumas vadītā Ministru kabineta iecerēto darbību īstenošanai". </w:t>
      </w:r>
      <w:hyperlink r:id="rId17" w:history="1">
        <w:r w:rsidRPr="00D711B1">
          <w:rPr>
            <w:rStyle w:val="Hipersaite"/>
          </w:rPr>
          <w:t>&lt;Saite&gt;</w:t>
        </w:r>
      </w:hyperlink>
    </w:p>
  </w:footnote>
  <w:footnote w:id="32">
    <w:p w14:paraId="04462B39" w14:textId="2D706AF2"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Ministru kabineta 2016. gada 12. jūlija noteikumi Nr. 449 "Noteikumi par patvēruma meklētāja uzturam un dienasnaudas izmaksai paredzēto izdevumu apmēru un segšanas kārtību". </w:t>
      </w:r>
      <w:hyperlink r:id="rId18" w:history="1">
        <w:r w:rsidRPr="00D711B1">
          <w:rPr>
            <w:rStyle w:val="Hipersaite"/>
          </w:rPr>
          <w:t>&lt;Saite&gt;</w:t>
        </w:r>
      </w:hyperlink>
    </w:p>
  </w:footnote>
  <w:footnote w:id="33">
    <w:p w14:paraId="7E85D97E" w14:textId="0DB7E5A8"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KOMISIJAS ĪSTENOŠANAS LĒMUMS (17.12.2015) C(2015) 9377, ar ko apstiprina Latvijas valsts programmu atbalsta saņemšanai no Iekšējās drošības fonda laikposmam no 2014. gada līdz 2020. gadam. </w:t>
      </w:r>
      <w:hyperlink r:id="rId19" w:history="1">
        <w:r w:rsidRPr="00D711B1">
          <w:rPr>
            <w:rStyle w:val="Hipersaite"/>
          </w:rPr>
          <w:t>&lt;Saite&gt;</w:t>
        </w:r>
      </w:hyperlink>
    </w:p>
    <w:p w14:paraId="6FF5BCE4" w14:textId="77777777" w:rsidR="00B76001" w:rsidRPr="00D711B1" w:rsidRDefault="00B76001" w:rsidP="00AE57B6">
      <w:pPr>
        <w:pStyle w:val="Vresteksts"/>
        <w:spacing w:before="0" w:line="240" w:lineRule="auto"/>
      </w:pPr>
    </w:p>
  </w:footnote>
  <w:footnote w:id="34">
    <w:p w14:paraId="415C7C6D" w14:textId="73C9FE2F"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No kopējā projektu skaita ir izslēgti divi  VRS īstenotie projekti: Nr. VRS/IDF/2016/7 “Mobilā sauszemes un jūras robežas novērošanas transportlīdzekļu papildus aprīkošana” un Nr. VRS/IDF/2016/8 “Mobilā sauszemes un jūras robežas novērošanas transportlīdzekļu iegāde”, jo tie ir tikuši pārtraukta – Autoru piezīme.</w:t>
      </w:r>
    </w:p>
  </w:footnote>
  <w:footnote w:id="35">
    <w:p w14:paraId="7AC5031C" w14:textId="15E03B88"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Gala ziņojuma par Iekšējās drošības fonda 2014.-2020.gadam nacionālās programmas īstenošanu par laika periodu no  2023.gada 1.janvāra līdz 2024.gada 30.jūnijam 2.pielikums. Vispārējs novērtējums par progresu Iekšējās drošības fonda valsts programmas mērķu sasniegšanā no 01.01.2014. līdz 30.06.2024. </w:t>
      </w:r>
    </w:p>
  </w:footnote>
  <w:footnote w:id="36">
    <w:p w14:paraId="1F7069D3" w14:textId="4992D1EE"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Projekti Nr. ĀM/IDF/2017/3 “Konsulāro amatpersonu reģionālo apmācību nodrošināšana par ES vienoto vīzu izsniegšanas politiku, atbilstoši Eiropas Vīzu kodeksa prasībām” un Nr. AM/IDF/2020/3 “Konsulāro amatpersonu reģionālo apmācību nodrošināšana par ES vienoto vīzu izsniegšanas politiku, atbilstoši Eiropas Vīzu kodeksa prasībām (2.posms)”</w:t>
      </w:r>
    </w:p>
  </w:footnote>
  <w:footnote w:id="37">
    <w:p w14:paraId="4601934F" w14:textId="2013E74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Projekti Nr. VRS/IDF/2016/6 “Robežuzraudzības un kontroles sistēmas infrastruktūras turpmāka pilnveidošana atbilstoši EUROSUR prasībām (3. un 4.posma realizācija) (1.posms) un Nr. VRS/IDF/2019/2 “Nacionālā (kopējā) situācijas attēla izveidošana (2.posms)”</w:t>
      </w:r>
    </w:p>
  </w:footnote>
  <w:footnote w:id="38">
    <w:p w14:paraId="7140EE8F" w14:textId="7777777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Frontex. Best Practice Operational Guidelines for Automated Border Control (ABC) Systems. </w:t>
      </w:r>
      <w:hyperlink r:id="rId20" w:history="1">
        <w:r w:rsidRPr="00D711B1">
          <w:rPr>
            <w:rStyle w:val="Hipersaite"/>
          </w:rPr>
          <w:t>&lt;Saite&gt;</w:t>
        </w:r>
      </w:hyperlink>
    </w:p>
  </w:footnote>
  <w:footnote w:id="39">
    <w:p w14:paraId="1CFCC049" w14:textId="77777777" w:rsidR="00680C9C" w:rsidRPr="00D711B1" w:rsidRDefault="00680C9C" w:rsidP="00AE57B6">
      <w:pPr>
        <w:pStyle w:val="Vresteksts"/>
        <w:spacing w:before="0"/>
      </w:pPr>
      <w:r w:rsidRPr="00D711B1">
        <w:rPr>
          <w:rStyle w:val="Vresatsauce"/>
        </w:rPr>
        <w:footnoteRef/>
      </w:r>
      <w:r w:rsidRPr="00D711B1">
        <w:t xml:space="preserve"> </w:t>
      </w:r>
      <w:r w:rsidRPr="00D711B1">
        <w:t>European Commission. (2016). Impact Assessment Report on the establishment of an EU Entry Exit System &lt;</w:t>
      </w:r>
      <w:hyperlink r:id="rId21" w:history="1">
        <w:r w:rsidRPr="00D711B1">
          <w:rPr>
            <w:rStyle w:val="Hipersaite"/>
          </w:rPr>
          <w:t>Saite</w:t>
        </w:r>
      </w:hyperlink>
      <w:r w:rsidRPr="00D711B1">
        <w:t>&gt;</w:t>
      </w:r>
    </w:p>
  </w:footnote>
  <w:footnote w:id="40">
    <w:p w14:paraId="6141C1F1" w14:textId="7777777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rPr>
          <w:bCs/>
        </w:rPr>
        <w:t xml:space="preserve">Ministru kabineta 2015. gada 28. jūlija noteikumi Nr. 433 "Iekšējās drošības fonda un Patvēruma, migrācijas un integrācijas fonda 2014.–2020. gada plānošanas perioda pārvaldības un kontroles sistēmas izveides un finanšu vadības un kontroles kārtība". </w:t>
      </w:r>
      <w:hyperlink r:id="rId22" w:history="1">
        <w:r w:rsidRPr="00D711B1">
          <w:rPr>
            <w:rStyle w:val="Hipersaite"/>
            <w:bCs/>
          </w:rPr>
          <w:t>&lt;Saite&gt;</w:t>
        </w:r>
      </w:hyperlink>
    </w:p>
  </w:footnote>
  <w:footnote w:id="41">
    <w:p w14:paraId="03CEE874" w14:textId="0482C36C"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-6.07.2018. Audita ziņojums par Iekšējās drošības fonda un Patvēruma, migrācijas un integrācijas fonda 2014.-2020. gada plānošanas perioda izveidotās pārvaldības un kontroles sistēmas darbību Iekšlietu ministrijā kā Atbildīgajā iestādē un Kultūras ministrijā kā Deleģētajā iestādē.</w:t>
      </w:r>
    </w:p>
  </w:footnote>
  <w:footnote w:id="42">
    <w:p w14:paraId="147C44B3" w14:textId="0264390A" w:rsidR="00E95A30" w:rsidRPr="00D711B1" w:rsidRDefault="00E95A30" w:rsidP="00AE57B6">
      <w:pPr>
        <w:pStyle w:val="Vresteksts"/>
        <w:spacing w:before="0"/>
      </w:pPr>
      <w:r w:rsidRPr="00D711B1">
        <w:rPr>
          <w:rStyle w:val="Vresatsauce"/>
        </w:rPr>
        <w:footnoteRef/>
      </w:r>
      <w:r w:rsidRPr="00D711B1">
        <w:t xml:space="preserve"> </w:t>
      </w:r>
      <w:r w:rsidR="0044007D" w:rsidRPr="00D711B1">
        <w:t xml:space="preserve">EU Funding &amp; Tenders Portal. </w:t>
      </w:r>
      <w:r w:rsidR="0024256F" w:rsidRPr="00D711B1">
        <w:t xml:space="preserve">Development of Information Exchange Gear of Baltic states (BSIEG 2). </w:t>
      </w:r>
      <w:hyperlink r:id="rId23" w:history="1">
        <w:r w:rsidR="0024256F" w:rsidRPr="00D711B1">
          <w:rPr>
            <w:rStyle w:val="Hipersaite"/>
          </w:rPr>
          <w:t>&lt;Saite&gt;</w:t>
        </w:r>
      </w:hyperlink>
    </w:p>
  </w:footnote>
  <w:footnote w:id="43">
    <w:p w14:paraId="5E360450" w14:textId="1D017383" w:rsidR="00D62A5D" w:rsidRPr="00D711B1" w:rsidRDefault="00D62A5D" w:rsidP="00AE57B6">
      <w:pPr>
        <w:pStyle w:val="Vresteksts"/>
        <w:spacing w:before="0"/>
      </w:pPr>
      <w:r w:rsidRPr="00D711B1">
        <w:rPr>
          <w:rStyle w:val="Vresatsauce"/>
        </w:rPr>
        <w:footnoteRef/>
      </w:r>
      <w:r w:rsidRPr="00D711B1">
        <w:t xml:space="preserve"> </w:t>
      </w:r>
      <w:r w:rsidR="00854654" w:rsidRPr="00D711B1">
        <w:t xml:space="preserve">European Commission. </w:t>
      </w:r>
      <w:r w:rsidR="00167B9B" w:rsidRPr="00D711B1">
        <w:t xml:space="preserve">ANNEX to the Commission Implementing Decision Annual Work Programme for 2016 for support to Union actions under the Internal Security Fund - Borders and Visa. </w:t>
      </w:r>
      <w:hyperlink r:id="rId24" w:history="1">
        <w:r w:rsidR="00167B9B" w:rsidRPr="00D711B1">
          <w:rPr>
            <w:rStyle w:val="Hipersaite"/>
          </w:rPr>
          <w:t>&lt;Saite&gt;</w:t>
        </w:r>
      </w:hyperlink>
    </w:p>
  </w:footnote>
  <w:footnote w:id="44">
    <w:p w14:paraId="0655637B" w14:textId="28BD734D" w:rsidR="003B6356" w:rsidRPr="00D711B1" w:rsidRDefault="003B6356" w:rsidP="00AE57B6">
      <w:pPr>
        <w:pStyle w:val="Vresteksts"/>
        <w:spacing w:before="0"/>
      </w:pPr>
      <w:r w:rsidRPr="00D711B1">
        <w:rPr>
          <w:rStyle w:val="Vresatsauce"/>
        </w:rPr>
        <w:footnoteRef/>
      </w:r>
      <w:r w:rsidRPr="00D711B1">
        <w:t xml:space="preserve"> </w:t>
      </w:r>
      <w:r w:rsidR="00E9487F" w:rsidRPr="00D711B1">
        <w:t xml:space="preserve">EU Funding &amp; Tenders Portal. </w:t>
      </w:r>
      <w:r w:rsidR="00593776" w:rsidRPr="00D711B1">
        <w:t xml:space="preserve">Enhancement of Immigration Liaison Officers’ activities in Vietnam/ EURLO Vietnam. </w:t>
      </w:r>
      <w:hyperlink r:id="rId25" w:history="1">
        <w:r w:rsidR="00593776" w:rsidRPr="00D711B1">
          <w:rPr>
            <w:rStyle w:val="Hipersaite"/>
          </w:rPr>
          <w:t>&lt;Saite&gt;</w:t>
        </w:r>
      </w:hyperlink>
    </w:p>
  </w:footnote>
  <w:footnote w:id="45">
    <w:p w14:paraId="7EB9FD93" w14:textId="22005D6B" w:rsidR="00E9487F" w:rsidRPr="00D711B1" w:rsidRDefault="00E9487F" w:rsidP="00AE57B6">
      <w:pPr>
        <w:pStyle w:val="Vresteksts"/>
        <w:spacing w:before="0"/>
      </w:pPr>
      <w:r w:rsidRPr="00D711B1">
        <w:rPr>
          <w:rStyle w:val="Vresatsauce"/>
        </w:rPr>
        <w:footnoteRef/>
      </w:r>
      <w:r w:rsidRPr="00D711B1">
        <w:t xml:space="preserve"> </w:t>
      </w:r>
      <w:r w:rsidR="00DE0A77" w:rsidRPr="00D711B1">
        <w:t xml:space="preserve">European Commission. </w:t>
      </w:r>
      <w:r w:rsidR="004C2671" w:rsidRPr="00D711B1">
        <w:t>COMMISSION IMPLEMENTING DECISION of 16.9.2021</w:t>
      </w:r>
      <w:r w:rsidR="00D16DDB" w:rsidRPr="00D711B1">
        <w:t xml:space="preserve"> </w:t>
      </w:r>
      <w:r w:rsidR="004C2671" w:rsidRPr="00D711B1">
        <w:t>amending the Implementing Decision C(2020) 4710 final on the financing of Union</w:t>
      </w:r>
      <w:r w:rsidR="00D16DDB" w:rsidRPr="00D711B1">
        <w:t xml:space="preserve"> </w:t>
      </w:r>
      <w:r w:rsidR="004C2671" w:rsidRPr="00D711B1">
        <w:t>Actions in the framework of the Internal Security Fund - Borders and Visa and the</w:t>
      </w:r>
      <w:r w:rsidR="00D16DDB" w:rsidRPr="00D711B1">
        <w:t xml:space="preserve"> </w:t>
      </w:r>
      <w:r w:rsidR="004C2671" w:rsidRPr="00D711B1">
        <w:t>adoption of the work programme for 2020</w:t>
      </w:r>
      <w:hyperlink r:id="rId26" w:history="1">
        <w:r w:rsidR="00D16DDB" w:rsidRPr="00D711B1">
          <w:rPr>
            <w:rStyle w:val="Hipersaite"/>
          </w:rPr>
          <w:t>. &lt;Saite&gt;</w:t>
        </w:r>
      </w:hyperlink>
    </w:p>
  </w:footnote>
  <w:footnote w:id="46">
    <w:p w14:paraId="52DE429C" w14:textId="5B5CF1D0"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Implementation report ISF. Latvija National Programme ISF. Version 2015.1.</w:t>
      </w:r>
    </w:p>
  </w:footnote>
  <w:footnote w:id="47">
    <w:p w14:paraId="7531BA87" w14:textId="59C73FB1"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Cross-Border Cooperation Programme 2014-2020. Objective &amp; Priorities. </w:t>
      </w:r>
      <w:hyperlink r:id="rId27" w:history="1">
        <w:r w:rsidRPr="00D711B1">
          <w:rPr>
            <w:rStyle w:val="Hipersaite"/>
          </w:rPr>
          <w:t>&lt;Saite&gt;</w:t>
        </w:r>
      </w:hyperlink>
    </w:p>
  </w:footnote>
  <w:footnote w:id="48">
    <w:p w14:paraId="4DF81119" w14:textId="743E5568"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Latvia-Lithuania-Belarus Cross-border Cooperation Programme. Thematic objectives. </w:t>
      </w:r>
      <w:hyperlink r:id="rId28" w:history="1">
        <w:r w:rsidRPr="00D711B1">
          <w:rPr>
            <w:rStyle w:val="Hipersaite"/>
          </w:rPr>
          <w:t>&lt;Saite&gt;</w:t>
        </w:r>
      </w:hyperlink>
    </w:p>
  </w:footnote>
  <w:footnote w:id="49">
    <w:p w14:paraId="20B887FD" w14:textId="624FD189"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EEA and Norway grants. Par programmu. </w:t>
      </w:r>
      <w:hyperlink r:id="rId29" w:history="1">
        <w:r w:rsidRPr="00D711B1">
          <w:rPr>
            <w:rStyle w:val="Hipersaite"/>
          </w:rPr>
          <w:t>&lt;Saite&gt;</w:t>
        </w:r>
      </w:hyperlink>
    </w:p>
  </w:footnote>
  <w:footnote w:id="50">
    <w:p w14:paraId="3EBAB129" w14:textId="411FF285"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VID. Eiropas Ekonomikas zonas granta projekti. </w:t>
      </w:r>
      <w:hyperlink r:id="rId30" w:anchor="ekonomisko-noziegumu-noversana-un-apkarosana-robezskersosanas-vieta-terehova" w:history="1">
        <w:r w:rsidRPr="00D711B1">
          <w:rPr>
            <w:rStyle w:val="Hipersaite"/>
          </w:rPr>
          <w:t>&lt;Saite&gt;</w:t>
        </w:r>
      </w:hyperlink>
    </w:p>
  </w:footnote>
  <w:footnote w:id="51">
    <w:p w14:paraId="312B3432" w14:textId="711C267D"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VRS. Sinerģiskas drošības platformas izveide Austrumlatvijas un Lietuvas pierobežā. </w:t>
      </w:r>
      <w:hyperlink r:id="rId31" w:history="1">
        <w:r w:rsidRPr="00D711B1">
          <w:rPr>
            <w:rStyle w:val="Hipersaite"/>
          </w:rPr>
          <w:t>&lt;Saite&gt;</w:t>
        </w:r>
      </w:hyperlink>
    </w:p>
  </w:footnote>
  <w:footnote w:id="52">
    <w:p w14:paraId="65701759" w14:textId="56686748"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VRS. Intelektuālās mobilās kontroles sistēmas izstrāde. </w:t>
      </w:r>
      <w:hyperlink r:id="rId32" w:history="1">
        <w:r w:rsidRPr="00D711B1">
          <w:rPr>
            <w:rStyle w:val="Hipersaite"/>
          </w:rPr>
          <w:t>&lt;Saite&gt;</w:t>
        </w:r>
      </w:hyperlink>
    </w:p>
  </w:footnote>
  <w:footnote w:id="53">
    <w:p w14:paraId="3E298E54" w14:textId="2CF4823A"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VRS. Starptautiskās Migrācijas politikas attīstības centra programma. </w:t>
      </w:r>
      <w:hyperlink r:id="rId33" w:history="1">
        <w:r w:rsidRPr="00D711B1">
          <w:rPr>
            <w:rStyle w:val="Hipersaite"/>
          </w:rPr>
          <w:t>&lt;Saite&gt;</w:t>
        </w:r>
      </w:hyperlink>
    </w:p>
  </w:footnote>
  <w:footnote w:id="54">
    <w:p w14:paraId="5C16E5BB" w14:textId="7777777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KOMISIJAS ĪSTENOŠANAS LĒMUMS (17.12.2015) C(2015) 9377, ar ko apstiprina Latvijas valsts programmu atbalsta saņemšanai no Iekšējās drošības fonda laikposmam no 2014. gada līdz 2020. gadam. </w:t>
      </w:r>
      <w:hyperlink r:id="rId34" w:history="1">
        <w:r w:rsidRPr="00D711B1">
          <w:rPr>
            <w:rStyle w:val="Hipersaite"/>
          </w:rPr>
          <w:t>&lt;Saite&gt;</w:t>
        </w:r>
      </w:hyperlink>
    </w:p>
    <w:p w14:paraId="7578133E" w14:textId="77777777" w:rsidR="00B76001" w:rsidRPr="00D711B1" w:rsidRDefault="00B76001" w:rsidP="00AE57B6">
      <w:pPr>
        <w:pStyle w:val="Vresteksts"/>
        <w:spacing w:before="0" w:line="240" w:lineRule="auto"/>
      </w:pPr>
    </w:p>
  </w:footnote>
  <w:footnote w:id="55">
    <w:p w14:paraId="1A872956" w14:textId="5C3E628F"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No kopējā projektu skaita ir izslēgts viens Valsts drošības dienesta projekts, kas tā slepenības statusa dēļ nav ietverts izvērtējuma tvērumā — Autoru piezīme</w:t>
      </w:r>
    </w:p>
  </w:footnote>
  <w:footnote w:id="56">
    <w:p w14:paraId="19EE2E86" w14:textId="4DDB5E1F"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Gala ziņojuma par Iekšējās drošības fonda 2014.-2020.gadam nacionālās programmas īstenošanu par laika periodu no  2023.gada 1.janvāra līdz 2024.gada 30.jūnijam 2.pielikums. Vispārējs novērtējums par progresu Iekšējās drošības fonda valsts programmas mērķu sasniegšanā no 01.01.2014. līdz 30.06.2024.</w:t>
      </w:r>
    </w:p>
  </w:footnote>
  <w:footnote w:id="57">
    <w:p w14:paraId="70857232" w14:textId="50122FA3" w:rsidR="00E6648C" w:rsidRPr="00D711B1" w:rsidRDefault="00E6648C" w:rsidP="00AE57B6">
      <w:pPr>
        <w:pStyle w:val="Vresteksts"/>
        <w:spacing w:before="0"/>
      </w:pPr>
      <w:r w:rsidRPr="00D711B1">
        <w:rPr>
          <w:rStyle w:val="Vresatsauce"/>
        </w:rPr>
        <w:footnoteRef/>
      </w:r>
      <w:r w:rsidRPr="00D711B1">
        <w:t xml:space="preserve"> </w:t>
      </w:r>
      <w:r w:rsidRPr="00D711B1">
        <w:t>World Bank Group (2024). Economics for Disaster Prevention and Preparedness in Europe &lt;</w:t>
      </w:r>
      <w:hyperlink r:id="rId35" w:history="1">
        <w:r w:rsidRPr="00D711B1">
          <w:rPr>
            <w:rStyle w:val="Hipersaite"/>
          </w:rPr>
          <w:t>Saite</w:t>
        </w:r>
      </w:hyperlink>
      <w:r w:rsidRPr="00D711B1">
        <w:t>&gt;</w:t>
      </w:r>
    </w:p>
  </w:footnote>
  <w:footnote w:id="58">
    <w:p w14:paraId="51C5D895" w14:textId="7777777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rPr>
          <w:bCs/>
        </w:rPr>
        <w:t xml:space="preserve">Ministru kabineta 2015. gada 28. jūlija noteikumi Nr. 433 "Iekšējās drošības fonda un Patvēruma, migrācijas un integrācijas fonda 2014.–2020. gada plānošanas perioda pārvaldības un kontroles sistēmas izveides un finanšu vadības un kontroles kārtība". </w:t>
      </w:r>
      <w:hyperlink r:id="rId36" w:history="1">
        <w:r w:rsidRPr="00D711B1">
          <w:rPr>
            <w:rStyle w:val="Hipersaite"/>
            <w:bCs/>
          </w:rPr>
          <w:t>&lt;Saite&gt;</w:t>
        </w:r>
      </w:hyperlink>
    </w:p>
  </w:footnote>
  <w:footnote w:id="59">
    <w:p w14:paraId="24684BE9" w14:textId="0C1F617B"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15.01.2019. Audita ziņojums par Iekšējās drošības fonda un Patvēruma, migrācijas un integrācijas fonda darbību atkārtošanas pārbaudēm (</w:t>
      </w:r>
      <w:r w:rsidRPr="00D711B1">
        <w:rPr>
          <w:i/>
          <w:iCs/>
        </w:rPr>
        <w:t>re-performance</w:t>
      </w:r>
      <w:r w:rsidRPr="00D711B1">
        <w:t>), t.sk. pārbaudēm projektu īstenošanas vietās.</w:t>
      </w:r>
    </w:p>
  </w:footnote>
  <w:footnote w:id="60">
    <w:p w14:paraId="60006CD5" w14:textId="77777777" w:rsidR="000F35E8" w:rsidRPr="00D711B1" w:rsidRDefault="000F35E8" w:rsidP="00AE57B6">
      <w:pPr>
        <w:pStyle w:val="Vresteksts"/>
        <w:spacing w:before="0" w:line="240" w:lineRule="auto"/>
      </w:pPr>
      <w:r w:rsidRPr="00D711B1">
        <w:rPr>
          <w:rStyle w:val="Vresatsauce"/>
        </w:rPr>
        <w:footnoteRef/>
      </w:r>
      <w:r w:rsidRPr="00D711B1">
        <w:t xml:space="preserve"> </w:t>
      </w:r>
      <w:r w:rsidRPr="00D711B1">
        <w:t xml:space="preserve">Eurpean Commission. ANNEX to the COMMISSION IMPLEMENTING DECISION concerning the adoption of the work programme for 2014 and the financing for Union actions within the framework of the Internal Security Fund – the instrument for financial support for police cooperation, preventing and combating crime, and crisis management. </w:t>
      </w:r>
      <w:hyperlink r:id="rId37" w:history="1">
        <w:r w:rsidRPr="00D711B1">
          <w:rPr>
            <w:rStyle w:val="Hipersaite"/>
          </w:rPr>
          <w:t>&lt;Saite&gt;</w:t>
        </w:r>
      </w:hyperlink>
    </w:p>
  </w:footnote>
  <w:footnote w:id="61">
    <w:p w14:paraId="0B5C0FAF" w14:textId="77777777" w:rsidR="000F35E8" w:rsidRPr="00D711B1" w:rsidRDefault="000F35E8" w:rsidP="00AE57B6">
      <w:pPr>
        <w:pStyle w:val="Vresteksts"/>
        <w:spacing w:before="0" w:line="240" w:lineRule="auto"/>
      </w:pPr>
      <w:r w:rsidRPr="00D711B1">
        <w:rPr>
          <w:rStyle w:val="Vresatsauce"/>
        </w:rPr>
        <w:footnoteRef/>
      </w:r>
      <w:r w:rsidRPr="00D711B1">
        <w:t xml:space="preserve"> </w:t>
      </w:r>
      <w:r w:rsidRPr="00D711B1">
        <w:t xml:space="preserve">Law Enforcement Information Exchange" Call for Proposals 2014. List of awarded projects. </w:t>
      </w:r>
      <w:hyperlink r:id="rId38" w:history="1">
        <w:r w:rsidRPr="00D711B1">
          <w:rPr>
            <w:rStyle w:val="Hipersaite"/>
          </w:rPr>
          <w:t>&lt;Saite&gt;</w:t>
        </w:r>
      </w:hyperlink>
    </w:p>
  </w:footnote>
  <w:footnote w:id="62">
    <w:p w14:paraId="7DC25FFA" w14:textId="3620D638" w:rsidR="00EC49C1" w:rsidRPr="00D711B1" w:rsidRDefault="00EC49C1" w:rsidP="00AE57B6">
      <w:pPr>
        <w:pStyle w:val="Vresteksts"/>
        <w:spacing w:before="0" w:line="240" w:lineRule="auto"/>
      </w:pPr>
      <w:r w:rsidRPr="00D711B1">
        <w:rPr>
          <w:rStyle w:val="Vresatsauce"/>
        </w:rPr>
        <w:footnoteRef/>
      </w:r>
      <w:r w:rsidRPr="00D711B1">
        <w:t xml:space="preserve"> </w:t>
      </w:r>
      <w:r w:rsidR="004758E5" w:rsidRPr="00D711B1">
        <w:t xml:space="preserve">Eurpean Commission. ANNEX to the COMMISSION IMPLEMENTING DECISION concerning the adoption of the work programme for 2017 and the financing for Union actions within the framework of the Internal Security Fund – the instrument for financial support for police cooperation, preventing and combating crime, and crisis management. </w:t>
      </w:r>
      <w:hyperlink r:id="rId39" w:history="1">
        <w:r w:rsidR="004758E5" w:rsidRPr="00D711B1">
          <w:rPr>
            <w:rStyle w:val="Hipersaite"/>
          </w:rPr>
          <w:t>&lt;Saite&gt;</w:t>
        </w:r>
      </w:hyperlink>
    </w:p>
  </w:footnote>
  <w:footnote w:id="63">
    <w:p w14:paraId="1E9FA611" w14:textId="4B2FFD98" w:rsidR="00AE0ACE" w:rsidRPr="00D711B1" w:rsidRDefault="00AE0ACE" w:rsidP="00AE57B6">
      <w:pPr>
        <w:pStyle w:val="Vresteksts"/>
        <w:spacing w:before="0" w:line="240" w:lineRule="auto"/>
      </w:pPr>
      <w:r w:rsidRPr="00D711B1">
        <w:rPr>
          <w:rStyle w:val="Vresatsauce"/>
        </w:rPr>
        <w:footnoteRef/>
      </w:r>
      <w:r w:rsidRPr="00D711B1">
        <w:t xml:space="preserve"> </w:t>
      </w:r>
      <w:r w:rsidRPr="00D711B1">
        <w:t xml:space="preserve">EU Funding &amp; Tenders Portal. Universal Message Format 3 plus. </w:t>
      </w:r>
      <w:hyperlink r:id="rId40" w:history="1">
        <w:r w:rsidRPr="00D711B1">
          <w:rPr>
            <w:rStyle w:val="Hipersaite"/>
          </w:rPr>
          <w:t>&lt;Saite&gt;</w:t>
        </w:r>
      </w:hyperlink>
    </w:p>
  </w:footnote>
  <w:footnote w:id="64">
    <w:p w14:paraId="07188284" w14:textId="77777777" w:rsidR="00566DA9" w:rsidRPr="00D711B1" w:rsidRDefault="00566DA9" w:rsidP="00AE57B6">
      <w:pPr>
        <w:pStyle w:val="Vresteksts"/>
        <w:spacing w:before="0" w:line="240" w:lineRule="auto"/>
      </w:pPr>
      <w:r w:rsidRPr="00D711B1">
        <w:rPr>
          <w:rStyle w:val="Vresatsauce"/>
        </w:rPr>
        <w:footnoteRef/>
      </w:r>
      <w:r w:rsidRPr="00D711B1">
        <w:t xml:space="preserve"> </w:t>
      </w:r>
      <w:r w:rsidRPr="00D711B1">
        <w:t>EU Funding &amp; Tenders Portal.</w:t>
      </w:r>
      <w:r w:rsidRPr="00D711B1">
        <w:rPr>
          <w:rFonts w:ascii="Arial" w:hAnsi="Arial" w:cs="Arial"/>
          <w:color w:val="303030"/>
          <w:sz w:val="42"/>
          <w:szCs w:val="42"/>
          <w:shd w:val="clear" w:color="auto" w:fill="FCFCFD"/>
        </w:rPr>
        <w:t xml:space="preserve"> </w:t>
      </w:r>
      <w:r w:rsidRPr="00D711B1">
        <w:t xml:space="preserve">Strengthening of the cross-border police cooperation in the Baltic sea region. </w:t>
      </w:r>
      <w:hyperlink r:id="rId41" w:history="1">
        <w:r w:rsidRPr="00D711B1">
          <w:rPr>
            <w:rStyle w:val="Hipersaite"/>
          </w:rPr>
          <w:t>&lt;Saite&gt;</w:t>
        </w:r>
      </w:hyperlink>
    </w:p>
  </w:footnote>
  <w:footnote w:id="65">
    <w:p w14:paraId="2E9BDA30" w14:textId="77777777" w:rsidR="004953C0" w:rsidRPr="00D711B1" w:rsidRDefault="004953C0" w:rsidP="00AE57B6">
      <w:pPr>
        <w:pStyle w:val="Vresteksts"/>
        <w:spacing w:before="0" w:line="240" w:lineRule="auto"/>
      </w:pPr>
      <w:r w:rsidRPr="00D711B1">
        <w:rPr>
          <w:rStyle w:val="Vresatsauce"/>
        </w:rPr>
        <w:footnoteRef/>
      </w:r>
      <w:r w:rsidRPr="00D711B1">
        <w:t xml:space="preserve"> </w:t>
      </w:r>
      <w:r w:rsidRPr="00D711B1">
        <w:t>EU Funding &amp; Tenders Portal.</w:t>
      </w:r>
      <w:r w:rsidRPr="00D711B1">
        <w:rPr>
          <w:rFonts w:ascii="Arial" w:hAnsi="Arial" w:cs="Arial"/>
          <w:color w:val="303030"/>
          <w:sz w:val="42"/>
          <w:szCs w:val="42"/>
          <w:shd w:val="clear" w:color="auto" w:fill="FCFCFD"/>
        </w:rPr>
        <w:t xml:space="preserve"> </w:t>
      </w:r>
      <w:r w:rsidRPr="00D711B1">
        <w:t xml:space="preserve">Surveillance Cooperation in Schengen. </w:t>
      </w:r>
      <w:hyperlink r:id="rId42" w:history="1">
        <w:r w:rsidRPr="00D711B1">
          <w:rPr>
            <w:rStyle w:val="Hipersaite"/>
          </w:rPr>
          <w:t>&lt;Saite&gt;</w:t>
        </w:r>
      </w:hyperlink>
    </w:p>
  </w:footnote>
  <w:footnote w:id="66">
    <w:p w14:paraId="0E0F1C35" w14:textId="77777777" w:rsidR="009A349C" w:rsidRPr="00D711B1" w:rsidRDefault="009A349C" w:rsidP="00AE57B6">
      <w:pPr>
        <w:pStyle w:val="Vresteksts"/>
        <w:spacing w:before="0" w:line="240" w:lineRule="auto"/>
      </w:pPr>
      <w:r w:rsidRPr="00D711B1">
        <w:rPr>
          <w:rStyle w:val="Vresatsauce"/>
        </w:rPr>
        <w:footnoteRef/>
      </w:r>
      <w:r w:rsidRPr="00D711B1">
        <w:t xml:space="preserve"> </w:t>
      </w:r>
      <w:r w:rsidRPr="00D711B1">
        <w:t xml:space="preserve">EU Funding &amp; Tenders Portal. Advanced Fight Against High Risk Eurasian Criminal Networks (EURASIAN OC). </w:t>
      </w:r>
      <w:hyperlink r:id="rId43" w:history="1">
        <w:r w:rsidRPr="00D711B1">
          <w:rPr>
            <w:rStyle w:val="Hipersaite"/>
          </w:rPr>
          <w:t>&lt;Saite&gt;</w:t>
        </w:r>
      </w:hyperlink>
    </w:p>
  </w:footnote>
  <w:footnote w:id="67">
    <w:p w14:paraId="42AA9AE2" w14:textId="1B82C440" w:rsidR="00EE780C" w:rsidRPr="00D711B1" w:rsidRDefault="00EE780C" w:rsidP="00AE57B6">
      <w:pPr>
        <w:pStyle w:val="Vresteksts"/>
        <w:spacing w:before="0" w:line="240" w:lineRule="auto"/>
      </w:pPr>
      <w:r w:rsidRPr="00D711B1">
        <w:rPr>
          <w:rStyle w:val="Vresatsauce"/>
        </w:rPr>
        <w:footnoteRef/>
      </w:r>
      <w:r w:rsidRPr="00D711B1">
        <w:t xml:space="preserve"> </w:t>
      </w:r>
      <w:r w:rsidR="00B471DC" w:rsidRPr="00D711B1">
        <w:t>European</w:t>
      </w:r>
      <w:r w:rsidR="00156855" w:rsidRPr="00D711B1">
        <w:t xml:space="preserve"> Commission. ANNEX to the COMMISSION IMPLEMENTING DECISION </w:t>
      </w:r>
      <w:r w:rsidR="00533CB6" w:rsidRPr="00D711B1">
        <w:t>concerning the adoption of the work programme for 2016 and the financing for Union actions and emergency assistance within the framework of the Internal Security Fund – the instrument for financial support for police cooperation, preventing and combating crime, and crisis management</w:t>
      </w:r>
      <w:r w:rsidR="00156855" w:rsidRPr="00D711B1">
        <w:t xml:space="preserve">. </w:t>
      </w:r>
      <w:hyperlink r:id="rId44" w:history="1">
        <w:r w:rsidR="00156855" w:rsidRPr="00D711B1">
          <w:rPr>
            <w:rStyle w:val="Hipersaite"/>
          </w:rPr>
          <w:t>&lt;Saite&gt;</w:t>
        </w:r>
      </w:hyperlink>
    </w:p>
  </w:footnote>
  <w:footnote w:id="68">
    <w:p w14:paraId="76525AFA" w14:textId="6DBCB17F" w:rsidR="00DD72C6" w:rsidRPr="00D711B1" w:rsidRDefault="00DD72C6" w:rsidP="00AE57B6">
      <w:pPr>
        <w:pStyle w:val="Vresteksts"/>
        <w:spacing w:before="0" w:line="240" w:lineRule="auto"/>
      </w:pPr>
      <w:r w:rsidRPr="00D711B1">
        <w:rPr>
          <w:rStyle w:val="Vresatsauce"/>
        </w:rPr>
        <w:footnoteRef/>
      </w:r>
      <w:r w:rsidRPr="00D711B1">
        <w:t xml:space="preserve"> </w:t>
      </w:r>
      <w:r w:rsidR="00B471DC" w:rsidRPr="00D711B1">
        <w:t>European</w:t>
      </w:r>
      <w:r w:rsidRPr="00D711B1">
        <w:t xml:space="preserve"> Commission. ANNEX to the COMMISSION IMPLEMENTING DECISION of 4.10.2018 concerning the adoption of the work programme for 2018 and the financing for Union actions and emergency assistance within the framework of the Internal Security Fund – the instrument for financial support for police cooperation, preventing and combating crime, and crisis management </w:t>
      </w:r>
      <w:hyperlink r:id="rId45" w:history="1">
        <w:r w:rsidRPr="00D711B1">
          <w:rPr>
            <w:rStyle w:val="Hipersaite"/>
          </w:rPr>
          <w:t>&lt;Saite&gt;</w:t>
        </w:r>
      </w:hyperlink>
    </w:p>
  </w:footnote>
  <w:footnote w:id="69">
    <w:p w14:paraId="46651254" w14:textId="77777777" w:rsidR="00DD72C6" w:rsidRPr="00D711B1" w:rsidRDefault="00DD72C6" w:rsidP="00AE57B6">
      <w:pPr>
        <w:pStyle w:val="Vresteksts"/>
        <w:spacing w:before="0" w:line="240" w:lineRule="auto"/>
      </w:pPr>
      <w:r w:rsidRPr="00D711B1">
        <w:rPr>
          <w:rStyle w:val="Vresatsauce"/>
        </w:rPr>
        <w:footnoteRef/>
      </w:r>
      <w:r w:rsidRPr="00D711B1">
        <w:t xml:space="preserve"> </w:t>
      </w:r>
      <w:r w:rsidRPr="00D711B1">
        <w:t>EU Funding &amp; Tenders Portal.</w:t>
      </w:r>
      <w:r w:rsidRPr="00D711B1">
        <w:rPr>
          <w:rFonts w:ascii="Arial" w:hAnsi="Arial" w:cs="Arial"/>
          <w:color w:val="303030"/>
          <w:sz w:val="42"/>
          <w:szCs w:val="42"/>
          <w:shd w:val="clear" w:color="auto" w:fill="FCFCFD"/>
        </w:rPr>
        <w:t xml:space="preserve"> </w:t>
      </w:r>
      <w:r w:rsidRPr="00D711B1">
        <w:t xml:space="preserve">Operation Facility for fighting illicit waste trafficking (OPFA-WASTE), </w:t>
      </w:r>
      <w:hyperlink r:id="rId46" w:history="1">
        <w:r w:rsidRPr="00D711B1">
          <w:rPr>
            <w:rStyle w:val="Hipersaite"/>
          </w:rPr>
          <w:t>&lt;Saite&gt;</w:t>
        </w:r>
      </w:hyperlink>
    </w:p>
  </w:footnote>
  <w:footnote w:id="70">
    <w:p w14:paraId="20362B79" w14:textId="77777777" w:rsidR="00DA3D0C" w:rsidRPr="00D711B1" w:rsidRDefault="00DA3D0C" w:rsidP="00AE57B6">
      <w:pPr>
        <w:pStyle w:val="Vresteksts"/>
        <w:spacing w:before="0" w:line="240" w:lineRule="auto"/>
      </w:pPr>
      <w:r w:rsidRPr="00D711B1">
        <w:rPr>
          <w:rStyle w:val="Vresatsauce"/>
        </w:rPr>
        <w:footnoteRef/>
      </w:r>
      <w:r w:rsidRPr="00D711B1">
        <w:t xml:space="preserve"> </w:t>
      </w:r>
      <w:r w:rsidRPr="00D711B1">
        <w:t>EU Funding &amp; Tenders Portal.</w:t>
      </w:r>
      <w:r w:rsidRPr="00D711B1">
        <w:rPr>
          <w:rFonts w:ascii="Arial" w:hAnsi="Arial" w:cs="Arial"/>
          <w:color w:val="303030"/>
          <w:sz w:val="42"/>
          <w:szCs w:val="42"/>
          <w:shd w:val="clear" w:color="auto" w:fill="FCFCFD"/>
        </w:rPr>
        <w:t xml:space="preserve"> </w:t>
      </w:r>
      <w:r w:rsidRPr="00D711B1">
        <w:t xml:space="preserve">Increasing Capacity of Baltic State to Stimulate the Exchange of Forensic Data via Prüm. </w:t>
      </w:r>
      <w:hyperlink r:id="rId47" w:history="1">
        <w:r w:rsidRPr="00D711B1">
          <w:rPr>
            <w:rStyle w:val="Hipersaite"/>
          </w:rPr>
          <w:t>&lt;Saite&gt;</w:t>
        </w:r>
      </w:hyperlink>
    </w:p>
  </w:footnote>
  <w:footnote w:id="71">
    <w:p w14:paraId="755C8ADF" w14:textId="3614B584" w:rsidR="00DA3D0C" w:rsidRPr="00D711B1" w:rsidRDefault="00DA3D0C" w:rsidP="00AE57B6">
      <w:pPr>
        <w:pStyle w:val="Vresteksts"/>
        <w:spacing w:before="0" w:line="240" w:lineRule="auto"/>
      </w:pPr>
      <w:r w:rsidRPr="00D711B1">
        <w:rPr>
          <w:rStyle w:val="Vresatsauce"/>
        </w:rPr>
        <w:footnoteRef/>
      </w:r>
      <w:r w:rsidRPr="00D711B1">
        <w:t xml:space="preserve"> </w:t>
      </w:r>
      <w:r w:rsidR="00B471DC" w:rsidRPr="00D711B1">
        <w:t>European</w:t>
      </w:r>
      <w:r w:rsidRPr="00D711B1">
        <w:t xml:space="preserve"> Commission. ANNEX to the COMMISSION IMPLEMENTING DECISION of 6.6.2019 on the financing of Union actions and emergency assistance in the framework of the Internal Security Fund – the instrument for financial support for police cooperation, preventing and combating crime, and crisis management and the adoption of the work programme for 2019 </w:t>
      </w:r>
      <w:hyperlink r:id="rId48" w:history="1">
        <w:r w:rsidRPr="00D711B1">
          <w:rPr>
            <w:rStyle w:val="Hipersaite"/>
          </w:rPr>
          <w:t>&lt;Saite&gt;</w:t>
        </w:r>
      </w:hyperlink>
    </w:p>
  </w:footnote>
  <w:footnote w:id="72">
    <w:p w14:paraId="49E840C6" w14:textId="7777777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Implementation report ISF. Latvija National Programme ISF. Version 2018.1.</w:t>
      </w:r>
    </w:p>
  </w:footnote>
  <w:footnote w:id="73">
    <w:p w14:paraId="58BA8F94" w14:textId="7777777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EEA and Norway grants. Par programmu. </w:t>
      </w:r>
      <w:hyperlink r:id="rId49" w:history="1">
        <w:r w:rsidRPr="00D711B1">
          <w:rPr>
            <w:rStyle w:val="Hipersaite"/>
          </w:rPr>
          <w:t>&lt;Saite&gt;</w:t>
        </w:r>
      </w:hyperlink>
    </w:p>
  </w:footnote>
  <w:footnote w:id="74">
    <w:p w14:paraId="2CC592D8" w14:textId="3C1E4422"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Valsts policija. Nr.EEZ/VP/2020/1 Atbalsts Valsts policijai ekonomisko noziegumu izmeklēšanas paātrināšanai un kvalitātes uzlabošanai Latvijā. </w:t>
      </w:r>
      <w:hyperlink r:id="rId50" w:history="1">
        <w:r w:rsidRPr="00D711B1">
          <w:rPr>
            <w:rStyle w:val="Hipersaite"/>
          </w:rPr>
          <w:t>&lt;Saite&gt;</w:t>
        </w:r>
      </w:hyperlink>
    </w:p>
  </w:footnote>
  <w:footnote w:id="75">
    <w:p w14:paraId="329F4010" w14:textId="3F8AA14B"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Valsts policija. Nr. EEZ/TM/2022/7 Tiesu ekspertīžu sistēmas un notikumu vietas apskates kapacitātes stiprināšana. </w:t>
      </w:r>
      <w:hyperlink r:id="rId51" w:history="1">
        <w:r w:rsidRPr="00D711B1">
          <w:rPr>
            <w:rStyle w:val="Hipersaite"/>
          </w:rPr>
          <w:t>&lt;Saite&gt;</w:t>
        </w:r>
      </w:hyperlink>
    </w:p>
  </w:footnote>
  <w:footnote w:id="76">
    <w:p w14:paraId="5F521FCC" w14:textId="59B8D2EF"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VID. Eiropas Ekonomikas zonas granta projekti. </w:t>
      </w:r>
      <w:hyperlink r:id="rId52" w:history="1">
        <w:r w:rsidRPr="00D711B1">
          <w:rPr>
            <w:rStyle w:val="Hipersaite"/>
          </w:rPr>
          <w:t>&lt;Saite&gt;</w:t>
        </w:r>
      </w:hyperlink>
    </w:p>
  </w:footnote>
  <w:footnote w:id="77">
    <w:p w14:paraId="40942CC4" w14:textId="2E9D7BA3"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Interreg V-A Latvia – Lithuania Programme 2014-2020. About the programme. </w:t>
      </w:r>
      <w:hyperlink r:id="rId53" w:history="1">
        <w:r w:rsidRPr="00D711B1">
          <w:rPr>
            <w:rStyle w:val="Hipersaite"/>
          </w:rPr>
          <w:t>&lt;Saite&gt;</w:t>
        </w:r>
      </w:hyperlink>
    </w:p>
  </w:footnote>
  <w:footnote w:id="78">
    <w:p w14:paraId="1EF653F8" w14:textId="7777777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VUGD. “CBRN negadījumu seku likvidēšana un piesārņojuma mazināšana Latvijas – Lietuvas pierobežā” (ATOM, LLI-195). </w:t>
      </w:r>
      <w:hyperlink r:id="rId54" w:history="1">
        <w:r w:rsidRPr="00D711B1">
          <w:rPr>
            <w:rStyle w:val="Hipersaite"/>
          </w:rPr>
          <w:t>&lt;Saite&gt;</w:t>
        </w:r>
      </w:hyperlink>
    </w:p>
  </w:footnote>
  <w:footnote w:id="79">
    <w:p w14:paraId="1AD28124" w14:textId="77777777"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VUGD. Latvijas – Lietuvas pārrobežu sadarbības programmas ietvaros Valsts ugunsdzēsības un glābšanas dienests īsteno projektu "Vides risku pārvaldības resursu pilnveidošana pierobežas reģionā, lai efektīvi veiktu vides aizsardzības pasākumus'' (DERMR, LLI-232). </w:t>
      </w:r>
      <w:hyperlink r:id="rId55" w:history="1">
        <w:r w:rsidRPr="00D711B1">
          <w:rPr>
            <w:rStyle w:val="Hipersaite"/>
          </w:rPr>
          <w:t>&lt;Saite&gt;</w:t>
        </w:r>
      </w:hyperlink>
    </w:p>
  </w:footnote>
  <w:footnote w:id="80">
    <w:p w14:paraId="484DEE65" w14:textId="0B4B582C"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Valsts policija. Latvijas-Lietuvas programmas projekts "Sinerģiskas drošības platformas izveide Austrumlatvijas un Lietuvas pierobežā"/ “SYNERGY FOR SECURITY. </w:t>
      </w:r>
      <w:hyperlink r:id="rId56" w:history="1">
        <w:r w:rsidRPr="00D711B1">
          <w:rPr>
            <w:rStyle w:val="Hipersaite"/>
          </w:rPr>
          <w:t>&lt;Saite&gt;</w:t>
        </w:r>
      </w:hyperlink>
    </w:p>
  </w:footnote>
  <w:footnote w:id="81">
    <w:p w14:paraId="4146EE87" w14:textId="53982576"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Valsts policija. Latvijas un Lietuvas policiju K9 kapacitātes stiprināšana Latvijas un Lietuvas pierobežas teritorijās. </w:t>
      </w:r>
      <w:hyperlink r:id="rId57" w:history="1">
        <w:r w:rsidRPr="00D711B1">
          <w:rPr>
            <w:rStyle w:val="Hipersaite"/>
          </w:rPr>
          <w:t>&lt;Saite&gt;</w:t>
        </w:r>
      </w:hyperlink>
    </w:p>
  </w:footnote>
  <w:footnote w:id="82">
    <w:p w14:paraId="4926F7DB" w14:textId="02E44DD1" w:rsidR="00B76001" w:rsidRPr="00D711B1" w:rsidRDefault="00B76001" w:rsidP="00AE57B6">
      <w:pPr>
        <w:pStyle w:val="Vresteksts"/>
        <w:spacing w:before="0" w:line="240" w:lineRule="auto"/>
      </w:pPr>
      <w:r w:rsidRPr="00D711B1">
        <w:rPr>
          <w:rStyle w:val="Vresatsauce"/>
        </w:rPr>
        <w:footnoteRef/>
      </w:r>
      <w:r w:rsidRPr="00D711B1">
        <w:t xml:space="preserve"> </w:t>
      </w:r>
      <w:r w:rsidRPr="00D711B1">
        <w:t xml:space="preserve">Valsts policija. Apvārsnis 2020. </w:t>
      </w:r>
      <w:hyperlink r:id="rId58" w:history="1">
        <w:r w:rsidRPr="00D711B1">
          <w:rPr>
            <w:rStyle w:val="Hipersaite"/>
          </w:rPr>
          <w:t>&lt;Saite&gt;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71B1" w14:textId="77777777" w:rsidR="00B76001" w:rsidRPr="009E0301" w:rsidRDefault="00B76001">
    <w:pPr>
      <w:pStyle w:val="Galvene"/>
    </w:pPr>
    <w:r w:rsidRPr="009E0301">
      <w:rPr>
        <w:noProof/>
      </w:rPr>
      <w:drawing>
        <wp:anchor distT="0" distB="0" distL="114300" distR="114300" simplePos="0" relativeHeight="251658240" behindDoc="1" locked="1" layoutInCell="1" allowOverlap="1" wp14:anchorId="1F443B7A" wp14:editId="17AA792F">
          <wp:simplePos x="519545" y="457200"/>
          <wp:positionH relativeFrom="page">
            <wp:align>left</wp:align>
          </wp:positionH>
          <wp:positionV relativeFrom="page">
            <wp:align>bottom</wp:align>
          </wp:positionV>
          <wp:extent cx="7563600" cy="10695600"/>
          <wp:effectExtent l="0" t="0" r="0" b="0"/>
          <wp:wrapNone/>
          <wp:docPr id="1915218202" name="Picture 125902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22288" name="Picture 651322288"/>
                  <pic:cNvPicPr/>
                </pic:nvPicPr>
                <pic:blipFill>
                  <a:blip r:embed="rId1"/>
                  <a:stretch>
                    <a:fillRect/>
                  </a:stretch>
                </pic:blipFill>
                <pic:spPr>
                  <a:xfrm>
                    <a:off x="0" y="0"/>
                    <a:ext cx="75636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9948D60E"/>
    <w:lvl w:ilvl="0">
      <w:start w:val="1"/>
      <w:numFmt w:val="bullet"/>
      <w:pStyle w:val="Sarakstaaizzme5"/>
      <w:lvlText w:val="–"/>
      <w:lvlJc w:val="left"/>
      <w:pPr>
        <w:ind w:left="1721" w:hanging="360"/>
      </w:pPr>
      <w:rPr>
        <w:rFonts w:ascii="Arial Black" w:hAnsi="Arial Black" w:hint="default"/>
        <w:color w:val="auto"/>
      </w:rPr>
    </w:lvl>
  </w:abstractNum>
  <w:abstractNum w:abstractNumId="1" w15:restartNumberingAfterBreak="0">
    <w:nsid w:val="FFFFFF81"/>
    <w:multiLevelType w:val="singleLevel"/>
    <w:tmpl w:val="8EF4C65C"/>
    <w:lvl w:ilvl="0">
      <w:start w:val="1"/>
      <w:numFmt w:val="bullet"/>
      <w:pStyle w:val="Sarakstaaizzme4"/>
      <w:lvlText w:val="–"/>
      <w:lvlJc w:val="left"/>
      <w:pPr>
        <w:ind w:left="1381" w:hanging="360"/>
      </w:pPr>
      <w:rPr>
        <w:rFonts w:ascii="Arial Black" w:hAnsi="Arial Black" w:hint="default"/>
        <w:color w:val="auto"/>
      </w:rPr>
    </w:lvl>
  </w:abstractNum>
  <w:abstractNum w:abstractNumId="2" w15:restartNumberingAfterBreak="0">
    <w:nsid w:val="FFFFFF82"/>
    <w:multiLevelType w:val="singleLevel"/>
    <w:tmpl w:val="394CA79A"/>
    <w:lvl w:ilvl="0">
      <w:start w:val="1"/>
      <w:numFmt w:val="bullet"/>
      <w:pStyle w:val="Sarakstaaizzme3"/>
      <w:lvlText w:val="–"/>
      <w:lvlJc w:val="left"/>
      <w:pPr>
        <w:ind w:left="1040" w:hanging="360"/>
      </w:pPr>
      <w:rPr>
        <w:rFonts w:ascii="Arial Black" w:hAnsi="Arial Black" w:hint="default"/>
        <w:color w:val="auto"/>
      </w:rPr>
    </w:lvl>
  </w:abstractNum>
  <w:abstractNum w:abstractNumId="3" w15:restartNumberingAfterBreak="0">
    <w:nsid w:val="FFFFFF83"/>
    <w:multiLevelType w:val="singleLevel"/>
    <w:tmpl w:val="E50452DC"/>
    <w:lvl w:ilvl="0">
      <w:start w:val="1"/>
      <w:numFmt w:val="bullet"/>
      <w:pStyle w:val="Sarakstaaizzme2"/>
      <w:lvlText w:val="⁄"/>
      <w:lvlJc w:val="left"/>
      <w:pPr>
        <w:ind w:left="700" w:hanging="360"/>
      </w:pPr>
      <w:rPr>
        <w:rFonts w:ascii="Montserrat Black" w:hAnsi="Montserrat Black" w:hint="default"/>
        <w:color w:val="auto"/>
      </w:rPr>
    </w:lvl>
  </w:abstractNum>
  <w:abstractNum w:abstractNumId="4" w15:restartNumberingAfterBreak="0">
    <w:nsid w:val="FFFFFF89"/>
    <w:multiLevelType w:val="singleLevel"/>
    <w:tmpl w:val="0CC2BAFC"/>
    <w:lvl w:ilvl="0">
      <w:start w:val="1"/>
      <w:numFmt w:val="bullet"/>
      <w:pStyle w:val="Sarakstaaizzme"/>
      <w:lvlText w:val="¡"/>
      <w:lvlJc w:val="left"/>
      <w:pPr>
        <w:ind w:left="360" w:hanging="360"/>
      </w:pPr>
      <w:rPr>
        <w:rFonts w:ascii="Wingdings 2" w:hAnsi="Wingdings 2" w:hint="default"/>
        <w:color w:val="auto"/>
      </w:rPr>
    </w:lvl>
  </w:abstractNum>
  <w:abstractNum w:abstractNumId="5" w15:restartNumberingAfterBreak="0">
    <w:nsid w:val="00000402"/>
    <w:multiLevelType w:val="multilevel"/>
    <w:tmpl w:val="FFFFFFFF"/>
    <w:lvl w:ilvl="0">
      <w:numFmt w:val="bullet"/>
      <w:lvlText w:val=""/>
      <w:lvlJc w:val="left"/>
      <w:pPr>
        <w:ind w:left="824" w:hanging="210"/>
      </w:pPr>
      <w:rPr>
        <w:rFonts w:ascii="Symbol" w:hAnsi="Symbol" w:cs="Symbol"/>
        <w:b w:val="0"/>
        <w:bCs w:val="0"/>
        <w:i w:val="0"/>
        <w:iCs w:val="0"/>
        <w:spacing w:val="0"/>
        <w:w w:val="100"/>
        <w:sz w:val="24"/>
        <w:szCs w:val="24"/>
      </w:rPr>
    </w:lvl>
    <w:lvl w:ilvl="1">
      <w:numFmt w:val="bullet"/>
      <w:lvlText w:val="•"/>
      <w:lvlJc w:val="left"/>
      <w:pPr>
        <w:ind w:left="1818" w:hanging="210"/>
      </w:pPr>
    </w:lvl>
    <w:lvl w:ilvl="2">
      <w:numFmt w:val="bullet"/>
      <w:lvlText w:val="•"/>
      <w:lvlJc w:val="left"/>
      <w:pPr>
        <w:ind w:left="2817" w:hanging="210"/>
      </w:pPr>
    </w:lvl>
    <w:lvl w:ilvl="3">
      <w:numFmt w:val="bullet"/>
      <w:lvlText w:val="•"/>
      <w:lvlJc w:val="left"/>
      <w:pPr>
        <w:ind w:left="3815" w:hanging="210"/>
      </w:pPr>
    </w:lvl>
    <w:lvl w:ilvl="4">
      <w:numFmt w:val="bullet"/>
      <w:lvlText w:val="•"/>
      <w:lvlJc w:val="left"/>
      <w:pPr>
        <w:ind w:left="4814" w:hanging="210"/>
      </w:pPr>
    </w:lvl>
    <w:lvl w:ilvl="5">
      <w:numFmt w:val="bullet"/>
      <w:lvlText w:val="•"/>
      <w:lvlJc w:val="left"/>
      <w:pPr>
        <w:ind w:left="5813" w:hanging="210"/>
      </w:pPr>
    </w:lvl>
    <w:lvl w:ilvl="6">
      <w:numFmt w:val="bullet"/>
      <w:lvlText w:val="•"/>
      <w:lvlJc w:val="left"/>
      <w:pPr>
        <w:ind w:left="6811" w:hanging="210"/>
      </w:pPr>
    </w:lvl>
    <w:lvl w:ilvl="7">
      <w:numFmt w:val="bullet"/>
      <w:lvlText w:val="•"/>
      <w:lvlJc w:val="left"/>
      <w:pPr>
        <w:ind w:left="7810" w:hanging="210"/>
      </w:pPr>
    </w:lvl>
    <w:lvl w:ilvl="8">
      <w:numFmt w:val="bullet"/>
      <w:lvlText w:val="•"/>
      <w:lvlJc w:val="left"/>
      <w:pPr>
        <w:ind w:left="8808" w:hanging="210"/>
      </w:pPr>
    </w:lvl>
  </w:abstractNum>
  <w:abstractNum w:abstractNumId="6" w15:restartNumberingAfterBreak="0">
    <w:nsid w:val="0204073C"/>
    <w:multiLevelType w:val="hybridMultilevel"/>
    <w:tmpl w:val="6138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830F52"/>
    <w:multiLevelType w:val="hybridMultilevel"/>
    <w:tmpl w:val="C332D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7F00B1"/>
    <w:multiLevelType w:val="multilevel"/>
    <w:tmpl w:val="6180E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A165E1"/>
    <w:multiLevelType w:val="hybridMultilevel"/>
    <w:tmpl w:val="D2B06762"/>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6E13A7"/>
    <w:multiLevelType w:val="hybridMultilevel"/>
    <w:tmpl w:val="00DAE7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431CCC"/>
    <w:multiLevelType w:val="hybridMultilevel"/>
    <w:tmpl w:val="F7DC7856"/>
    <w:lvl w:ilvl="0" w:tplc="E878D3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576801"/>
    <w:multiLevelType w:val="hybridMultilevel"/>
    <w:tmpl w:val="C9566A82"/>
    <w:lvl w:ilvl="0" w:tplc="FEB86C9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E32E3C"/>
    <w:multiLevelType w:val="multilevel"/>
    <w:tmpl w:val="C3F4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7C0C43"/>
    <w:multiLevelType w:val="hybridMultilevel"/>
    <w:tmpl w:val="D6145D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91173C"/>
    <w:multiLevelType w:val="multilevel"/>
    <w:tmpl w:val="2414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FF0D6A"/>
    <w:multiLevelType w:val="hybridMultilevel"/>
    <w:tmpl w:val="7B9C8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A11035"/>
    <w:multiLevelType w:val="hybridMultilevel"/>
    <w:tmpl w:val="D0BA0D08"/>
    <w:lvl w:ilvl="0" w:tplc="BF2C76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813A3E"/>
    <w:multiLevelType w:val="multilevel"/>
    <w:tmpl w:val="C20E4A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6619D2"/>
    <w:multiLevelType w:val="hybridMultilevel"/>
    <w:tmpl w:val="6BFA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6A236A"/>
    <w:multiLevelType w:val="hybridMultilevel"/>
    <w:tmpl w:val="C54A267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1" w15:restartNumberingAfterBreak="0">
    <w:nsid w:val="29B66364"/>
    <w:multiLevelType w:val="hybridMultilevel"/>
    <w:tmpl w:val="D7A8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D523FF"/>
    <w:multiLevelType w:val="hybridMultilevel"/>
    <w:tmpl w:val="725A5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E1783A"/>
    <w:multiLevelType w:val="hybridMultilevel"/>
    <w:tmpl w:val="4EC07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F168D5"/>
    <w:multiLevelType w:val="hybridMultilevel"/>
    <w:tmpl w:val="993ABDBA"/>
    <w:lvl w:ilvl="0" w:tplc="0136D416">
      <w:start w:val="1"/>
      <w:numFmt w:val="lowerRoman"/>
      <w:lvlText w:val="%1)"/>
      <w:lvlJc w:val="left"/>
      <w:pPr>
        <w:ind w:left="1080" w:hanging="720"/>
      </w:pPr>
      <w:rPr>
        <w:rFonts w:hint="default"/>
        <w:color w:val="5A5A5A" w:themeColor="text2" w:themeTint="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88752D7"/>
    <w:multiLevelType w:val="multilevel"/>
    <w:tmpl w:val="84B6A9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351430A"/>
    <w:multiLevelType w:val="multilevel"/>
    <w:tmpl w:val="25EE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2E031E"/>
    <w:multiLevelType w:val="multilevel"/>
    <w:tmpl w:val="8D1C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910328"/>
    <w:multiLevelType w:val="multilevel"/>
    <w:tmpl w:val="82C6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98610A"/>
    <w:multiLevelType w:val="hybridMultilevel"/>
    <w:tmpl w:val="14B0ED6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C0257F"/>
    <w:multiLevelType w:val="multilevel"/>
    <w:tmpl w:val="B1662A72"/>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080" w:hanging="1080"/>
      </w:pPr>
      <w:rPr>
        <w:rFonts w:hint="default"/>
        <w:b w:val="0"/>
        <w:bCs w:val="0"/>
        <w:color w:val="909090" w:themeColor="text1" w:themeTint="8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33428E9"/>
    <w:multiLevelType w:val="multilevel"/>
    <w:tmpl w:val="6BB8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E35001"/>
    <w:multiLevelType w:val="hybridMultilevel"/>
    <w:tmpl w:val="ADA045A6"/>
    <w:lvl w:ilvl="0" w:tplc="5E24FD4C">
      <w:start w:val="2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6F4C3A"/>
    <w:multiLevelType w:val="multilevel"/>
    <w:tmpl w:val="085AD3C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4" w15:restartNumberingAfterBreak="0">
    <w:nsid w:val="5A3570DD"/>
    <w:multiLevelType w:val="hybridMultilevel"/>
    <w:tmpl w:val="C694BFD8"/>
    <w:lvl w:ilvl="0" w:tplc="F2D458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4E2FCF"/>
    <w:multiLevelType w:val="hybridMultilevel"/>
    <w:tmpl w:val="408E10C0"/>
    <w:lvl w:ilvl="0" w:tplc="19B4542A">
      <w:start w:val="1"/>
      <w:numFmt w:val="decimal"/>
      <w:pStyle w:val="SectionHead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5D776CF3"/>
    <w:multiLevelType w:val="hybridMultilevel"/>
    <w:tmpl w:val="99C6DF48"/>
    <w:lvl w:ilvl="0" w:tplc="04090001">
      <w:start w:val="1"/>
      <w:numFmt w:val="bullet"/>
      <w:lvlText w:val=""/>
      <w:lvlJc w:val="left"/>
      <w:pPr>
        <w:ind w:left="720" w:hanging="360"/>
      </w:pPr>
      <w:rPr>
        <w:rFonts w:ascii="Symbol" w:hAnsi="Symbol" w:hint="default"/>
      </w:rPr>
    </w:lvl>
    <w:lvl w:ilvl="1" w:tplc="C464D2F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CA7FC4"/>
    <w:multiLevelType w:val="hybridMultilevel"/>
    <w:tmpl w:val="DC7CF938"/>
    <w:lvl w:ilvl="0" w:tplc="A2344034">
      <w:start w:val="1"/>
      <w:numFmt w:val="lowerRoman"/>
      <w:lvlText w:val="%1)"/>
      <w:lvlJc w:val="left"/>
      <w:pPr>
        <w:ind w:left="1004" w:hanging="720"/>
      </w:pPr>
      <w:rPr>
        <w:rFonts w:hint="default"/>
        <w:color w:val="5A5A5A" w:themeColor="text2" w:themeTint="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B37F17"/>
    <w:multiLevelType w:val="hybridMultilevel"/>
    <w:tmpl w:val="16C021C6"/>
    <w:lvl w:ilvl="0" w:tplc="B5EA80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E30C9"/>
    <w:multiLevelType w:val="hybridMultilevel"/>
    <w:tmpl w:val="BDAC0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4431A6"/>
    <w:multiLevelType w:val="hybridMultilevel"/>
    <w:tmpl w:val="B0CAA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443E7"/>
    <w:multiLevelType w:val="hybridMultilevel"/>
    <w:tmpl w:val="6C8E2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A926A5"/>
    <w:multiLevelType w:val="multilevel"/>
    <w:tmpl w:val="9D5A236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CFC13FA"/>
    <w:multiLevelType w:val="hybridMultilevel"/>
    <w:tmpl w:val="295E6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3085502">
    <w:abstractNumId w:val="4"/>
  </w:num>
  <w:num w:numId="2" w16cid:durableId="886382590">
    <w:abstractNumId w:val="3"/>
  </w:num>
  <w:num w:numId="3" w16cid:durableId="463423112">
    <w:abstractNumId w:val="2"/>
  </w:num>
  <w:num w:numId="4" w16cid:durableId="1702243924">
    <w:abstractNumId w:val="1"/>
  </w:num>
  <w:num w:numId="5" w16cid:durableId="1941595674">
    <w:abstractNumId w:val="0"/>
  </w:num>
  <w:num w:numId="6" w16cid:durableId="1951931921">
    <w:abstractNumId w:val="35"/>
  </w:num>
  <w:num w:numId="7" w16cid:durableId="354426650">
    <w:abstractNumId w:val="30"/>
  </w:num>
  <w:num w:numId="8" w16cid:durableId="1316103615">
    <w:abstractNumId w:val="43"/>
  </w:num>
  <w:num w:numId="9" w16cid:durableId="1522358662">
    <w:abstractNumId w:val="41"/>
  </w:num>
  <w:num w:numId="10" w16cid:durableId="953370428">
    <w:abstractNumId w:val="22"/>
  </w:num>
  <w:num w:numId="11" w16cid:durableId="1718049415">
    <w:abstractNumId w:val="19"/>
  </w:num>
  <w:num w:numId="12" w16cid:durableId="1371147387">
    <w:abstractNumId w:val="39"/>
  </w:num>
  <w:num w:numId="13" w16cid:durableId="330526106">
    <w:abstractNumId w:val="5"/>
  </w:num>
  <w:num w:numId="14" w16cid:durableId="565843375">
    <w:abstractNumId w:val="36"/>
  </w:num>
  <w:num w:numId="15" w16cid:durableId="206112607">
    <w:abstractNumId w:val="37"/>
  </w:num>
  <w:num w:numId="16" w16cid:durableId="1613855118">
    <w:abstractNumId w:val="38"/>
  </w:num>
  <w:num w:numId="17" w16cid:durableId="1727143827">
    <w:abstractNumId w:val="12"/>
  </w:num>
  <w:num w:numId="18" w16cid:durableId="241839681">
    <w:abstractNumId w:val="11"/>
  </w:num>
  <w:num w:numId="19" w16cid:durableId="1802528692">
    <w:abstractNumId w:val="34"/>
  </w:num>
  <w:num w:numId="20" w16cid:durableId="1182016316">
    <w:abstractNumId w:val="24"/>
  </w:num>
  <w:num w:numId="21" w16cid:durableId="843132525">
    <w:abstractNumId w:val="14"/>
  </w:num>
  <w:num w:numId="22" w16cid:durableId="185295825">
    <w:abstractNumId w:val="9"/>
  </w:num>
  <w:num w:numId="23" w16cid:durableId="794103052">
    <w:abstractNumId w:val="29"/>
  </w:num>
  <w:num w:numId="24" w16cid:durableId="1379478829">
    <w:abstractNumId w:val="10"/>
  </w:num>
  <w:num w:numId="25" w16cid:durableId="560404401">
    <w:abstractNumId w:val="32"/>
  </w:num>
  <w:num w:numId="26" w16cid:durableId="2101563326">
    <w:abstractNumId w:val="25"/>
  </w:num>
  <w:num w:numId="27" w16cid:durableId="850724322">
    <w:abstractNumId w:val="26"/>
  </w:num>
  <w:num w:numId="28" w16cid:durableId="1973097971">
    <w:abstractNumId w:val="15"/>
  </w:num>
  <w:num w:numId="29" w16cid:durableId="1509296552">
    <w:abstractNumId w:val="6"/>
  </w:num>
  <w:num w:numId="30" w16cid:durableId="484057403">
    <w:abstractNumId w:val="33"/>
  </w:num>
  <w:num w:numId="31" w16cid:durableId="1751849207">
    <w:abstractNumId w:val="17"/>
  </w:num>
  <w:num w:numId="32" w16cid:durableId="512497529">
    <w:abstractNumId w:val="8"/>
  </w:num>
  <w:num w:numId="33" w16cid:durableId="606234352">
    <w:abstractNumId w:val="23"/>
  </w:num>
  <w:num w:numId="34" w16cid:durableId="562302630">
    <w:abstractNumId w:val="7"/>
  </w:num>
  <w:num w:numId="35" w16cid:durableId="116797009">
    <w:abstractNumId w:val="20"/>
  </w:num>
  <w:num w:numId="36" w16cid:durableId="1663386264">
    <w:abstractNumId w:val="31"/>
  </w:num>
  <w:num w:numId="37" w16cid:durableId="1721518707">
    <w:abstractNumId w:val="13"/>
  </w:num>
  <w:num w:numId="38" w16cid:durableId="896355365">
    <w:abstractNumId w:val="27"/>
  </w:num>
  <w:num w:numId="39" w16cid:durableId="174538006">
    <w:abstractNumId w:val="28"/>
  </w:num>
  <w:num w:numId="40" w16cid:durableId="220950342">
    <w:abstractNumId w:val="16"/>
  </w:num>
  <w:num w:numId="41" w16cid:durableId="1379549744">
    <w:abstractNumId w:val="40"/>
  </w:num>
  <w:num w:numId="42" w16cid:durableId="1943218721">
    <w:abstractNumId w:val="42"/>
  </w:num>
  <w:num w:numId="43" w16cid:durableId="624241981">
    <w:abstractNumId w:val="21"/>
  </w:num>
  <w:num w:numId="44" w16cid:durableId="2121293914">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4C"/>
    <w:rsid w:val="0000000B"/>
    <w:rsid w:val="000006B8"/>
    <w:rsid w:val="00000877"/>
    <w:rsid w:val="00001286"/>
    <w:rsid w:val="0000156A"/>
    <w:rsid w:val="000015CF"/>
    <w:rsid w:val="00001968"/>
    <w:rsid w:val="00001ACD"/>
    <w:rsid w:val="00001CC2"/>
    <w:rsid w:val="00001D07"/>
    <w:rsid w:val="00001E52"/>
    <w:rsid w:val="000020AA"/>
    <w:rsid w:val="0000211E"/>
    <w:rsid w:val="0000217F"/>
    <w:rsid w:val="00002503"/>
    <w:rsid w:val="000026F6"/>
    <w:rsid w:val="000027A9"/>
    <w:rsid w:val="00002862"/>
    <w:rsid w:val="00002A11"/>
    <w:rsid w:val="00002F98"/>
    <w:rsid w:val="000030A3"/>
    <w:rsid w:val="000031A4"/>
    <w:rsid w:val="000032F9"/>
    <w:rsid w:val="000033A4"/>
    <w:rsid w:val="0000343A"/>
    <w:rsid w:val="000035DE"/>
    <w:rsid w:val="0000363F"/>
    <w:rsid w:val="00003736"/>
    <w:rsid w:val="0000374A"/>
    <w:rsid w:val="000038FD"/>
    <w:rsid w:val="00003916"/>
    <w:rsid w:val="00003B54"/>
    <w:rsid w:val="00003D1D"/>
    <w:rsid w:val="00003D27"/>
    <w:rsid w:val="00003D35"/>
    <w:rsid w:val="00003ED5"/>
    <w:rsid w:val="00003F55"/>
    <w:rsid w:val="00003F70"/>
    <w:rsid w:val="0000434C"/>
    <w:rsid w:val="000043E4"/>
    <w:rsid w:val="00004733"/>
    <w:rsid w:val="000047B9"/>
    <w:rsid w:val="000047DE"/>
    <w:rsid w:val="00004BA9"/>
    <w:rsid w:val="00004C86"/>
    <w:rsid w:val="00005102"/>
    <w:rsid w:val="000051AC"/>
    <w:rsid w:val="0000532B"/>
    <w:rsid w:val="000056A5"/>
    <w:rsid w:val="000056B5"/>
    <w:rsid w:val="000057C2"/>
    <w:rsid w:val="00005825"/>
    <w:rsid w:val="00005BEE"/>
    <w:rsid w:val="00005C4A"/>
    <w:rsid w:val="00005D62"/>
    <w:rsid w:val="00005D63"/>
    <w:rsid w:val="00005EEE"/>
    <w:rsid w:val="00005FA2"/>
    <w:rsid w:val="00006045"/>
    <w:rsid w:val="00006057"/>
    <w:rsid w:val="000062FA"/>
    <w:rsid w:val="000063EF"/>
    <w:rsid w:val="0000664A"/>
    <w:rsid w:val="0000679A"/>
    <w:rsid w:val="000067E3"/>
    <w:rsid w:val="0000681D"/>
    <w:rsid w:val="000068B5"/>
    <w:rsid w:val="0000696F"/>
    <w:rsid w:val="00006A72"/>
    <w:rsid w:val="00006AD2"/>
    <w:rsid w:val="00006B3C"/>
    <w:rsid w:val="00006FC3"/>
    <w:rsid w:val="0000720A"/>
    <w:rsid w:val="00007220"/>
    <w:rsid w:val="000074F6"/>
    <w:rsid w:val="000076B0"/>
    <w:rsid w:val="00007839"/>
    <w:rsid w:val="000078C3"/>
    <w:rsid w:val="00007B7C"/>
    <w:rsid w:val="00007C81"/>
    <w:rsid w:val="00007C8F"/>
    <w:rsid w:val="00007F42"/>
    <w:rsid w:val="00010063"/>
    <w:rsid w:val="00010108"/>
    <w:rsid w:val="00010181"/>
    <w:rsid w:val="000102D3"/>
    <w:rsid w:val="00010427"/>
    <w:rsid w:val="00010687"/>
    <w:rsid w:val="000106EC"/>
    <w:rsid w:val="00010971"/>
    <w:rsid w:val="00010A00"/>
    <w:rsid w:val="00010A90"/>
    <w:rsid w:val="00010DDE"/>
    <w:rsid w:val="00010DED"/>
    <w:rsid w:val="00010F3F"/>
    <w:rsid w:val="00011211"/>
    <w:rsid w:val="00011241"/>
    <w:rsid w:val="000112AB"/>
    <w:rsid w:val="0001138B"/>
    <w:rsid w:val="00011670"/>
    <w:rsid w:val="000116F9"/>
    <w:rsid w:val="00011745"/>
    <w:rsid w:val="00011B8F"/>
    <w:rsid w:val="00011BA1"/>
    <w:rsid w:val="00012602"/>
    <w:rsid w:val="00012705"/>
    <w:rsid w:val="00012EEC"/>
    <w:rsid w:val="0001300B"/>
    <w:rsid w:val="00013091"/>
    <w:rsid w:val="0001326D"/>
    <w:rsid w:val="00013352"/>
    <w:rsid w:val="00013400"/>
    <w:rsid w:val="000138B0"/>
    <w:rsid w:val="000138EC"/>
    <w:rsid w:val="0001399D"/>
    <w:rsid w:val="00013B1C"/>
    <w:rsid w:val="00013B27"/>
    <w:rsid w:val="00013BD6"/>
    <w:rsid w:val="00013EC0"/>
    <w:rsid w:val="0001438E"/>
    <w:rsid w:val="000146F3"/>
    <w:rsid w:val="000147CA"/>
    <w:rsid w:val="0001492A"/>
    <w:rsid w:val="00014A99"/>
    <w:rsid w:val="00014CF9"/>
    <w:rsid w:val="00014E3D"/>
    <w:rsid w:val="000151C5"/>
    <w:rsid w:val="000152F5"/>
    <w:rsid w:val="00015509"/>
    <w:rsid w:val="000157A1"/>
    <w:rsid w:val="00016003"/>
    <w:rsid w:val="000160D4"/>
    <w:rsid w:val="000160F4"/>
    <w:rsid w:val="0001614B"/>
    <w:rsid w:val="0001629B"/>
    <w:rsid w:val="000163CC"/>
    <w:rsid w:val="0001656F"/>
    <w:rsid w:val="00016A32"/>
    <w:rsid w:val="00016E6A"/>
    <w:rsid w:val="000172F7"/>
    <w:rsid w:val="0001766D"/>
    <w:rsid w:val="00017CD6"/>
    <w:rsid w:val="00017D8A"/>
    <w:rsid w:val="000200CF"/>
    <w:rsid w:val="00020117"/>
    <w:rsid w:val="00020447"/>
    <w:rsid w:val="00020741"/>
    <w:rsid w:val="000209FC"/>
    <w:rsid w:val="00020A9F"/>
    <w:rsid w:val="00020E43"/>
    <w:rsid w:val="00020EBE"/>
    <w:rsid w:val="00020F12"/>
    <w:rsid w:val="00020F68"/>
    <w:rsid w:val="0002102C"/>
    <w:rsid w:val="0002102D"/>
    <w:rsid w:val="00021330"/>
    <w:rsid w:val="000213F1"/>
    <w:rsid w:val="00021775"/>
    <w:rsid w:val="000219F6"/>
    <w:rsid w:val="00021C5C"/>
    <w:rsid w:val="00021CF1"/>
    <w:rsid w:val="000220C6"/>
    <w:rsid w:val="000223E9"/>
    <w:rsid w:val="000224AC"/>
    <w:rsid w:val="00022635"/>
    <w:rsid w:val="00022809"/>
    <w:rsid w:val="00022910"/>
    <w:rsid w:val="00022A96"/>
    <w:rsid w:val="00022E10"/>
    <w:rsid w:val="00022F2B"/>
    <w:rsid w:val="00023753"/>
    <w:rsid w:val="000237C0"/>
    <w:rsid w:val="0002389E"/>
    <w:rsid w:val="0002396E"/>
    <w:rsid w:val="00023D4E"/>
    <w:rsid w:val="00023DFB"/>
    <w:rsid w:val="00023ED6"/>
    <w:rsid w:val="00024A05"/>
    <w:rsid w:val="00024A45"/>
    <w:rsid w:val="00024AFF"/>
    <w:rsid w:val="00024BFA"/>
    <w:rsid w:val="00024D75"/>
    <w:rsid w:val="00025223"/>
    <w:rsid w:val="000257B5"/>
    <w:rsid w:val="00025897"/>
    <w:rsid w:val="0002593D"/>
    <w:rsid w:val="00025AB9"/>
    <w:rsid w:val="00025BAA"/>
    <w:rsid w:val="00025D06"/>
    <w:rsid w:val="00025E34"/>
    <w:rsid w:val="0002653C"/>
    <w:rsid w:val="00026652"/>
    <w:rsid w:val="00026663"/>
    <w:rsid w:val="00026A96"/>
    <w:rsid w:val="00026BF5"/>
    <w:rsid w:val="00026CF3"/>
    <w:rsid w:val="00026D01"/>
    <w:rsid w:val="00026D18"/>
    <w:rsid w:val="000270D3"/>
    <w:rsid w:val="000270F4"/>
    <w:rsid w:val="00027327"/>
    <w:rsid w:val="00027467"/>
    <w:rsid w:val="0002762B"/>
    <w:rsid w:val="000276B6"/>
    <w:rsid w:val="000278EA"/>
    <w:rsid w:val="0002799F"/>
    <w:rsid w:val="00027D33"/>
    <w:rsid w:val="00027F6C"/>
    <w:rsid w:val="00030353"/>
    <w:rsid w:val="0003048C"/>
    <w:rsid w:val="000306A0"/>
    <w:rsid w:val="00030911"/>
    <w:rsid w:val="00030927"/>
    <w:rsid w:val="00030ABA"/>
    <w:rsid w:val="00030BB0"/>
    <w:rsid w:val="00030D68"/>
    <w:rsid w:val="00031360"/>
    <w:rsid w:val="00031433"/>
    <w:rsid w:val="000317B6"/>
    <w:rsid w:val="00031F27"/>
    <w:rsid w:val="00032030"/>
    <w:rsid w:val="0003239B"/>
    <w:rsid w:val="000325B2"/>
    <w:rsid w:val="000325C2"/>
    <w:rsid w:val="00032B84"/>
    <w:rsid w:val="0003306B"/>
    <w:rsid w:val="000333EE"/>
    <w:rsid w:val="000336DD"/>
    <w:rsid w:val="00033806"/>
    <w:rsid w:val="00033F11"/>
    <w:rsid w:val="00033FAC"/>
    <w:rsid w:val="0003437B"/>
    <w:rsid w:val="00034385"/>
    <w:rsid w:val="00034702"/>
    <w:rsid w:val="00034847"/>
    <w:rsid w:val="000349D2"/>
    <w:rsid w:val="00034AD7"/>
    <w:rsid w:val="00034B71"/>
    <w:rsid w:val="00034D44"/>
    <w:rsid w:val="000350C7"/>
    <w:rsid w:val="000352A5"/>
    <w:rsid w:val="00035496"/>
    <w:rsid w:val="000359D3"/>
    <w:rsid w:val="000359F1"/>
    <w:rsid w:val="00035B38"/>
    <w:rsid w:val="00035D7C"/>
    <w:rsid w:val="00035F75"/>
    <w:rsid w:val="00035F83"/>
    <w:rsid w:val="00035FE5"/>
    <w:rsid w:val="0003610D"/>
    <w:rsid w:val="000361B2"/>
    <w:rsid w:val="00036285"/>
    <w:rsid w:val="000364E8"/>
    <w:rsid w:val="0003655A"/>
    <w:rsid w:val="000366C9"/>
    <w:rsid w:val="000369CD"/>
    <w:rsid w:val="00036A3F"/>
    <w:rsid w:val="00036AAF"/>
    <w:rsid w:val="00036D4A"/>
    <w:rsid w:val="00036F53"/>
    <w:rsid w:val="0003723D"/>
    <w:rsid w:val="0003739E"/>
    <w:rsid w:val="00037412"/>
    <w:rsid w:val="00037483"/>
    <w:rsid w:val="00037603"/>
    <w:rsid w:val="0003772C"/>
    <w:rsid w:val="000379B3"/>
    <w:rsid w:val="00037B58"/>
    <w:rsid w:val="00037D66"/>
    <w:rsid w:val="00037F2F"/>
    <w:rsid w:val="00037F74"/>
    <w:rsid w:val="00040018"/>
    <w:rsid w:val="00040357"/>
    <w:rsid w:val="000404D7"/>
    <w:rsid w:val="000404DF"/>
    <w:rsid w:val="00040527"/>
    <w:rsid w:val="0004059B"/>
    <w:rsid w:val="00040905"/>
    <w:rsid w:val="00040C85"/>
    <w:rsid w:val="00040CB9"/>
    <w:rsid w:val="00040EC3"/>
    <w:rsid w:val="0004128F"/>
    <w:rsid w:val="000412C4"/>
    <w:rsid w:val="00041337"/>
    <w:rsid w:val="000417A8"/>
    <w:rsid w:val="00041977"/>
    <w:rsid w:val="00041A03"/>
    <w:rsid w:val="00041E7A"/>
    <w:rsid w:val="00042251"/>
    <w:rsid w:val="0004225F"/>
    <w:rsid w:val="000424A7"/>
    <w:rsid w:val="00042700"/>
    <w:rsid w:val="00042701"/>
    <w:rsid w:val="0004290E"/>
    <w:rsid w:val="00042C23"/>
    <w:rsid w:val="000432E2"/>
    <w:rsid w:val="00043362"/>
    <w:rsid w:val="000435AB"/>
    <w:rsid w:val="000439D4"/>
    <w:rsid w:val="00043BF8"/>
    <w:rsid w:val="00043D81"/>
    <w:rsid w:val="00043DC1"/>
    <w:rsid w:val="0004410A"/>
    <w:rsid w:val="00044371"/>
    <w:rsid w:val="00044DE6"/>
    <w:rsid w:val="000453BD"/>
    <w:rsid w:val="0004558A"/>
    <w:rsid w:val="00045768"/>
    <w:rsid w:val="0004577F"/>
    <w:rsid w:val="000459DB"/>
    <w:rsid w:val="00045A6A"/>
    <w:rsid w:val="00045B3C"/>
    <w:rsid w:val="00045F16"/>
    <w:rsid w:val="0004601C"/>
    <w:rsid w:val="000461D7"/>
    <w:rsid w:val="00046211"/>
    <w:rsid w:val="00046399"/>
    <w:rsid w:val="00046503"/>
    <w:rsid w:val="000465C6"/>
    <w:rsid w:val="000466DF"/>
    <w:rsid w:val="000467D2"/>
    <w:rsid w:val="000468CE"/>
    <w:rsid w:val="00046C68"/>
    <w:rsid w:val="00046CDF"/>
    <w:rsid w:val="00046D10"/>
    <w:rsid w:val="00046EAF"/>
    <w:rsid w:val="000470ED"/>
    <w:rsid w:val="00047445"/>
    <w:rsid w:val="00047529"/>
    <w:rsid w:val="00047629"/>
    <w:rsid w:val="000478B2"/>
    <w:rsid w:val="0004798A"/>
    <w:rsid w:val="00047C50"/>
    <w:rsid w:val="00047CEA"/>
    <w:rsid w:val="00047DEC"/>
    <w:rsid w:val="00050130"/>
    <w:rsid w:val="00050167"/>
    <w:rsid w:val="000501DA"/>
    <w:rsid w:val="000504B1"/>
    <w:rsid w:val="00050669"/>
    <w:rsid w:val="00050762"/>
    <w:rsid w:val="00050A33"/>
    <w:rsid w:val="00050B6E"/>
    <w:rsid w:val="00050CDD"/>
    <w:rsid w:val="00050DA6"/>
    <w:rsid w:val="00050EE0"/>
    <w:rsid w:val="00050FE2"/>
    <w:rsid w:val="00051406"/>
    <w:rsid w:val="0005147E"/>
    <w:rsid w:val="00051759"/>
    <w:rsid w:val="00051A77"/>
    <w:rsid w:val="00051A80"/>
    <w:rsid w:val="00051AAF"/>
    <w:rsid w:val="00051F02"/>
    <w:rsid w:val="000523AA"/>
    <w:rsid w:val="000523B6"/>
    <w:rsid w:val="0005271F"/>
    <w:rsid w:val="00052940"/>
    <w:rsid w:val="000529F5"/>
    <w:rsid w:val="00052A2D"/>
    <w:rsid w:val="00052F2F"/>
    <w:rsid w:val="00052F8D"/>
    <w:rsid w:val="00053087"/>
    <w:rsid w:val="00053091"/>
    <w:rsid w:val="000530A6"/>
    <w:rsid w:val="0005325B"/>
    <w:rsid w:val="0005327B"/>
    <w:rsid w:val="000535DF"/>
    <w:rsid w:val="000536E9"/>
    <w:rsid w:val="00053757"/>
    <w:rsid w:val="000537A9"/>
    <w:rsid w:val="0005385C"/>
    <w:rsid w:val="00053DB6"/>
    <w:rsid w:val="00053EAC"/>
    <w:rsid w:val="0005410F"/>
    <w:rsid w:val="0005421F"/>
    <w:rsid w:val="0005433E"/>
    <w:rsid w:val="0005448A"/>
    <w:rsid w:val="000546ED"/>
    <w:rsid w:val="000547A4"/>
    <w:rsid w:val="00054CFF"/>
    <w:rsid w:val="0005508B"/>
    <w:rsid w:val="00055856"/>
    <w:rsid w:val="00055D58"/>
    <w:rsid w:val="00055F3B"/>
    <w:rsid w:val="000561C3"/>
    <w:rsid w:val="000561F1"/>
    <w:rsid w:val="0005639A"/>
    <w:rsid w:val="000567AF"/>
    <w:rsid w:val="0005680A"/>
    <w:rsid w:val="0005686E"/>
    <w:rsid w:val="00056AB4"/>
    <w:rsid w:val="00056AE8"/>
    <w:rsid w:val="00056CEF"/>
    <w:rsid w:val="000573DF"/>
    <w:rsid w:val="0005759F"/>
    <w:rsid w:val="00057707"/>
    <w:rsid w:val="0005791B"/>
    <w:rsid w:val="0005793F"/>
    <w:rsid w:val="00057C17"/>
    <w:rsid w:val="00057C33"/>
    <w:rsid w:val="00057C97"/>
    <w:rsid w:val="0006057D"/>
    <w:rsid w:val="00060610"/>
    <w:rsid w:val="00060655"/>
    <w:rsid w:val="00060681"/>
    <w:rsid w:val="000607D2"/>
    <w:rsid w:val="00060E0B"/>
    <w:rsid w:val="00060E65"/>
    <w:rsid w:val="00060F45"/>
    <w:rsid w:val="000610A4"/>
    <w:rsid w:val="000610E6"/>
    <w:rsid w:val="0006124A"/>
    <w:rsid w:val="00061315"/>
    <w:rsid w:val="0006169E"/>
    <w:rsid w:val="000617F9"/>
    <w:rsid w:val="00061A89"/>
    <w:rsid w:val="00061AEC"/>
    <w:rsid w:val="00061D70"/>
    <w:rsid w:val="00061DA0"/>
    <w:rsid w:val="00061DD7"/>
    <w:rsid w:val="00061E2C"/>
    <w:rsid w:val="00061E6A"/>
    <w:rsid w:val="00061EE6"/>
    <w:rsid w:val="00061F38"/>
    <w:rsid w:val="0006217E"/>
    <w:rsid w:val="00062308"/>
    <w:rsid w:val="00062508"/>
    <w:rsid w:val="00062606"/>
    <w:rsid w:val="000626A6"/>
    <w:rsid w:val="00062703"/>
    <w:rsid w:val="00062773"/>
    <w:rsid w:val="000627FA"/>
    <w:rsid w:val="0006286F"/>
    <w:rsid w:val="00062E76"/>
    <w:rsid w:val="00063198"/>
    <w:rsid w:val="0006325F"/>
    <w:rsid w:val="0006331B"/>
    <w:rsid w:val="00063708"/>
    <w:rsid w:val="00063856"/>
    <w:rsid w:val="00063B40"/>
    <w:rsid w:val="000641C3"/>
    <w:rsid w:val="00064885"/>
    <w:rsid w:val="00064AE1"/>
    <w:rsid w:val="00064C48"/>
    <w:rsid w:val="00064DB4"/>
    <w:rsid w:val="00064FD1"/>
    <w:rsid w:val="000650AD"/>
    <w:rsid w:val="000650FA"/>
    <w:rsid w:val="000654E9"/>
    <w:rsid w:val="00065742"/>
    <w:rsid w:val="00065A15"/>
    <w:rsid w:val="00065BD2"/>
    <w:rsid w:val="00065FE2"/>
    <w:rsid w:val="000661DC"/>
    <w:rsid w:val="00066200"/>
    <w:rsid w:val="0006622D"/>
    <w:rsid w:val="00066516"/>
    <w:rsid w:val="000665B1"/>
    <w:rsid w:val="000667A8"/>
    <w:rsid w:val="0006684E"/>
    <w:rsid w:val="00066880"/>
    <w:rsid w:val="00066949"/>
    <w:rsid w:val="000669AC"/>
    <w:rsid w:val="00066A82"/>
    <w:rsid w:val="00066C8E"/>
    <w:rsid w:val="00066CAA"/>
    <w:rsid w:val="00066CAD"/>
    <w:rsid w:val="00066F04"/>
    <w:rsid w:val="00066F1B"/>
    <w:rsid w:val="00067022"/>
    <w:rsid w:val="0006732D"/>
    <w:rsid w:val="000676B7"/>
    <w:rsid w:val="000678F7"/>
    <w:rsid w:val="00067ACC"/>
    <w:rsid w:val="00067BED"/>
    <w:rsid w:val="00070725"/>
    <w:rsid w:val="00070DB9"/>
    <w:rsid w:val="00070E40"/>
    <w:rsid w:val="00070F46"/>
    <w:rsid w:val="00070F50"/>
    <w:rsid w:val="00071245"/>
    <w:rsid w:val="000714E2"/>
    <w:rsid w:val="000716A9"/>
    <w:rsid w:val="00071792"/>
    <w:rsid w:val="00071977"/>
    <w:rsid w:val="000719CF"/>
    <w:rsid w:val="00071BB5"/>
    <w:rsid w:val="00071C7F"/>
    <w:rsid w:val="00071CC7"/>
    <w:rsid w:val="00071E36"/>
    <w:rsid w:val="00072034"/>
    <w:rsid w:val="000722B5"/>
    <w:rsid w:val="000722D9"/>
    <w:rsid w:val="000722DF"/>
    <w:rsid w:val="000722F6"/>
    <w:rsid w:val="0007230F"/>
    <w:rsid w:val="000723B2"/>
    <w:rsid w:val="000724E0"/>
    <w:rsid w:val="000727F9"/>
    <w:rsid w:val="0007297C"/>
    <w:rsid w:val="00072986"/>
    <w:rsid w:val="00072B68"/>
    <w:rsid w:val="00072C60"/>
    <w:rsid w:val="00072D23"/>
    <w:rsid w:val="00072D79"/>
    <w:rsid w:val="000732CE"/>
    <w:rsid w:val="0007337B"/>
    <w:rsid w:val="000734DC"/>
    <w:rsid w:val="00074064"/>
    <w:rsid w:val="00074119"/>
    <w:rsid w:val="0007412F"/>
    <w:rsid w:val="0007453B"/>
    <w:rsid w:val="0007460D"/>
    <w:rsid w:val="00074808"/>
    <w:rsid w:val="000748D5"/>
    <w:rsid w:val="00074A64"/>
    <w:rsid w:val="00074BCA"/>
    <w:rsid w:val="00074CA9"/>
    <w:rsid w:val="00074D06"/>
    <w:rsid w:val="00074F88"/>
    <w:rsid w:val="00074F8A"/>
    <w:rsid w:val="0007513A"/>
    <w:rsid w:val="0007552C"/>
    <w:rsid w:val="0007561F"/>
    <w:rsid w:val="000756CE"/>
    <w:rsid w:val="00075761"/>
    <w:rsid w:val="000757E6"/>
    <w:rsid w:val="00075A92"/>
    <w:rsid w:val="00075B9F"/>
    <w:rsid w:val="00075BA6"/>
    <w:rsid w:val="00075C2E"/>
    <w:rsid w:val="00075F66"/>
    <w:rsid w:val="0007621F"/>
    <w:rsid w:val="0007642A"/>
    <w:rsid w:val="000764BD"/>
    <w:rsid w:val="000764EB"/>
    <w:rsid w:val="000767CD"/>
    <w:rsid w:val="00076849"/>
    <w:rsid w:val="000768D4"/>
    <w:rsid w:val="00076DF5"/>
    <w:rsid w:val="0007727A"/>
    <w:rsid w:val="000774F0"/>
    <w:rsid w:val="00077618"/>
    <w:rsid w:val="0007764E"/>
    <w:rsid w:val="0007771C"/>
    <w:rsid w:val="000777A8"/>
    <w:rsid w:val="0008014F"/>
    <w:rsid w:val="00080350"/>
    <w:rsid w:val="00080446"/>
    <w:rsid w:val="000805F2"/>
    <w:rsid w:val="000806C0"/>
    <w:rsid w:val="000809B4"/>
    <w:rsid w:val="000809FB"/>
    <w:rsid w:val="00080A13"/>
    <w:rsid w:val="00080C83"/>
    <w:rsid w:val="00080DD9"/>
    <w:rsid w:val="00081048"/>
    <w:rsid w:val="000811C6"/>
    <w:rsid w:val="000812F6"/>
    <w:rsid w:val="000813BE"/>
    <w:rsid w:val="0008180F"/>
    <w:rsid w:val="00081B8E"/>
    <w:rsid w:val="00081D5A"/>
    <w:rsid w:val="00081DD2"/>
    <w:rsid w:val="00081EE1"/>
    <w:rsid w:val="00081F5A"/>
    <w:rsid w:val="0008203D"/>
    <w:rsid w:val="0008211E"/>
    <w:rsid w:val="000821B4"/>
    <w:rsid w:val="000823B6"/>
    <w:rsid w:val="000825D2"/>
    <w:rsid w:val="00082765"/>
    <w:rsid w:val="000828D7"/>
    <w:rsid w:val="00082A3A"/>
    <w:rsid w:val="00082A53"/>
    <w:rsid w:val="00082B71"/>
    <w:rsid w:val="00082C88"/>
    <w:rsid w:val="00082CA2"/>
    <w:rsid w:val="00082E90"/>
    <w:rsid w:val="00082F65"/>
    <w:rsid w:val="00082F6F"/>
    <w:rsid w:val="0008303E"/>
    <w:rsid w:val="000832F7"/>
    <w:rsid w:val="0008356D"/>
    <w:rsid w:val="00083740"/>
    <w:rsid w:val="000839B3"/>
    <w:rsid w:val="00083D01"/>
    <w:rsid w:val="00083F0A"/>
    <w:rsid w:val="00083FAC"/>
    <w:rsid w:val="0008413C"/>
    <w:rsid w:val="00084484"/>
    <w:rsid w:val="00084490"/>
    <w:rsid w:val="0008479E"/>
    <w:rsid w:val="00084BF5"/>
    <w:rsid w:val="00084D8D"/>
    <w:rsid w:val="00085272"/>
    <w:rsid w:val="0008538B"/>
    <w:rsid w:val="000857E4"/>
    <w:rsid w:val="000859B9"/>
    <w:rsid w:val="00085AF4"/>
    <w:rsid w:val="00085B39"/>
    <w:rsid w:val="00085B57"/>
    <w:rsid w:val="00085E73"/>
    <w:rsid w:val="000865D6"/>
    <w:rsid w:val="000869B6"/>
    <w:rsid w:val="00086A14"/>
    <w:rsid w:val="00086B43"/>
    <w:rsid w:val="00086BB3"/>
    <w:rsid w:val="00086D22"/>
    <w:rsid w:val="00086D54"/>
    <w:rsid w:val="00086DBC"/>
    <w:rsid w:val="00086EBB"/>
    <w:rsid w:val="00087197"/>
    <w:rsid w:val="00087349"/>
    <w:rsid w:val="00087407"/>
    <w:rsid w:val="00087534"/>
    <w:rsid w:val="00087576"/>
    <w:rsid w:val="0008759D"/>
    <w:rsid w:val="000875BF"/>
    <w:rsid w:val="0008768B"/>
    <w:rsid w:val="0008792D"/>
    <w:rsid w:val="00087AC0"/>
    <w:rsid w:val="00087F5A"/>
    <w:rsid w:val="000902E5"/>
    <w:rsid w:val="000904D2"/>
    <w:rsid w:val="00090590"/>
    <w:rsid w:val="0009079D"/>
    <w:rsid w:val="00090A32"/>
    <w:rsid w:val="00090C8E"/>
    <w:rsid w:val="00090D32"/>
    <w:rsid w:val="00090E51"/>
    <w:rsid w:val="00090E7D"/>
    <w:rsid w:val="00090ED4"/>
    <w:rsid w:val="00090F5C"/>
    <w:rsid w:val="00091066"/>
    <w:rsid w:val="00091196"/>
    <w:rsid w:val="000912A6"/>
    <w:rsid w:val="0009135B"/>
    <w:rsid w:val="000913A5"/>
    <w:rsid w:val="000917AC"/>
    <w:rsid w:val="000917ED"/>
    <w:rsid w:val="0009187C"/>
    <w:rsid w:val="00091BCD"/>
    <w:rsid w:val="00091CC9"/>
    <w:rsid w:val="00091E64"/>
    <w:rsid w:val="00091EC7"/>
    <w:rsid w:val="00092764"/>
    <w:rsid w:val="00092830"/>
    <w:rsid w:val="0009295B"/>
    <w:rsid w:val="00092B25"/>
    <w:rsid w:val="00092B37"/>
    <w:rsid w:val="00092CC6"/>
    <w:rsid w:val="00092D56"/>
    <w:rsid w:val="000931F1"/>
    <w:rsid w:val="000931F9"/>
    <w:rsid w:val="00093236"/>
    <w:rsid w:val="00093969"/>
    <w:rsid w:val="00093A01"/>
    <w:rsid w:val="00093A8D"/>
    <w:rsid w:val="00093AB5"/>
    <w:rsid w:val="00093F5C"/>
    <w:rsid w:val="00093F78"/>
    <w:rsid w:val="00093FEE"/>
    <w:rsid w:val="00094130"/>
    <w:rsid w:val="0009433F"/>
    <w:rsid w:val="000947DC"/>
    <w:rsid w:val="00094A01"/>
    <w:rsid w:val="00094B6F"/>
    <w:rsid w:val="00094BE4"/>
    <w:rsid w:val="00095375"/>
    <w:rsid w:val="0009543D"/>
    <w:rsid w:val="00095463"/>
    <w:rsid w:val="00095565"/>
    <w:rsid w:val="000955B2"/>
    <w:rsid w:val="00095865"/>
    <w:rsid w:val="00095AF0"/>
    <w:rsid w:val="00095CF6"/>
    <w:rsid w:val="00096115"/>
    <w:rsid w:val="0009615D"/>
    <w:rsid w:val="0009657F"/>
    <w:rsid w:val="000966DF"/>
    <w:rsid w:val="00096A99"/>
    <w:rsid w:val="00096B53"/>
    <w:rsid w:val="00096C01"/>
    <w:rsid w:val="00096FB5"/>
    <w:rsid w:val="00097317"/>
    <w:rsid w:val="00097442"/>
    <w:rsid w:val="0009764A"/>
    <w:rsid w:val="000977E0"/>
    <w:rsid w:val="00097A2F"/>
    <w:rsid w:val="00097C0F"/>
    <w:rsid w:val="00097C82"/>
    <w:rsid w:val="00097D51"/>
    <w:rsid w:val="00097E3B"/>
    <w:rsid w:val="000A0145"/>
    <w:rsid w:val="000A0320"/>
    <w:rsid w:val="000A03B2"/>
    <w:rsid w:val="000A053E"/>
    <w:rsid w:val="000A059D"/>
    <w:rsid w:val="000A0684"/>
    <w:rsid w:val="000A07E8"/>
    <w:rsid w:val="000A0A9F"/>
    <w:rsid w:val="000A0BCE"/>
    <w:rsid w:val="000A0D1A"/>
    <w:rsid w:val="000A0D8E"/>
    <w:rsid w:val="000A111C"/>
    <w:rsid w:val="000A112E"/>
    <w:rsid w:val="000A1607"/>
    <w:rsid w:val="000A17DB"/>
    <w:rsid w:val="000A1832"/>
    <w:rsid w:val="000A18ED"/>
    <w:rsid w:val="000A19B5"/>
    <w:rsid w:val="000A1AC6"/>
    <w:rsid w:val="000A1B4A"/>
    <w:rsid w:val="000A1B7A"/>
    <w:rsid w:val="000A2098"/>
    <w:rsid w:val="000A2114"/>
    <w:rsid w:val="000A211F"/>
    <w:rsid w:val="000A2234"/>
    <w:rsid w:val="000A2255"/>
    <w:rsid w:val="000A26D0"/>
    <w:rsid w:val="000A2719"/>
    <w:rsid w:val="000A27D9"/>
    <w:rsid w:val="000A2960"/>
    <w:rsid w:val="000A2971"/>
    <w:rsid w:val="000A2C8F"/>
    <w:rsid w:val="000A2DA8"/>
    <w:rsid w:val="000A37EB"/>
    <w:rsid w:val="000A3863"/>
    <w:rsid w:val="000A38D8"/>
    <w:rsid w:val="000A3AA7"/>
    <w:rsid w:val="000A3C62"/>
    <w:rsid w:val="000A3CA4"/>
    <w:rsid w:val="000A3CCA"/>
    <w:rsid w:val="000A3F7B"/>
    <w:rsid w:val="000A40BB"/>
    <w:rsid w:val="000A427B"/>
    <w:rsid w:val="000A44BB"/>
    <w:rsid w:val="000A45FD"/>
    <w:rsid w:val="000A4734"/>
    <w:rsid w:val="000A4934"/>
    <w:rsid w:val="000A4A02"/>
    <w:rsid w:val="000A4FF7"/>
    <w:rsid w:val="000A5176"/>
    <w:rsid w:val="000A5312"/>
    <w:rsid w:val="000A55DF"/>
    <w:rsid w:val="000A5940"/>
    <w:rsid w:val="000A59AB"/>
    <w:rsid w:val="000A5B56"/>
    <w:rsid w:val="000A5B8D"/>
    <w:rsid w:val="000A5F12"/>
    <w:rsid w:val="000A5F3F"/>
    <w:rsid w:val="000A610A"/>
    <w:rsid w:val="000A619D"/>
    <w:rsid w:val="000A628A"/>
    <w:rsid w:val="000A62CE"/>
    <w:rsid w:val="000A643D"/>
    <w:rsid w:val="000A6484"/>
    <w:rsid w:val="000A6532"/>
    <w:rsid w:val="000A682F"/>
    <w:rsid w:val="000A6910"/>
    <w:rsid w:val="000A69A8"/>
    <w:rsid w:val="000A6A39"/>
    <w:rsid w:val="000A6C08"/>
    <w:rsid w:val="000A6C98"/>
    <w:rsid w:val="000A6F25"/>
    <w:rsid w:val="000A6FD9"/>
    <w:rsid w:val="000A7007"/>
    <w:rsid w:val="000A70FA"/>
    <w:rsid w:val="000A72D7"/>
    <w:rsid w:val="000A73F6"/>
    <w:rsid w:val="000A76D3"/>
    <w:rsid w:val="000A797C"/>
    <w:rsid w:val="000A79A9"/>
    <w:rsid w:val="000A7F9A"/>
    <w:rsid w:val="000B008C"/>
    <w:rsid w:val="000B0243"/>
    <w:rsid w:val="000B03B9"/>
    <w:rsid w:val="000B04F4"/>
    <w:rsid w:val="000B057E"/>
    <w:rsid w:val="000B06CF"/>
    <w:rsid w:val="000B0929"/>
    <w:rsid w:val="000B0966"/>
    <w:rsid w:val="000B0C4A"/>
    <w:rsid w:val="000B0D8A"/>
    <w:rsid w:val="000B0EC2"/>
    <w:rsid w:val="000B10A9"/>
    <w:rsid w:val="000B10DA"/>
    <w:rsid w:val="000B114B"/>
    <w:rsid w:val="000B11F0"/>
    <w:rsid w:val="000B16A1"/>
    <w:rsid w:val="000B1821"/>
    <w:rsid w:val="000B1836"/>
    <w:rsid w:val="000B19EE"/>
    <w:rsid w:val="000B1BB5"/>
    <w:rsid w:val="000B1D64"/>
    <w:rsid w:val="000B215C"/>
    <w:rsid w:val="000B218A"/>
    <w:rsid w:val="000B22CD"/>
    <w:rsid w:val="000B22FA"/>
    <w:rsid w:val="000B23E7"/>
    <w:rsid w:val="000B2520"/>
    <w:rsid w:val="000B25F8"/>
    <w:rsid w:val="000B27C8"/>
    <w:rsid w:val="000B27EB"/>
    <w:rsid w:val="000B2813"/>
    <w:rsid w:val="000B293C"/>
    <w:rsid w:val="000B2B8E"/>
    <w:rsid w:val="000B2EBE"/>
    <w:rsid w:val="000B2FC7"/>
    <w:rsid w:val="000B305C"/>
    <w:rsid w:val="000B308D"/>
    <w:rsid w:val="000B30F0"/>
    <w:rsid w:val="000B316A"/>
    <w:rsid w:val="000B339D"/>
    <w:rsid w:val="000B36A9"/>
    <w:rsid w:val="000B37D8"/>
    <w:rsid w:val="000B388A"/>
    <w:rsid w:val="000B38E9"/>
    <w:rsid w:val="000B3D56"/>
    <w:rsid w:val="000B40DB"/>
    <w:rsid w:val="000B41A8"/>
    <w:rsid w:val="000B420A"/>
    <w:rsid w:val="000B42B7"/>
    <w:rsid w:val="000B433B"/>
    <w:rsid w:val="000B456F"/>
    <w:rsid w:val="000B482D"/>
    <w:rsid w:val="000B4B0C"/>
    <w:rsid w:val="000B50C0"/>
    <w:rsid w:val="000B5118"/>
    <w:rsid w:val="000B5917"/>
    <w:rsid w:val="000B5A97"/>
    <w:rsid w:val="000B5AB9"/>
    <w:rsid w:val="000B5F59"/>
    <w:rsid w:val="000B5FBF"/>
    <w:rsid w:val="000B6833"/>
    <w:rsid w:val="000B69EC"/>
    <w:rsid w:val="000B6A86"/>
    <w:rsid w:val="000B6C54"/>
    <w:rsid w:val="000B6DA9"/>
    <w:rsid w:val="000B6E15"/>
    <w:rsid w:val="000B7354"/>
    <w:rsid w:val="000B7534"/>
    <w:rsid w:val="000B7656"/>
    <w:rsid w:val="000B76A8"/>
    <w:rsid w:val="000B77C6"/>
    <w:rsid w:val="000B7C6E"/>
    <w:rsid w:val="000B7D83"/>
    <w:rsid w:val="000B7FDA"/>
    <w:rsid w:val="000C0455"/>
    <w:rsid w:val="000C0500"/>
    <w:rsid w:val="000C0857"/>
    <w:rsid w:val="000C08F0"/>
    <w:rsid w:val="000C0D11"/>
    <w:rsid w:val="000C0E53"/>
    <w:rsid w:val="000C0E86"/>
    <w:rsid w:val="000C0F3E"/>
    <w:rsid w:val="000C10DF"/>
    <w:rsid w:val="000C1452"/>
    <w:rsid w:val="000C14DD"/>
    <w:rsid w:val="000C1732"/>
    <w:rsid w:val="000C176E"/>
    <w:rsid w:val="000C1AD6"/>
    <w:rsid w:val="000C1D0B"/>
    <w:rsid w:val="000C1D73"/>
    <w:rsid w:val="000C20A7"/>
    <w:rsid w:val="000C2514"/>
    <w:rsid w:val="000C26B5"/>
    <w:rsid w:val="000C272C"/>
    <w:rsid w:val="000C29E0"/>
    <w:rsid w:val="000C2A12"/>
    <w:rsid w:val="000C2BB6"/>
    <w:rsid w:val="000C2CC1"/>
    <w:rsid w:val="000C2D7F"/>
    <w:rsid w:val="000C31B5"/>
    <w:rsid w:val="000C341D"/>
    <w:rsid w:val="000C36A2"/>
    <w:rsid w:val="000C36C8"/>
    <w:rsid w:val="000C3C60"/>
    <w:rsid w:val="000C3DD2"/>
    <w:rsid w:val="000C3E9D"/>
    <w:rsid w:val="000C3EF8"/>
    <w:rsid w:val="000C3F60"/>
    <w:rsid w:val="000C4159"/>
    <w:rsid w:val="000C41E8"/>
    <w:rsid w:val="000C43A2"/>
    <w:rsid w:val="000C4516"/>
    <w:rsid w:val="000C452D"/>
    <w:rsid w:val="000C4B26"/>
    <w:rsid w:val="000C4B76"/>
    <w:rsid w:val="000C4C21"/>
    <w:rsid w:val="000C4C75"/>
    <w:rsid w:val="000C4DB8"/>
    <w:rsid w:val="000C5468"/>
    <w:rsid w:val="000C5705"/>
    <w:rsid w:val="000C584B"/>
    <w:rsid w:val="000C59E6"/>
    <w:rsid w:val="000C5A62"/>
    <w:rsid w:val="000C6193"/>
    <w:rsid w:val="000C626C"/>
    <w:rsid w:val="000C684E"/>
    <w:rsid w:val="000C6AA1"/>
    <w:rsid w:val="000C6D28"/>
    <w:rsid w:val="000C6EA6"/>
    <w:rsid w:val="000C6FA5"/>
    <w:rsid w:val="000C6FD7"/>
    <w:rsid w:val="000C7232"/>
    <w:rsid w:val="000C72EF"/>
    <w:rsid w:val="000C73B1"/>
    <w:rsid w:val="000C73FD"/>
    <w:rsid w:val="000C77D9"/>
    <w:rsid w:val="000C79AE"/>
    <w:rsid w:val="000C79BE"/>
    <w:rsid w:val="000C7B7D"/>
    <w:rsid w:val="000C7D7E"/>
    <w:rsid w:val="000D02B2"/>
    <w:rsid w:val="000D03B7"/>
    <w:rsid w:val="000D0652"/>
    <w:rsid w:val="000D0817"/>
    <w:rsid w:val="000D08AC"/>
    <w:rsid w:val="000D08B7"/>
    <w:rsid w:val="000D08C2"/>
    <w:rsid w:val="000D099A"/>
    <w:rsid w:val="000D0D98"/>
    <w:rsid w:val="000D0EF5"/>
    <w:rsid w:val="000D0F15"/>
    <w:rsid w:val="000D110C"/>
    <w:rsid w:val="000D11D2"/>
    <w:rsid w:val="000D1BAA"/>
    <w:rsid w:val="000D1E0B"/>
    <w:rsid w:val="000D1E94"/>
    <w:rsid w:val="000D213F"/>
    <w:rsid w:val="000D2963"/>
    <w:rsid w:val="000D29BD"/>
    <w:rsid w:val="000D2AC2"/>
    <w:rsid w:val="000D2B6F"/>
    <w:rsid w:val="000D2F35"/>
    <w:rsid w:val="000D34EF"/>
    <w:rsid w:val="000D35AD"/>
    <w:rsid w:val="000D39BC"/>
    <w:rsid w:val="000D3B06"/>
    <w:rsid w:val="000D3B1E"/>
    <w:rsid w:val="000D3B20"/>
    <w:rsid w:val="000D3F25"/>
    <w:rsid w:val="000D3F40"/>
    <w:rsid w:val="000D4007"/>
    <w:rsid w:val="000D420B"/>
    <w:rsid w:val="000D42A8"/>
    <w:rsid w:val="000D4874"/>
    <w:rsid w:val="000D48CE"/>
    <w:rsid w:val="000D4ADB"/>
    <w:rsid w:val="000D4FFB"/>
    <w:rsid w:val="000D50A6"/>
    <w:rsid w:val="000D50EC"/>
    <w:rsid w:val="000D519F"/>
    <w:rsid w:val="000D53AA"/>
    <w:rsid w:val="000D5515"/>
    <w:rsid w:val="000D5635"/>
    <w:rsid w:val="000D56A0"/>
    <w:rsid w:val="000D5751"/>
    <w:rsid w:val="000D5AAD"/>
    <w:rsid w:val="000D5B36"/>
    <w:rsid w:val="000D5F1B"/>
    <w:rsid w:val="000D626A"/>
    <w:rsid w:val="000D6504"/>
    <w:rsid w:val="000D678D"/>
    <w:rsid w:val="000D68BF"/>
    <w:rsid w:val="000D6958"/>
    <w:rsid w:val="000D6BCA"/>
    <w:rsid w:val="000D70B1"/>
    <w:rsid w:val="000D732A"/>
    <w:rsid w:val="000D7454"/>
    <w:rsid w:val="000D7487"/>
    <w:rsid w:val="000D78F6"/>
    <w:rsid w:val="000D7B96"/>
    <w:rsid w:val="000D7DBC"/>
    <w:rsid w:val="000D7E77"/>
    <w:rsid w:val="000E0127"/>
    <w:rsid w:val="000E016B"/>
    <w:rsid w:val="000E0331"/>
    <w:rsid w:val="000E052D"/>
    <w:rsid w:val="000E06EE"/>
    <w:rsid w:val="000E07C1"/>
    <w:rsid w:val="000E0989"/>
    <w:rsid w:val="000E0A5D"/>
    <w:rsid w:val="000E0ACD"/>
    <w:rsid w:val="000E0B1C"/>
    <w:rsid w:val="000E0B8B"/>
    <w:rsid w:val="000E0F49"/>
    <w:rsid w:val="000E1023"/>
    <w:rsid w:val="000E1209"/>
    <w:rsid w:val="000E12FB"/>
    <w:rsid w:val="000E1309"/>
    <w:rsid w:val="000E133E"/>
    <w:rsid w:val="000E136C"/>
    <w:rsid w:val="000E15DC"/>
    <w:rsid w:val="000E1671"/>
    <w:rsid w:val="000E16B8"/>
    <w:rsid w:val="000E1A12"/>
    <w:rsid w:val="000E1DAE"/>
    <w:rsid w:val="000E1F5E"/>
    <w:rsid w:val="000E201B"/>
    <w:rsid w:val="000E20B2"/>
    <w:rsid w:val="000E210A"/>
    <w:rsid w:val="000E2199"/>
    <w:rsid w:val="000E2312"/>
    <w:rsid w:val="000E2422"/>
    <w:rsid w:val="000E2835"/>
    <w:rsid w:val="000E291C"/>
    <w:rsid w:val="000E2C49"/>
    <w:rsid w:val="000E2CE2"/>
    <w:rsid w:val="000E2D62"/>
    <w:rsid w:val="000E2E24"/>
    <w:rsid w:val="000E3290"/>
    <w:rsid w:val="000E3754"/>
    <w:rsid w:val="000E3811"/>
    <w:rsid w:val="000E39C5"/>
    <w:rsid w:val="000E3C8A"/>
    <w:rsid w:val="000E3FE3"/>
    <w:rsid w:val="000E4B55"/>
    <w:rsid w:val="000E4D06"/>
    <w:rsid w:val="000E4E61"/>
    <w:rsid w:val="000E4EF5"/>
    <w:rsid w:val="000E5476"/>
    <w:rsid w:val="000E5566"/>
    <w:rsid w:val="000E5858"/>
    <w:rsid w:val="000E5B9A"/>
    <w:rsid w:val="000E5C19"/>
    <w:rsid w:val="000E5CFD"/>
    <w:rsid w:val="000E5EF5"/>
    <w:rsid w:val="000E6011"/>
    <w:rsid w:val="000E60A4"/>
    <w:rsid w:val="000E60E9"/>
    <w:rsid w:val="000E61A6"/>
    <w:rsid w:val="000E6564"/>
    <w:rsid w:val="000E65B9"/>
    <w:rsid w:val="000E6805"/>
    <w:rsid w:val="000E6937"/>
    <w:rsid w:val="000E6C59"/>
    <w:rsid w:val="000E6C7F"/>
    <w:rsid w:val="000E6C8D"/>
    <w:rsid w:val="000E6C9A"/>
    <w:rsid w:val="000E6FD6"/>
    <w:rsid w:val="000E700B"/>
    <w:rsid w:val="000E71C4"/>
    <w:rsid w:val="000E72B5"/>
    <w:rsid w:val="000E72CF"/>
    <w:rsid w:val="000E74A4"/>
    <w:rsid w:val="000E74E1"/>
    <w:rsid w:val="000E758D"/>
    <w:rsid w:val="000E75DE"/>
    <w:rsid w:val="000E7712"/>
    <w:rsid w:val="000E7739"/>
    <w:rsid w:val="000E7879"/>
    <w:rsid w:val="000E7A3A"/>
    <w:rsid w:val="000E7AFF"/>
    <w:rsid w:val="000E7C21"/>
    <w:rsid w:val="000E7DA7"/>
    <w:rsid w:val="000E7E40"/>
    <w:rsid w:val="000E7E6F"/>
    <w:rsid w:val="000F0439"/>
    <w:rsid w:val="000F0491"/>
    <w:rsid w:val="000F05A8"/>
    <w:rsid w:val="000F0A81"/>
    <w:rsid w:val="000F0A9A"/>
    <w:rsid w:val="000F0CE8"/>
    <w:rsid w:val="000F0D68"/>
    <w:rsid w:val="000F0E5F"/>
    <w:rsid w:val="000F11E4"/>
    <w:rsid w:val="000F161B"/>
    <w:rsid w:val="000F1727"/>
    <w:rsid w:val="000F186E"/>
    <w:rsid w:val="000F1A6E"/>
    <w:rsid w:val="000F1ADB"/>
    <w:rsid w:val="000F1F7D"/>
    <w:rsid w:val="000F1F91"/>
    <w:rsid w:val="000F23AE"/>
    <w:rsid w:val="000F240F"/>
    <w:rsid w:val="000F25CF"/>
    <w:rsid w:val="000F280C"/>
    <w:rsid w:val="000F2897"/>
    <w:rsid w:val="000F299E"/>
    <w:rsid w:val="000F29D8"/>
    <w:rsid w:val="000F2AAA"/>
    <w:rsid w:val="000F2D17"/>
    <w:rsid w:val="000F2EDE"/>
    <w:rsid w:val="000F305E"/>
    <w:rsid w:val="000F3071"/>
    <w:rsid w:val="000F347A"/>
    <w:rsid w:val="000F35E8"/>
    <w:rsid w:val="000F36ED"/>
    <w:rsid w:val="000F3985"/>
    <w:rsid w:val="000F3A3B"/>
    <w:rsid w:val="000F3AB9"/>
    <w:rsid w:val="000F3AD2"/>
    <w:rsid w:val="000F4113"/>
    <w:rsid w:val="000F4122"/>
    <w:rsid w:val="000F41B3"/>
    <w:rsid w:val="000F41CB"/>
    <w:rsid w:val="000F44B0"/>
    <w:rsid w:val="000F4555"/>
    <w:rsid w:val="000F45A9"/>
    <w:rsid w:val="000F4622"/>
    <w:rsid w:val="000F4624"/>
    <w:rsid w:val="000F4659"/>
    <w:rsid w:val="000F490A"/>
    <w:rsid w:val="000F49C2"/>
    <w:rsid w:val="000F4E4E"/>
    <w:rsid w:val="000F50B0"/>
    <w:rsid w:val="000F5204"/>
    <w:rsid w:val="000F564B"/>
    <w:rsid w:val="000F56BB"/>
    <w:rsid w:val="000F59CB"/>
    <w:rsid w:val="000F5B06"/>
    <w:rsid w:val="000F5C0E"/>
    <w:rsid w:val="000F5D8B"/>
    <w:rsid w:val="000F64A3"/>
    <w:rsid w:val="000F6BB4"/>
    <w:rsid w:val="000F6D22"/>
    <w:rsid w:val="000F6DD3"/>
    <w:rsid w:val="000F6F4D"/>
    <w:rsid w:val="000F7062"/>
    <w:rsid w:val="000F719E"/>
    <w:rsid w:val="000F71F8"/>
    <w:rsid w:val="000F7366"/>
    <w:rsid w:val="000F73F2"/>
    <w:rsid w:val="000F75FE"/>
    <w:rsid w:val="000F76D2"/>
    <w:rsid w:val="000F78CF"/>
    <w:rsid w:val="000F7B19"/>
    <w:rsid w:val="000F7EA3"/>
    <w:rsid w:val="00100356"/>
    <w:rsid w:val="001004C8"/>
    <w:rsid w:val="001006AB"/>
    <w:rsid w:val="001009C3"/>
    <w:rsid w:val="00100BBD"/>
    <w:rsid w:val="00100D69"/>
    <w:rsid w:val="00100E69"/>
    <w:rsid w:val="00100ECC"/>
    <w:rsid w:val="001010A2"/>
    <w:rsid w:val="001011ED"/>
    <w:rsid w:val="001017DD"/>
    <w:rsid w:val="0010197F"/>
    <w:rsid w:val="00101AA6"/>
    <w:rsid w:val="00101B1C"/>
    <w:rsid w:val="00101D80"/>
    <w:rsid w:val="00101E11"/>
    <w:rsid w:val="00101EAF"/>
    <w:rsid w:val="00101EB2"/>
    <w:rsid w:val="00101F74"/>
    <w:rsid w:val="00102195"/>
    <w:rsid w:val="001023EC"/>
    <w:rsid w:val="00102503"/>
    <w:rsid w:val="001025F7"/>
    <w:rsid w:val="00102866"/>
    <w:rsid w:val="00102A9B"/>
    <w:rsid w:val="00102BEC"/>
    <w:rsid w:val="00102F41"/>
    <w:rsid w:val="00103095"/>
    <w:rsid w:val="0010317A"/>
    <w:rsid w:val="001032EC"/>
    <w:rsid w:val="00103458"/>
    <w:rsid w:val="00103483"/>
    <w:rsid w:val="0010387D"/>
    <w:rsid w:val="0010391E"/>
    <w:rsid w:val="00103992"/>
    <w:rsid w:val="00103BF9"/>
    <w:rsid w:val="00103C61"/>
    <w:rsid w:val="0010401B"/>
    <w:rsid w:val="001040AD"/>
    <w:rsid w:val="0010412D"/>
    <w:rsid w:val="0010420B"/>
    <w:rsid w:val="001047C0"/>
    <w:rsid w:val="00104A7E"/>
    <w:rsid w:val="00104EA4"/>
    <w:rsid w:val="00104FB7"/>
    <w:rsid w:val="001052E1"/>
    <w:rsid w:val="001054D6"/>
    <w:rsid w:val="001057DC"/>
    <w:rsid w:val="00105872"/>
    <w:rsid w:val="001058EA"/>
    <w:rsid w:val="00105944"/>
    <w:rsid w:val="00105ADC"/>
    <w:rsid w:val="00105AE0"/>
    <w:rsid w:val="00105B35"/>
    <w:rsid w:val="00105C41"/>
    <w:rsid w:val="00105D5B"/>
    <w:rsid w:val="00106337"/>
    <w:rsid w:val="0010646C"/>
    <w:rsid w:val="0010649D"/>
    <w:rsid w:val="001064D4"/>
    <w:rsid w:val="00106603"/>
    <w:rsid w:val="001069A8"/>
    <w:rsid w:val="00106A78"/>
    <w:rsid w:val="00106B1B"/>
    <w:rsid w:val="00106F0D"/>
    <w:rsid w:val="00107233"/>
    <w:rsid w:val="00107411"/>
    <w:rsid w:val="00107913"/>
    <w:rsid w:val="001079A4"/>
    <w:rsid w:val="00107ADB"/>
    <w:rsid w:val="00107B05"/>
    <w:rsid w:val="00107B84"/>
    <w:rsid w:val="00107C49"/>
    <w:rsid w:val="00107C54"/>
    <w:rsid w:val="00107D3D"/>
    <w:rsid w:val="00107D93"/>
    <w:rsid w:val="00107DA0"/>
    <w:rsid w:val="00107E17"/>
    <w:rsid w:val="00107F3C"/>
    <w:rsid w:val="00107F75"/>
    <w:rsid w:val="001100F9"/>
    <w:rsid w:val="00110352"/>
    <w:rsid w:val="0011035A"/>
    <w:rsid w:val="00110585"/>
    <w:rsid w:val="00110618"/>
    <w:rsid w:val="00110727"/>
    <w:rsid w:val="001107AB"/>
    <w:rsid w:val="0011081F"/>
    <w:rsid w:val="00110884"/>
    <w:rsid w:val="00110885"/>
    <w:rsid w:val="0011088C"/>
    <w:rsid w:val="001109D6"/>
    <w:rsid w:val="00110A24"/>
    <w:rsid w:val="00110AA0"/>
    <w:rsid w:val="00110FCE"/>
    <w:rsid w:val="0011140E"/>
    <w:rsid w:val="0011148E"/>
    <w:rsid w:val="00111581"/>
    <w:rsid w:val="00111925"/>
    <w:rsid w:val="00111BDD"/>
    <w:rsid w:val="00111CC1"/>
    <w:rsid w:val="00111E4E"/>
    <w:rsid w:val="00111F4F"/>
    <w:rsid w:val="00111FC5"/>
    <w:rsid w:val="001122A1"/>
    <w:rsid w:val="00112693"/>
    <w:rsid w:val="001127D6"/>
    <w:rsid w:val="001128A5"/>
    <w:rsid w:val="00112DF3"/>
    <w:rsid w:val="00112F54"/>
    <w:rsid w:val="0011312F"/>
    <w:rsid w:val="001136C6"/>
    <w:rsid w:val="00113744"/>
    <w:rsid w:val="00113817"/>
    <w:rsid w:val="00113D73"/>
    <w:rsid w:val="00113D9E"/>
    <w:rsid w:val="00113E2A"/>
    <w:rsid w:val="00113E86"/>
    <w:rsid w:val="00114269"/>
    <w:rsid w:val="001147E4"/>
    <w:rsid w:val="0011498E"/>
    <w:rsid w:val="00114C7B"/>
    <w:rsid w:val="00114DDB"/>
    <w:rsid w:val="00115013"/>
    <w:rsid w:val="001150FD"/>
    <w:rsid w:val="00115358"/>
    <w:rsid w:val="0011547F"/>
    <w:rsid w:val="001154A7"/>
    <w:rsid w:val="0011574D"/>
    <w:rsid w:val="00115A48"/>
    <w:rsid w:val="00115AA1"/>
    <w:rsid w:val="00115BF8"/>
    <w:rsid w:val="00115D8A"/>
    <w:rsid w:val="001160E3"/>
    <w:rsid w:val="0011614D"/>
    <w:rsid w:val="00116356"/>
    <w:rsid w:val="0011682E"/>
    <w:rsid w:val="00116889"/>
    <w:rsid w:val="00116A48"/>
    <w:rsid w:val="00117105"/>
    <w:rsid w:val="0011736D"/>
    <w:rsid w:val="0011747F"/>
    <w:rsid w:val="0011748F"/>
    <w:rsid w:val="001176A0"/>
    <w:rsid w:val="00117796"/>
    <w:rsid w:val="00117BE4"/>
    <w:rsid w:val="001204DE"/>
    <w:rsid w:val="00120533"/>
    <w:rsid w:val="001206D9"/>
    <w:rsid w:val="00120725"/>
    <w:rsid w:val="00120752"/>
    <w:rsid w:val="0012092C"/>
    <w:rsid w:val="001209AC"/>
    <w:rsid w:val="00120B5F"/>
    <w:rsid w:val="00120B99"/>
    <w:rsid w:val="00120C0A"/>
    <w:rsid w:val="00120D02"/>
    <w:rsid w:val="00120D5A"/>
    <w:rsid w:val="00120DBB"/>
    <w:rsid w:val="00120E84"/>
    <w:rsid w:val="0012135A"/>
    <w:rsid w:val="001213CA"/>
    <w:rsid w:val="00121646"/>
    <w:rsid w:val="001216B0"/>
    <w:rsid w:val="00121858"/>
    <w:rsid w:val="001218A8"/>
    <w:rsid w:val="001218DA"/>
    <w:rsid w:val="00121FAA"/>
    <w:rsid w:val="001220FE"/>
    <w:rsid w:val="001222EF"/>
    <w:rsid w:val="0012254B"/>
    <w:rsid w:val="00122636"/>
    <w:rsid w:val="0012268D"/>
    <w:rsid w:val="0012287C"/>
    <w:rsid w:val="001228C8"/>
    <w:rsid w:val="00122D9F"/>
    <w:rsid w:val="00122EF7"/>
    <w:rsid w:val="0012315C"/>
    <w:rsid w:val="001231C5"/>
    <w:rsid w:val="0012325B"/>
    <w:rsid w:val="0012331E"/>
    <w:rsid w:val="00123322"/>
    <w:rsid w:val="0012363B"/>
    <w:rsid w:val="001239D8"/>
    <w:rsid w:val="00123C72"/>
    <w:rsid w:val="00123CAB"/>
    <w:rsid w:val="00123DF6"/>
    <w:rsid w:val="00123F46"/>
    <w:rsid w:val="00123F88"/>
    <w:rsid w:val="00123FA4"/>
    <w:rsid w:val="00123FDF"/>
    <w:rsid w:val="0012430E"/>
    <w:rsid w:val="0012449C"/>
    <w:rsid w:val="001244EC"/>
    <w:rsid w:val="001246B3"/>
    <w:rsid w:val="00124762"/>
    <w:rsid w:val="00124A34"/>
    <w:rsid w:val="00124C92"/>
    <w:rsid w:val="00124CED"/>
    <w:rsid w:val="00124CF0"/>
    <w:rsid w:val="00124F76"/>
    <w:rsid w:val="00124F77"/>
    <w:rsid w:val="001250D4"/>
    <w:rsid w:val="00125235"/>
    <w:rsid w:val="00125345"/>
    <w:rsid w:val="00125383"/>
    <w:rsid w:val="00125C89"/>
    <w:rsid w:val="00125D19"/>
    <w:rsid w:val="00125D30"/>
    <w:rsid w:val="00125DD7"/>
    <w:rsid w:val="00125ED4"/>
    <w:rsid w:val="00126310"/>
    <w:rsid w:val="0012634C"/>
    <w:rsid w:val="00126622"/>
    <w:rsid w:val="00126824"/>
    <w:rsid w:val="001268F9"/>
    <w:rsid w:val="0012691A"/>
    <w:rsid w:val="001269B2"/>
    <w:rsid w:val="00126C55"/>
    <w:rsid w:val="00126C57"/>
    <w:rsid w:val="00126C90"/>
    <w:rsid w:val="00126C9F"/>
    <w:rsid w:val="00127288"/>
    <w:rsid w:val="001273DB"/>
    <w:rsid w:val="001275F0"/>
    <w:rsid w:val="001276A7"/>
    <w:rsid w:val="00127899"/>
    <w:rsid w:val="00127F48"/>
    <w:rsid w:val="00130175"/>
    <w:rsid w:val="001304CD"/>
    <w:rsid w:val="00130717"/>
    <w:rsid w:val="00130909"/>
    <w:rsid w:val="00130F68"/>
    <w:rsid w:val="001310B9"/>
    <w:rsid w:val="00131634"/>
    <w:rsid w:val="00131713"/>
    <w:rsid w:val="00131885"/>
    <w:rsid w:val="001319D5"/>
    <w:rsid w:val="00131A0E"/>
    <w:rsid w:val="00131D0D"/>
    <w:rsid w:val="00131FBE"/>
    <w:rsid w:val="0013255D"/>
    <w:rsid w:val="00132AA7"/>
    <w:rsid w:val="00132AAB"/>
    <w:rsid w:val="00132BA2"/>
    <w:rsid w:val="00132D65"/>
    <w:rsid w:val="00132DD4"/>
    <w:rsid w:val="00132DFB"/>
    <w:rsid w:val="00132E2A"/>
    <w:rsid w:val="0013315E"/>
    <w:rsid w:val="00133296"/>
    <w:rsid w:val="001332CB"/>
    <w:rsid w:val="0013339F"/>
    <w:rsid w:val="001333EC"/>
    <w:rsid w:val="001334DF"/>
    <w:rsid w:val="00133534"/>
    <w:rsid w:val="0013394F"/>
    <w:rsid w:val="001339BB"/>
    <w:rsid w:val="00133A1F"/>
    <w:rsid w:val="00133B78"/>
    <w:rsid w:val="00133C0B"/>
    <w:rsid w:val="00133C1C"/>
    <w:rsid w:val="00133D52"/>
    <w:rsid w:val="00133FAE"/>
    <w:rsid w:val="0013426F"/>
    <w:rsid w:val="001342E5"/>
    <w:rsid w:val="0013441B"/>
    <w:rsid w:val="0013474E"/>
    <w:rsid w:val="00134760"/>
    <w:rsid w:val="001348A7"/>
    <w:rsid w:val="00134982"/>
    <w:rsid w:val="00134A4A"/>
    <w:rsid w:val="00134BD6"/>
    <w:rsid w:val="00134C03"/>
    <w:rsid w:val="00134CC4"/>
    <w:rsid w:val="00134CF2"/>
    <w:rsid w:val="00134D9F"/>
    <w:rsid w:val="00134E55"/>
    <w:rsid w:val="00134F27"/>
    <w:rsid w:val="00135097"/>
    <w:rsid w:val="001350E9"/>
    <w:rsid w:val="00135150"/>
    <w:rsid w:val="0013520D"/>
    <w:rsid w:val="001352F4"/>
    <w:rsid w:val="00135400"/>
    <w:rsid w:val="001354D7"/>
    <w:rsid w:val="00135658"/>
    <w:rsid w:val="00135DE2"/>
    <w:rsid w:val="00135F21"/>
    <w:rsid w:val="00135F8C"/>
    <w:rsid w:val="001361FB"/>
    <w:rsid w:val="00136413"/>
    <w:rsid w:val="00136655"/>
    <w:rsid w:val="0013665B"/>
    <w:rsid w:val="00136898"/>
    <w:rsid w:val="00136BB5"/>
    <w:rsid w:val="00136C57"/>
    <w:rsid w:val="00136CC6"/>
    <w:rsid w:val="00136E38"/>
    <w:rsid w:val="00136EA0"/>
    <w:rsid w:val="00137179"/>
    <w:rsid w:val="00137378"/>
    <w:rsid w:val="00137531"/>
    <w:rsid w:val="001376F1"/>
    <w:rsid w:val="0013776C"/>
    <w:rsid w:val="001378B8"/>
    <w:rsid w:val="001379FE"/>
    <w:rsid w:val="001403E2"/>
    <w:rsid w:val="00140439"/>
    <w:rsid w:val="00140517"/>
    <w:rsid w:val="001409D0"/>
    <w:rsid w:val="00140CBB"/>
    <w:rsid w:val="00140DB0"/>
    <w:rsid w:val="00140EF0"/>
    <w:rsid w:val="001413E7"/>
    <w:rsid w:val="00141682"/>
    <w:rsid w:val="001417D6"/>
    <w:rsid w:val="0014181A"/>
    <w:rsid w:val="001418D6"/>
    <w:rsid w:val="0014201F"/>
    <w:rsid w:val="001421F5"/>
    <w:rsid w:val="001422FF"/>
    <w:rsid w:val="001423EF"/>
    <w:rsid w:val="00142486"/>
    <w:rsid w:val="001427AE"/>
    <w:rsid w:val="00142823"/>
    <w:rsid w:val="00142ACE"/>
    <w:rsid w:val="00142BC4"/>
    <w:rsid w:val="00142D52"/>
    <w:rsid w:val="00143135"/>
    <w:rsid w:val="001432EB"/>
    <w:rsid w:val="0014344E"/>
    <w:rsid w:val="001435B4"/>
    <w:rsid w:val="001435B9"/>
    <w:rsid w:val="00143CC9"/>
    <w:rsid w:val="00143E74"/>
    <w:rsid w:val="00144554"/>
    <w:rsid w:val="0014479B"/>
    <w:rsid w:val="00144B81"/>
    <w:rsid w:val="00144D33"/>
    <w:rsid w:val="00144ED7"/>
    <w:rsid w:val="00144F6A"/>
    <w:rsid w:val="00145172"/>
    <w:rsid w:val="0014570C"/>
    <w:rsid w:val="00145780"/>
    <w:rsid w:val="0014579E"/>
    <w:rsid w:val="001458CE"/>
    <w:rsid w:val="00145AFE"/>
    <w:rsid w:val="00145C6C"/>
    <w:rsid w:val="00146139"/>
    <w:rsid w:val="00146179"/>
    <w:rsid w:val="0014679E"/>
    <w:rsid w:val="00146B40"/>
    <w:rsid w:val="00146C1B"/>
    <w:rsid w:val="00146D7E"/>
    <w:rsid w:val="00146EAB"/>
    <w:rsid w:val="00146F3A"/>
    <w:rsid w:val="00146FBF"/>
    <w:rsid w:val="00147367"/>
    <w:rsid w:val="001473F6"/>
    <w:rsid w:val="001475C7"/>
    <w:rsid w:val="001478DF"/>
    <w:rsid w:val="00147A06"/>
    <w:rsid w:val="00147B76"/>
    <w:rsid w:val="00147DA2"/>
    <w:rsid w:val="00150166"/>
    <w:rsid w:val="0015028B"/>
    <w:rsid w:val="001502C1"/>
    <w:rsid w:val="001504BF"/>
    <w:rsid w:val="00150B90"/>
    <w:rsid w:val="00150C11"/>
    <w:rsid w:val="00150E05"/>
    <w:rsid w:val="00150E81"/>
    <w:rsid w:val="001510A4"/>
    <w:rsid w:val="001515AB"/>
    <w:rsid w:val="0015161C"/>
    <w:rsid w:val="0015169C"/>
    <w:rsid w:val="00151832"/>
    <w:rsid w:val="001518CC"/>
    <w:rsid w:val="001519A3"/>
    <w:rsid w:val="00151A91"/>
    <w:rsid w:val="00151B44"/>
    <w:rsid w:val="00151BAB"/>
    <w:rsid w:val="00151C6D"/>
    <w:rsid w:val="00151D5B"/>
    <w:rsid w:val="00151F68"/>
    <w:rsid w:val="00151FE0"/>
    <w:rsid w:val="0015207B"/>
    <w:rsid w:val="00152632"/>
    <w:rsid w:val="00152669"/>
    <w:rsid w:val="00152E77"/>
    <w:rsid w:val="00152E7B"/>
    <w:rsid w:val="001534EF"/>
    <w:rsid w:val="00153755"/>
    <w:rsid w:val="001539DC"/>
    <w:rsid w:val="00153C2E"/>
    <w:rsid w:val="00153CE5"/>
    <w:rsid w:val="00153DC4"/>
    <w:rsid w:val="00153FF3"/>
    <w:rsid w:val="00154082"/>
    <w:rsid w:val="00154206"/>
    <w:rsid w:val="00154532"/>
    <w:rsid w:val="0015455C"/>
    <w:rsid w:val="00154BB9"/>
    <w:rsid w:val="00154C99"/>
    <w:rsid w:val="001551C2"/>
    <w:rsid w:val="00155209"/>
    <w:rsid w:val="001555A5"/>
    <w:rsid w:val="001555D2"/>
    <w:rsid w:val="0015562D"/>
    <w:rsid w:val="00155998"/>
    <w:rsid w:val="001559F9"/>
    <w:rsid w:val="00155B10"/>
    <w:rsid w:val="00155C77"/>
    <w:rsid w:val="00155E0A"/>
    <w:rsid w:val="0015610D"/>
    <w:rsid w:val="001561C0"/>
    <w:rsid w:val="0015624D"/>
    <w:rsid w:val="001563A9"/>
    <w:rsid w:val="00156855"/>
    <w:rsid w:val="00156B1A"/>
    <w:rsid w:val="00156C04"/>
    <w:rsid w:val="00156DF0"/>
    <w:rsid w:val="00156E48"/>
    <w:rsid w:val="00156F88"/>
    <w:rsid w:val="00156FD9"/>
    <w:rsid w:val="001572F0"/>
    <w:rsid w:val="001573ED"/>
    <w:rsid w:val="0015746A"/>
    <w:rsid w:val="00157533"/>
    <w:rsid w:val="001575CC"/>
    <w:rsid w:val="0015787E"/>
    <w:rsid w:val="00157965"/>
    <w:rsid w:val="00157A6F"/>
    <w:rsid w:val="00157CEA"/>
    <w:rsid w:val="00157D18"/>
    <w:rsid w:val="00157D28"/>
    <w:rsid w:val="0016003F"/>
    <w:rsid w:val="001600E0"/>
    <w:rsid w:val="001604D6"/>
    <w:rsid w:val="00160561"/>
    <w:rsid w:val="001608F5"/>
    <w:rsid w:val="00160B27"/>
    <w:rsid w:val="00160BB0"/>
    <w:rsid w:val="00160BF5"/>
    <w:rsid w:val="00160D7A"/>
    <w:rsid w:val="00160D94"/>
    <w:rsid w:val="001611DC"/>
    <w:rsid w:val="00161460"/>
    <w:rsid w:val="001615A7"/>
    <w:rsid w:val="001615D9"/>
    <w:rsid w:val="00161A3E"/>
    <w:rsid w:val="00161B9D"/>
    <w:rsid w:val="00161D5A"/>
    <w:rsid w:val="00161E53"/>
    <w:rsid w:val="00161FA4"/>
    <w:rsid w:val="00161FFD"/>
    <w:rsid w:val="001621BD"/>
    <w:rsid w:val="00162489"/>
    <w:rsid w:val="001626B8"/>
    <w:rsid w:val="0016288D"/>
    <w:rsid w:val="00162E99"/>
    <w:rsid w:val="00162FBF"/>
    <w:rsid w:val="00163252"/>
    <w:rsid w:val="001636E0"/>
    <w:rsid w:val="00163BAC"/>
    <w:rsid w:val="00163BE0"/>
    <w:rsid w:val="00163E3B"/>
    <w:rsid w:val="00163F99"/>
    <w:rsid w:val="001640F0"/>
    <w:rsid w:val="00164120"/>
    <w:rsid w:val="001641E8"/>
    <w:rsid w:val="001642DA"/>
    <w:rsid w:val="0016445B"/>
    <w:rsid w:val="001644BC"/>
    <w:rsid w:val="0016461C"/>
    <w:rsid w:val="00164814"/>
    <w:rsid w:val="00164957"/>
    <w:rsid w:val="00164CC1"/>
    <w:rsid w:val="00164CCD"/>
    <w:rsid w:val="00164E02"/>
    <w:rsid w:val="00164E4D"/>
    <w:rsid w:val="00164FAE"/>
    <w:rsid w:val="00165067"/>
    <w:rsid w:val="0016510C"/>
    <w:rsid w:val="001651A7"/>
    <w:rsid w:val="0016538D"/>
    <w:rsid w:val="001654F6"/>
    <w:rsid w:val="0016586B"/>
    <w:rsid w:val="00165889"/>
    <w:rsid w:val="00165967"/>
    <w:rsid w:val="001659B7"/>
    <w:rsid w:val="00165A2B"/>
    <w:rsid w:val="00165BBF"/>
    <w:rsid w:val="00165C5C"/>
    <w:rsid w:val="00165CC2"/>
    <w:rsid w:val="00165CE9"/>
    <w:rsid w:val="001666D3"/>
    <w:rsid w:val="00166967"/>
    <w:rsid w:val="00166AE0"/>
    <w:rsid w:val="00167165"/>
    <w:rsid w:val="00167460"/>
    <w:rsid w:val="001675A7"/>
    <w:rsid w:val="001675CA"/>
    <w:rsid w:val="00167B9B"/>
    <w:rsid w:val="00167C2C"/>
    <w:rsid w:val="00167C82"/>
    <w:rsid w:val="00167ED6"/>
    <w:rsid w:val="001702F9"/>
    <w:rsid w:val="0017047D"/>
    <w:rsid w:val="0017057F"/>
    <w:rsid w:val="001705C7"/>
    <w:rsid w:val="00170B63"/>
    <w:rsid w:val="00170DFF"/>
    <w:rsid w:val="00170E03"/>
    <w:rsid w:val="00170FB3"/>
    <w:rsid w:val="00170FD2"/>
    <w:rsid w:val="001713A4"/>
    <w:rsid w:val="0017168D"/>
    <w:rsid w:val="001718AF"/>
    <w:rsid w:val="00171966"/>
    <w:rsid w:val="00171A11"/>
    <w:rsid w:val="00171C7E"/>
    <w:rsid w:val="00171CCA"/>
    <w:rsid w:val="00171DB3"/>
    <w:rsid w:val="00171F72"/>
    <w:rsid w:val="00172049"/>
    <w:rsid w:val="0017208A"/>
    <w:rsid w:val="00172346"/>
    <w:rsid w:val="001725FA"/>
    <w:rsid w:val="00172975"/>
    <w:rsid w:val="00172EC3"/>
    <w:rsid w:val="00173116"/>
    <w:rsid w:val="001733C4"/>
    <w:rsid w:val="0017344F"/>
    <w:rsid w:val="00173482"/>
    <w:rsid w:val="001734CF"/>
    <w:rsid w:val="001735EC"/>
    <w:rsid w:val="001737E6"/>
    <w:rsid w:val="0017395E"/>
    <w:rsid w:val="00173A7E"/>
    <w:rsid w:val="00173AE9"/>
    <w:rsid w:val="00173D38"/>
    <w:rsid w:val="00173F06"/>
    <w:rsid w:val="0017400F"/>
    <w:rsid w:val="001743FD"/>
    <w:rsid w:val="001746E0"/>
    <w:rsid w:val="00174A4A"/>
    <w:rsid w:val="00174B3D"/>
    <w:rsid w:val="00174CD3"/>
    <w:rsid w:val="001752E6"/>
    <w:rsid w:val="00175472"/>
    <w:rsid w:val="0017555B"/>
    <w:rsid w:val="001755F1"/>
    <w:rsid w:val="0017582D"/>
    <w:rsid w:val="001758FF"/>
    <w:rsid w:val="001759D8"/>
    <w:rsid w:val="00175B86"/>
    <w:rsid w:val="00175C01"/>
    <w:rsid w:val="00175C83"/>
    <w:rsid w:val="00175ECA"/>
    <w:rsid w:val="00175FF9"/>
    <w:rsid w:val="001761BB"/>
    <w:rsid w:val="0017635A"/>
    <w:rsid w:val="0017657A"/>
    <w:rsid w:val="001767AE"/>
    <w:rsid w:val="00176E90"/>
    <w:rsid w:val="00176F5F"/>
    <w:rsid w:val="00177361"/>
    <w:rsid w:val="00177516"/>
    <w:rsid w:val="0017752C"/>
    <w:rsid w:val="00177564"/>
    <w:rsid w:val="00177825"/>
    <w:rsid w:val="0017790A"/>
    <w:rsid w:val="0017790F"/>
    <w:rsid w:val="00177D9B"/>
    <w:rsid w:val="00177FF0"/>
    <w:rsid w:val="001803A3"/>
    <w:rsid w:val="0018050F"/>
    <w:rsid w:val="00180514"/>
    <w:rsid w:val="00180524"/>
    <w:rsid w:val="001806B4"/>
    <w:rsid w:val="00180735"/>
    <w:rsid w:val="001808CB"/>
    <w:rsid w:val="00180A82"/>
    <w:rsid w:val="00180AB7"/>
    <w:rsid w:val="00180B84"/>
    <w:rsid w:val="00180C00"/>
    <w:rsid w:val="00180C09"/>
    <w:rsid w:val="00180C1A"/>
    <w:rsid w:val="00180C56"/>
    <w:rsid w:val="00180E21"/>
    <w:rsid w:val="00180EF4"/>
    <w:rsid w:val="001812BA"/>
    <w:rsid w:val="001812FA"/>
    <w:rsid w:val="001816F8"/>
    <w:rsid w:val="00181743"/>
    <w:rsid w:val="00181971"/>
    <w:rsid w:val="00181AA3"/>
    <w:rsid w:val="00181D63"/>
    <w:rsid w:val="00182199"/>
    <w:rsid w:val="001821DC"/>
    <w:rsid w:val="0018225E"/>
    <w:rsid w:val="001827F8"/>
    <w:rsid w:val="00182B6A"/>
    <w:rsid w:val="00182D15"/>
    <w:rsid w:val="00182D85"/>
    <w:rsid w:val="00182DD4"/>
    <w:rsid w:val="00182F02"/>
    <w:rsid w:val="00183060"/>
    <w:rsid w:val="001830C8"/>
    <w:rsid w:val="00183174"/>
    <w:rsid w:val="00183776"/>
    <w:rsid w:val="0018399B"/>
    <w:rsid w:val="00183B93"/>
    <w:rsid w:val="00183B99"/>
    <w:rsid w:val="00183BC6"/>
    <w:rsid w:val="00183CAA"/>
    <w:rsid w:val="00183D15"/>
    <w:rsid w:val="00183F4E"/>
    <w:rsid w:val="001844D2"/>
    <w:rsid w:val="0018454A"/>
    <w:rsid w:val="00184993"/>
    <w:rsid w:val="00184A1B"/>
    <w:rsid w:val="00184CDB"/>
    <w:rsid w:val="00184CE8"/>
    <w:rsid w:val="00184EC1"/>
    <w:rsid w:val="00184EF6"/>
    <w:rsid w:val="00184F25"/>
    <w:rsid w:val="00185091"/>
    <w:rsid w:val="001855C2"/>
    <w:rsid w:val="0018579E"/>
    <w:rsid w:val="0018584A"/>
    <w:rsid w:val="001858BA"/>
    <w:rsid w:val="0018594A"/>
    <w:rsid w:val="00185ADD"/>
    <w:rsid w:val="00185B54"/>
    <w:rsid w:val="00185D25"/>
    <w:rsid w:val="00185D48"/>
    <w:rsid w:val="0018612C"/>
    <w:rsid w:val="001861FD"/>
    <w:rsid w:val="001863C4"/>
    <w:rsid w:val="0018678A"/>
    <w:rsid w:val="00186849"/>
    <w:rsid w:val="00186E33"/>
    <w:rsid w:val="00186F29"/>
    <w:rsid w:val="00187024"/>
    <w:rsid w:val="001870B8"/>
    <w:rsid w:val="001872B8"/>
    <w:rsid w:val="00187440"/>
    <w:rsid w:val="00187450"/>
    <w:rsid w:val="001875CB"/>
    <w:rsid w:val="001878C7"/>
    <w:rsid w:val="00187AED"/>
    <w:rsid w:val="00187BD4"/>
    <w:rsid w:val="00187EDE"/>
    <w:rsid w:val="00187F0D"/>
    <w:rsid w:val="001900C7"/>
    <w:rsid w:val="00190388"/>
    <w:rsid w:val="00190448"/>
    <w:rsid w:val="00190592"/>
    <w:rsid w:val="001905FF"/>
    <w:rsid w:val="00190A55"/>
    <w:rsid w:val="00190A63"/>
    <w:rsid w:val="00190DC4"/>
    <w:rsid w:val="00191080"/>
    <w:rsid w:val="001911F6"/>
    <w:rsid w:val="00191310"/>
    <w:rsid w:val="001913E0"/>
    <w:rsid w:val="00191A23"/>
    <w:rsid w:val="00191A94"/>
    <w:rsid w:val="00191D11"/>
    <w:rsid w:val="00191E88"/>
    <w:rsid w:val="001920F1"/>
    <w:rsid w:val="00192171"/>
    <w:rsid w:val="0019217E"/>
    <w:rsid w:val="00192544"/>
    <w:rsid w:val="001925BC"/>
    <w:rsid w:val="00192791"/>
    <w:rsid w:val="00192812"/>
    <w:rsid w:val="00192AA1"/>
    <w:rsid w:val="00192C55"/>
    <w:rsid w:val="00192D26"/>
    <w:rsid w:val="00193181"/>
    <w:rsid w:val="00193253"/>
    <w:rsid w:val="0019379D"/>
    <w:rsid w:val="00193849"/>
    <w:rsid w:val="00193921"/>
    <w:rsid w:val="00193AD9"/>
    <w:rsid w:val="00193CB1"/>
    <w:rsid w:val="00193DA0"/>
    <w:rsid w:val="00193E9B"/>
    <w:rsid w:val="00193ECF"/>
    <w:rsid w:val="001940E2"/>
    <w:rsid w:val="00194101"/>
    <w:rsid w:val="00194195"/>
    <w:rsid w:val="0019430C"/>
    <w:rsid w:val="001943CC"/>
    <w:rsid w:val="001943F9"/>
    <w:rsid w:val="00194682"/>
    <w:rsid w:val="00194740"/>
    <w:rsid w:val="0019485A"/>
    <w:rsid w:val="00194A90"/>
    <w:rsid w:val="00194D6F"/>
    <w:rsid w:val="00195142"/>
    <w:rsid w:val="001951D3"/>
    <w:rsid w:val="001951FE"/>
    <w:rsid w:val="0019524D"/>
    <w:rsid w:val="00195699"/>
    <w:rsid w:val="00195929"/>
    <w:rsid w:val="00195D4E"/>
    <w:rsid w:val="00195E99"/>
    <w:rsid w:val="00195EDB"/>
    <w:rsid w:val="00195F0E"/>
    <w:rsid w:val="00195F4A"/>
    <w:rsid w:val="00196032"/>
    <w:rsid w:val="001964F4"/>
    <w:rsid w:val="00196501"/>
    <w:rsid w:val="00196522"/>
    <w:rsid w:val="00196636"/>
    <w:rsid w:val="001966C3"/>
    <w:rsid w:val="001966D5"/>
    <w:rsid w:val="00196A6F"/>
    <w:rsid w:val="00196AB9"/>
    <w:rsid w:val="00196B52"/>
    <w:rsid w:val="00196BAA"/>
    <w:rsid w:val="00196D6E"/>
    <w:rsid w:val="00197049"/>
    <w:rsid w:val="001970AC"/>
    <w:rsid w:val="001970CC"/>
    <w:rsid w:val="00197350"/>
    <w:rsid w:val="001975F4"/>
    <w:rsid w:val="00197719"/>
    <w:rsid w:val="00197A26"/>
    <w:rsid w:val="00197A75"/>
    <w:rsid w:val="00197A9B"/>
    <w:rsid w:val="00197D5A"/>
    <w:rsid w:val="00197F09"/>
    <w:rsid w:val="001A0022"/>
    <w:rsid w:val="001A00F4"/>
    <w:rsid w:val="001A0221"/>
    <w:rsid w:val="001A02C2"/>
    <w:rsid w:val="001A04CC"/>
    <w:rsid w:val="001A04E7"/>
    <w:rsid w:val="001A0632"/>
    <w:rsid w:val="001A0B14"/>
    <w:rsid w:val="001A0B35"/>
    <w:rsid w:val="001A0C5E"/>
    <w:rsid w:val="001A0D5C"/>
    <w:rsid w:val="001A0DE0"/>
    <w:rsid w:val="001A0E2B"/>
    <w:rsid w:val="001A0EAF"/>
    <w:rsid w:val="001A1036"/>
    <w:rsid w:val="001A106D"/>
    <w:rsid w:val="001A115D"/>
    <w:rsid w:val="001A117A"/>
    <w:rsid w:val="001A1201"/>
    <w:rsid w:val="001A1205"/>
    <w:rsid w:val="001A1499"/>
    <w:rsid w:val="001A14D7"/>
    <w:rsid w:val="001A15D4"/>
    <w:rsid w:val="001A1732"/>
    <w:rsid w:val="001A1A9E"/>
    <w:rsid w:val="001A1CB6"/>
    <w:rsid w:val="001A1E40"/>
    <w:rsid w:val="001A201D"/>
    <w:rsid w:val="001A215E"/>
    <w:rsid w:val="001A25D5"/>
    <w:rsid w:val="001A272D"/>
    <w:rsid w:val="001A3076"/>
    <w:rsid w:val="001A3512"/>
    <w:rsid w:val="001A3577"/>
    <w:rsid w:val="001A35FB"/>
    <w:rsid w:val="001A3CD6"/>
    <w:rsid w:val="001A3D17"/>
    <w:rsid w:val="001A3D47"/>
    <w:rsid w:val="001A3DCB"/>
    <w:rsid w:val="001A3F85"/>
    <w:rsid w:val="001A40C2"/>
    <w:rsid w:val="001A4374"/>
    <w:rsid w:val="001A43E3"/>
    <w:rsid w:val="001A43F6"/>
    <w:rsid w:val="001A484A"/>
    <w:rsid w:val="001A4B1B"/>
    <w:rsid w:val="001A4B7C"/>
    <w:rsid w:val="001A4B92"/>
    <w:rsid w:val="001A4C11"/>
    <w:rsid w:val="001A4C79"/>
    <w:rsid w:val="001A4DCD"/>
    <w:rsid w:val="001A4E95"/>
    <w:rsid w:val="001A4F95"/>
    <w:rsid w:val="001A4FD6"/>
    <w:rsid w:val="001A511C"/>
    <w:rsid w:val="001A526F"/>
    <w:rsid w:val="001A546B"/>
    <w:rsid w:val="001A575F"/>
    <w:rsid w:val="001A5DCB"/>
    <w:rsid w:val="001A5E5B"/>
    <w:rsid w:val="001A61C6"/>
    <w:rsid w:val="001A635A"/>
    <w:rsid w:val="001A6431"/>
    <w:rsid w:val="001A6684"/>
    <w:rsid w:val="001A71EB"/>
    <w:rsid w:val="001A739D"/>
    <w:rsid w:val="001A74FA"/>
    <w:rsid w:val="001A761D"/>
    <w:rsid w:val="001A767A"/>
    <w:rsid w:val="001A76E7"/>
    <w:rsid w:val="001A7793"/>
    <w:rsid w:val="001A77BD"/>
    <w:rsid w:val="001A7C2B"/>
    <w:rsid w:val="001B00E8"/>
    <w:rsid w:val="001B0336"/>
    <w:rsid w:val="001B04B6"/>
    <w:rsid w:val="001B04E1"/>
    <w:rsid w:val="001B051D"/>
    <w:rsid w:val="001B07C4"/>
    <w:rsid w:val="001B07D6"/>
    <w:rsid w:val="001B095F"/>
    <w:rsid w:val="001B0A4F"/>
    <w:rsid w:val="001B0A54"/>
    <w:rsid w:val="001B0A6F"/>
    <w:rsid w:val="001B0ABF"/>
    <w:rsid w:val="001B0CE7"/>
    <w:rsid w:val="001B0E0F"/>
    <w:rsid w:val="001B0FD0"/>
    <w:rsid w:val="001B12D3"/>
    <w:rsid w:val="001B13BA"/>
    <w:rsid w:val="001B1518"/>
    <w:rsid w:val="001B175C"/>
    <w:rsid w:val="001B18C6"/>
    <w:rsid w:val="001B190E"/>
    <w:rsid w:val="001B197E"/>
    <w:rsid w:val="001B1A4E"/>
    <w:rsid w:val="001B1AF2"/>
    <w:rsid w:val="001B1C5D"/>
    <w:rsid w:val="001B1E9B"/>
    <w:rsid w:val="001B1FA5"/>
    <w:rsid w:val="001B23FD"/>
    <w:rsid w:val="001B281F"/>
    <w:rsid w:val="001B2952"/>
    <w:rsid w:val="001B29DE"/>
    <w:rsid w:val="001B2B8B"/>
    <w:rsid w:val="001B2CDB"/>
    <w:rsid w:val="001B2F57"/>
    <w:rsid w:val="001B337C"/>
    <w:rsid w:val="001B35C4"/>
    <w:rsid w:val="001B3679"/>
    <w:rsid w:val="001B3EB6"/>
    <w:rsid w:val="001B3FCC"/>
    <w:rsid w:val="001B42AC"/>
    <w:rsid w:val="001B42D2"/>
    <w:rsid w:val="001B47B6"/>
    <w:rsid w:val="001B4806"/>
    <w:rsid w:val="001B481F"/>
    <w:rsid w:val="001B4896"/>
    <w:rsid w:val="001B48B5"/>
    <w:rsid w:val="001B49FB"/>
    <w:rsid w:val="001B4CFB"/>
    <w:rsid w:val="001B4D31"/>
    <w:rsid w:val="001B569B"/>
    <w:rsid w:val="001B57CD"/>
    <w:rsid w:val="001B5FEF"/>
    <w:rsid w:val="001B60FC"/>
    <w:rsid w:val="001B6144"/>
    <w:rsid w:val="001B619C"/>
    <w:rsid w:val="001B61DA"/>
    <w:rsid w:val="001B6362"/>
    <w:rsid w:val="001B6429"/>
    <w:rsid w:val="001B647D"/>
    <w:rsid w:val="001B6624"/>
    <w:rsid w:val="001B66F1"/>
    <w:rsid w:val="001B677D"/>
    <w:rsid w:val="001B6B54"/>
    <w:rsid w:val="001B6C2F"/>
    <w:rsid w:val="001B6C46"/>
    <w:rsid w:val="001B6E4C"/>
    <w:rsid w:val="001B7255"/>
    <w:rsid w:val="001B7278"/>
    <w:rsid w:val="001B73C8"/>
    <w:rsid w:val="001B74B9"/>
    <w:rsid w:val="001B75C4"/>
    <w:rsid w:val="001B765C"/>
    <w:rsid w:val="001B7817"/>
    <w:rsid w:val="001B7BA4"/>
    <w:rsid w:val="001B7D3B"/>
    <w:rsid w:val="001B7DAC"/>
    <w:rsid w:val="001B7FB1"/>
    <w:rsid w:val="001C01BB"/>
    <w:rsid w:val="001C03EC"/>
    <w:rsid w:val="001C0A5C"/>
    <w:rsid w:val="001C0AE0"/>
    <w:rsid w:val="001C0F7C"/>
    <w:rsid w:val="001C134B"/>
    <w:rsid w:val="001C1479"/>
    <w:rsid w:val="001C148F"/>
    <w:rsid w:val="001C1B84"/>
    <w:rsid w:val="001C1CA6"/>
    <w:rsid w:val="001C1DD3"/>
    <w:rsid w:val="001C1E72"/>
    <w:rsid w:val="001C1ED6"/>
    <w:rsid w:val="001C1EF5"/>
    <w:rsid w:val="001C1F06"/>
    <w:rsid w:val="001C2126"/>
    <w:rsid w:val="001C231A"/>
    <w:rsid w:val="001C30E5"/>
    <w:rsid w:val="001C3177"/>
    <w:rsid w:val="001C3229"/>
    <w:rsid w:val="001C3D3C"/>
    <w:rsid w:val="001C4024"/>
    <w:rsid w:val="001C438D"/>
    <w:rsid w:val="001C45D0"/>
    <w:rsid w:val="001C4740"/>
    <w:rsid w:val="001C478C"/>
    <w:rsid w:val="001C48FA"/>
    <w:rsid w:val="001C49D9"/>
    <w:rsid w:val="001C4BC3"/>
    <w:rsid w:val="001C4CA2"/>
    <w:rsid w:val="001C4CFD"/>
    <w:rsid w:val="001C4E16"/>
    <w:rsid w:val="001C4F68"/>
    <w:rsid w:val="001C4F8C"/>
    <w:rsid w:val="001C5089"/>
    <w:rsid w:val="001C542E"/>
    <w:rsid w:val="001C54A6"/>
    <w:rsid w:val="001C5632"/>
    <w:rsid w:val="001C59A7"/>
    <w:rsid w:val="001C5B5E"/>
    <w:rsid w:val="001C5CF6"/>
    <w:rsid w:val="001C5F99"/>
    <w:rsid w:val="001C64CC"/>
    <w:rsid w:val="001C66CA"/>
    <w:rsid w:val="001C66D9"/>
    <w:rsid w:val="001C68CC"/>
    <w:rsid w:val="001C6B1B"/>
    <w:rsid w:val="001C7119"/>
    <w:rsid w:val="001C72ED"/>
    <w:rsid w:val="001C76B8"/>
    <w:rsid w:val="001C7781"/>
    <w:rsid w:val="001C7F30"/>
    <w:rsid w:val="001D06E8"/>
    <w:rsid w:val="001D0A57"/>
    <w:rsid w:val="001D0B22"/>
    <w:rsid w:val="001D0B40"/>
    <w:rsid w:val="001D1182"/>
    <w:rsid w:val="001D1390"/>
    <w:rsid w:val="001D14C2"/>
    <w:rsid w:val="001D1626"/>
    <w:rsid w:val="001D162E"/>
    <w:rsid w:val="001D1773"/>
    <w:rsid w:val="001D17D1"/>
    <w:rsid w:val="001D1915"/>
    <w:rsid w:val="001D1929"/>
    <w:rsid w:val="001D198F"/>
    <w:rsid w:val="001D1A06"/>
    <w:rsid w:val="001D1A1D"/>
    <w:rsid w:val="001D1A26"/>
    <w:rsid w:val="001D1A48"/>
    <w:rsid w:val="001D1C37"/>
    <w:rsid w:val="001D2471"/>
    <w:rsid w:val="001D25D9"/>
    <w:rsid w:val="001D2890"/>
    <w:rsid w:val="001D290C"/>
    <w:rsid w:val="001D2941"/>
    <w:rsid w:val="001D2C15"/>
    <w:rsid w:val="001D317F"/>
    <w:rsid w:val="001D3363"/>
    <w:rsid w:val="001D34D3"/>
    <w:rsid w:val="001D36B2"/>
    <w:rsid w:val="001D3A61"/>
    <w:rsid w:val="001D3B20"/>
    <w:rsid w:val="001D3E76"/>
    <w:rsid w:val="001D4135"/>
    <w:rsid w:val="001D41DE"/>
    <w:rsid w:val="001D42C1"/>
    <w:rsid w:val="001D43CB"/>
    <w:rsid w:val="001D44DB"/>
    <w:rsid w:val="001D4B7B"/>
    <w:rsid w:val="001D4BF1"/>
    <w:rsid w:val="001D4D19"/>
    <w:rsid w:val="001D4D84"/>
    <w:rsid w:val="001D4F1E"/>
    <w:rsid w:val="001D4F68"/>
    <w:rsid w:val="001D54E2"/>
    <w:rsid w:val="001D551F"/>
    <w:rsid w:val="001D56FA"/>
    <w:rsid w:val="001D5875"/>
    <w:rsid w:val="001D5961"/>
    <w:rsid w:val="001D5C15"/>
    <w:rsid w:val="001D6070"/>
    <w:rsid w:val="001D6150"/>
    <w:rsid w:val="001D6440"/>
    <w:rsid w:val="001D6694"/>
    <w:rsid w:val="001D67C7"/>
    <w:rsid w:val="001D694B"/>
    <w:rsid w:val="001D69A3"/>
    <w:rsid w:val="001D6A64"/>
    <w:rsid w:val="001D6D65"/>
    <w:rsid w:val="001D7418"/>
    <w:rsid w:val="001D74A8"/>
    <w:rsid w:val="001D74D3"/>
    <w:rsid w:val="001D7520"/>
    <w:rsid w:val="001D7541"/>
    <w:rsid w:val="001D7A7E"/>
    <w:rsid w:val="001D7B51"/>
    <w:rsid w:val="001D7BC6"/>
    <w:rsid w:val="001D7C0C"/>
    <w:rsid w:val="001D7DC0"/>
    <w:rsid w:val="001D7DD5"/>
    <w:rsid w:val="001D7E5E"/>
    <w:rsid w:val="001D7E8E"/>
    <w:rsid w:val="001D7F1C"/>
    <w:rsid w:val="001E0006"/>
    <w:rsid w:val="001E015D"/>
    <w:rsid w:val="001E028B"/>
    <w:rsid w:val="001E074E"/>
    <w:rsid w:val="001E0AE9"/>
    <w:rsid w:val="001E0C29"/>
    <w:rsid w:val="001E0C88"/>
    <w:rsid w:val="001E0CF3"/>
    <w:rsid w:val="001E0DF9"/>
    <w:rsid w:val="001E12F3"/>
    <w:rsid w:val="001E159D"/>
    <w:rsid w:val="001E19C5"/>
    <w:rsid w:val="001E1E71"/>
    <w:rsid w:val="001E201E"/>
    <w:rsid w:val="001E2374"/>
    <w:rsid w:val="001E25B9"/>
    <w:rsid w:val="001E26E9"/>
    <w:rsid w:val="001E291E"/>
    <w:rsid w:val="001E29DC"/>
    <w:rsid w:val="001E2A8D"/>
    <w:rsid w:val="001E2B27"/>
    <w:rsid w:val="001E2E84"/>
    <w:rsid w:val="001E2F87"/>
    <w:rsid w:val="001E300C"/>
    <w:rsid w:val="001E304C"/>
    <w:rsid w:val="001E30D8"/>
    <w:rsid w:val="001E323C"/>
    <w:rsid w:val="001E32D9"/>
    <w:rsid w:val="001E3303"/>
    <w:rsid w:val="001E3648"/>
    <w:rsid w:val="001E39DE"/>
    <w:rsid w:val="001E3A50"/>
    <w:rsid w:val="001E3D61"/>
    <w:rsid w:val="001E3E33"/>
    <w:rsid w:val="001E4112"/>
    <w:rsid w:val="001E4600"/>
    <w:rsid w:val="001E4626"/>
    <w:rsid w:val="001E463E"/>
    <w:rsid w:val="001E46F3"/>
    <w:rsid w:val="001E4ADC"/>
    <w:rsid w:val="001E4D67"/>
    <w:rsid w:val="001E4F20"/>
    <w:rsid w:val="001E5147"/>
    <w:rsid w:val="001E558A"/>
    <w:rsid w:val="001E57C8"/>
    <w:rsid w:val="001E5801"/>
    <w:rsid w:val="001E583D"/>
    <w:rsid w:val="001E5980"/>
    <w:rsid w:val="001E5A8B"/>
    <w:rsid w:val="001E5ADD"/>
    <w:rsid w:val="001E5B64"/>
    <w:rsid w:val="001E5CC7"/>
    <w:rsid w:val="001E5D8A"/>
    <w:rsid w:val="001E5E1A"/>
    <w:rsid w:val="001E5F6D"/>
    <w:rsid w:val="001E605A"/>
    <w:rsid w:val="001E6234"/>
    <w:rsid w:val="001E6309"/>
    <w:rsid w:val="001E6565"/>
    <w:rsid w:val="001E65F2"/>
    <w:rsid w:val="001E6A6B"/>
    <w:rsid w:val="001E703B"/>
    <w:rsid w:val="001E71EE"/>
    <w:rsid w:val="001E7323"/>
    <w:rsid w:val="001E74C9"/>
    <w:rsid w:val="001E7653"/>
    <w:rsid w:val="001E76DC"/>
    <w:rsid w:val="001E7724"/>
    <w:rsid w:val="001E7753"/>
    <w:rsid w:val="001E77D9"/>
    <w:rsid w:val="001E7821"/>
    <w:rsid w:val="001E7848"/>
    <w:rsid w:val="001E7BE3"/>
    <w:rsid w:val="001E7E26"/>
    <w:rsid w:val="001E7F78"/>
    <w:rsid w:val="001F00A3"/>
    <w:rsid w:val="001F027A"/>
    <w:rsid w:val="001F07D1"/>
    <w:rsid w:val="001F0AAF"/>
    <w:rsid w:val="001F0C29"/>
    <w:rsid w:val="001F0C52"/>
    <w:rsid w:val="001F1381"/>
    <w:rsid w:val="001F13BE"/>
    <w:rsid w:val="001F1978"/>
    <w:rsid w:val="001F19A8"/>
    <w:rsid w:val="001F1A93"/>
    <w:rsid w:val="001F1D08"/>
    <w:rsid w:val="001F1E96"/>
    <w:rsid w:val="001F21F4"/>
    <w:rsid w:val="001F222C"/>
    <w:rsid w:val="001F22D0"/>
    <w:rsid w:val="001F25DD"/>
    <w:rsid w:val="001F25FE"/>
    <w:rsid w:val="001F2667"/>
    <w:rsid w:val="001F28F6"/>
    <w:rsid w:val="001F29A8"/>
    <w:rsid w:val="001F2D2C"/>
    <w:rsid w:val="001F2D5B"/>
    <w:rsid w:val="001F316D"/>
    <w:rsid w:val="001F32C8"/>
    <w:rsid w:val="001F3336"/>
    <w:rsid w:val="001F3365"/>
    <w:rsid w:val="001F34D4"/>
    <w:rsid w:val="001F3685"/>
    <w:rsid w:val="001F36E7"/>
    <w:rsid w:val="001F3C98"/>
    <w:rsid w:val="001F3CA7"/>
    <w:rsid w:val="001F3F14"/>
    <w:rsid w:val="001F43BA"/>
    <w:rsid w:val="001F469D"/>
    <w:rsid w:val="001F4843"/>
    <w:rsid w:val="001F48DE"/>
    <w:rsid w:val="001F48FE"/>
    <w:rsid w:val="001F49E7"/>
    <w:rsid w:val="001F4A3B"/>
    <w:rsid w:val="001F52FC"/>
    <w:rsid w:val="001F54FC"/>
    <w:rsid w:val="001F5BF2"/>
    <w:rsid w:val="001F5C4C"/>
    <w:rsid w:val="001F5EED"/>
    <w:rsid w:val="001F60C4"/>
    <w:rsid w:val="001F6540"/>
    <w:rsid w:val="001F65DB"/>
    <w:rsid w:val="001F6665"/>
    <w:rsid w:val="001F6747"/>
    <w:rsid w:val="001F6ADE"/>
    <w:rsid w:val="001F6B5D"/>
    <w:rsid w:val="001F6B9E"/>
    <w:rsid w:val="001F6FE3"/>
    <w:rsid w:val="001F705D"/>
    <w:rsid w:val="001F711E"/>
    <w:rsid w:val="001F71F1"/>
    <w:rsid w:val="001F7283"/>
    <w:rsid w:val="001F747B"/>
    <w:rsid w:val="001F75FF"/>
    <w:rsid w:val="001F7821"/>
    <w:rsid w:val="001F79BE"/>
    <w:rsid w:val="001F7A30"/>
    <w:rsid w:val="001F7CBD"/>
    <w:rsid w:val="00200892"/>
    <w:rsid w:val="0020089B"/>
    <w:rsid w:val="00200CB7"/>
    <w:rsid w:val="00200CC7"/>
    <w:rsid w:val="00200FCB"/>
    <w:rsid w:val="00201083"/>
    <w:rsid w:val="002010B4"/>
    <w:rsid w:val="002010DD"/>
    <w:rsid w:val="0020114F"/>
    <w:rsid w:val="00201576"/>
    <w:rsid w:val="002016AE"/>
    <w:rsid w:val="0020182C"/>
    <w:rsid w:val="002019C7"/>
    <w:rsid w:val="00201A5F"/>
    <w:rsid w:val="00201C27"/>
    <w:rsid w:val="00201E24"/>
    <w:rsid w:val="00201ECF"/>
    <w:rsid w:val="002021D1"/>
    <w:rsid w:val="002021E2"/>
    <w:rsid w:val="00202466"/>
    <w:rsid w:val="00202511"/>
    <w:rsid w:val="00202F9C"/>
    <w:rsid w:val="00203054"/>
    <w:rsid w:val="002030FD"/>
    <w:rsid w:val="0020332C"/>
    <w:rsid w:val="0020346A"/>
    <w:rsid w:val="002034F7"/>
    <w:rsid w:val="00203693"/>
    <w:rsid w:val="002039B5"/>
    <w:rsid w:val="00203BEB"/>
    <w:rsid w:val="00203ECE"/>
    <w:rsid w:val="002040C2"/>
    <w:rsid w:val="00204212"/>
    <w:rsid w:val="002042CC"/>
    <w:rsid w:val="00204304"/>
    <w:rsid w:val="00204458"/>
    <w:rsid w:val="00204CB5"/>
    <w:rsid w:val="00204D5D"/>
    <w:rsid w:val="0020501D"/>
    <w:rsid w:val="00205022"/>
    <w:rsid w:val="002051EC"/>
    <w:rsid w:val="00205255"/>
    <w:rsid w:val="002052E6"/>
    <w:rsid w:val="002055E7"/>
    <w:rsid w:val="00205672"/>
    <w:rsid w:val="002059B5"/>
    <w:rsid w:val="00205F3F"/>
    <w:rsid w:val="0020620D"/>
    <w:rsid w:val="0020621B"/>
    <w:rsid w:val="00206598"/>
    <w:rsid w:val="002068F6"/>
    <w:rsid w:val="00206A2B"/>
    <w:rsid w:val="00206A32"/>
    <w:rsid w:val="00206B99"/>
    <w:rsid w:val="00206DC7"/>
    <w:rsid w:val="002070C0"/>
    <w:rsid w:val="002071EC"/>
    <w:rsid w:val="00207367"/>
    <w:rsid w:val="00207425"/>
    <w:rsid w:val="002075C9"/>
    <w:rsid w:val="00207C65"/>
    <w:rsid w:val="00207C68"/>
    <w:rsid w:val="00207FC9"/>
    <w:rsid w:val="00210216"/>
    <w:rsid w:val="002102F2"/>
    <w:rsid w:val="002104A4"/>
    <w:rsid w:val="0021067F"/>
    <w:rsid w:val="002108F1"/>
    <w:rsid w:val="00210A01"/>
    <w:rsid w:val="00210B76"/>
    <w:rsid w:val="00210B86"/>
    <w:rsid w:val="00210CC8"/>
    <w:rsid w:val="00210E1A"/>
    <w:rsid w:val="00210F06"/>
    <w:rsid w:val="0021143B"/>
    <w:rsid w:val="002114E7"/>
    <w:rsid w:val="00211636"/>
    <w:rsid w:val="0021164B"/>
    <w:rsid w:val="0021164F"/>
    <w:rsid w:val="00211680"/>
    <w:rsid w:val="002117B3"/>
    <w:rsid w:val="0021199E"/>
    <w:rsid w:val="002119E2"/>
    <w:rsid w:val="00211AE9"/>
    <w:rsid w:val="00211D27"/>
    <w:rsid w:val="00211E80"/>
    <w:rsid w:val="00211E8A"/>
    <w:rsid w:val="0021203E"/>
    <w:rsid w:val="002122FB"/>
    <w:rsid w:val="00212422"/>
    <w:rsid w:val="00212573"/>
    <w:rsid w:val="00212576"/>
    <w:rsid w:val="00212A68"/>
    <w:rsid w:val="00212AD5"/>
    <w:rsid w:val="00212B9A"/>
    <w:rsid w:val="00212BF0"/>
    <w:rsid w:val="00212C15"/>
    <w:rsid w:val="0021303F"/>
    <w:rsid w:val="0021305E"/>
    <w:rsid w:val="0021307B"/>
    <w:rsid w:val="00213130"/>
    <w:rsid w:val="0021346F"/>
    <w:rsid w:val="0021385E"/>
    <w:rsid w:val="00213945"/>
    <w:rsid w:val="00213C7E"/>
    <w:rsid w:val="00213CC7"/>
    <w:rsid w:val="00213D84"/>
    <w:rsid w:val="00213E2A"/>
    <w:rsid w:val="00213FAF"/>
    <w:rsid w:val="002142A4"/>
    <w:rsid w:val="002142BE"/>
    <w:rsid w:val="00214401"/>
    <w:rsid w:val="002144D8"/>
    <w:rsid w:val="00214576"/>
    <w:rsid w:val="00214582"/>
    <w:rsid w:val="00214585"/>
    <w:rsid w:val="002147A6"/>
    <w:rsid w:val="002147D5"/>
    <w:rsid w:val="00214918"/>
    <w:rsid w:val="002149CD"/>
    <w:rsid w:val="00214AF5"/>
    <w:rsid w:val="002150F2"/>
    <w:rsid w:val="0021538F"/>
    <w:rsid w:val="002156FD"/>
    <w:rsid w:val="002157A5"/>
    <w:rsid w:val="002158FB"/>
    <w:rsid w:val="00215A10"/>
    <w:rsid w:val="00215DB6"/>
    <w:rsid w:val="00215DED"/>
    <w:rsid w:val="00215EC1"/>
    <w:rsid w:val="00215EFE"/>
    <w:rsid w:val="0021611A"/>
    <w:rsid w:val="002162B5"/>
    <w:rsid w:val="002163E6"/>
    <w:rsid w:val="002165B0"/>
    <w:rsid w:val="00216D0E"/>
    <w:rsid w:val="00216ED6"/>
    <w:rsid w:val="002171EF"/>
    <w:rsid w:val="002173C4"/>
    <w:rsid w:val="002173DC"/>
    <w:rsid w:val="00217576"/>
    <w:rsid w:val="00217792"/>
    <w:rsid w:val="00217901"/>
    <w:rsid w:val="002179A7"/>
    <w:rsid w:val="00217B51"/>
    <w:rsid w:val="00217BEA"/>
    <w:rsid w:val="00217C34"/>
    <w:rsid w:val="00217D07"/>
    <w:rsid w:val="00217F75"/>
    <w:rsid w:val="00220139"/>
    <w:rsid w:val="0022017B"/>
    <w:rsid w:val="0022019D"/>
    <w:rsid w:val="0022023A"/>
    <w:rsid w:val="002205D7"/>
    <w:rsid w:val="002205E0"/>
    <w:rsid w:val="00220905"/>
    <w:rsid w:val="00220993"/>
    <w:rsid w:val="00220CF8"/>
    <w:rsid w:val="00220E0C"/>
    <w:rsid w:val="002210E6"/>
    <w:rsid w:val="0022193A"/>
    <w:rsid w:val="00221C9C"/>
    <w:rsid w:val="00221ECF"/>
    <w:rsid w:val="00222184"/>
    <w:rsid w:val="00222200"/>
    <w:rsid w:val="002225A7"/>
    <w:rsid w:val="002225B9"/>
    <w:rsid w:val="002227C5"/>
    <w:rsid w:val="00222AD7"/>
    <w:rsid w:val="00222DBC"/>
    <w:rsid w:val="00223088"/>
    <w:rsid w:val="00223126"/>
    <w:rsid w:val="002233B1"/>
    <w:rsid w:val="002234AE"/>
    <w:rsid w:val="00223541"/>
    <w:rsid w:val="00223689"/>
    <w:rsid w:val="00223694"/>
    <w:rsid w:val="002239FE"/>
    <w:rsid w:val="00223B08"/>
    <w:rsid w:val="00223BD2"/>
    <w:rsid w:val="00223C4F"/>
    <w:rsid w:val="00223F94"/>
    <w:rsid w:val="002240A6"/>
    <w:rsid w:val="00224309"/>
    <w:rsid w:val="00224DC8"/>
    <w:rsid w:val="00224FDB"/>
    <w:rsid w:val="00225159"/>
    <w:rsid w:val="00225448"/>
    <w:rsid w:val="0022552C"/>
    <w:rsid w:val="0022560C"/>
    <w:rsid w:val="0022562C"/>
    <w:rsid w:val="002256E1"/>
    <w:rsid w:val="002256FF"/>
    <w:rsid w:val="0022580A"/>
    <w:rsid w:val="00225AE7"/>
    <w:rsid w:val="00225F7A"/>
    <w:rsid w:val="002263B7"/>
    <w:rsid w:val="0022697E"/>
    <w:rsid w:val="00226A4C"/>
    <w:rsid w:val="00226EB9"/>
    <w:rsid w:val="00227071"/>
    <w:rsid w:val="002271D6"/>
    <w:rsid w:val="0022721B"/>
    <w:rsid w:val="0022724C"/>
    <w:rsid w:val="0022765B"/>
    <w:rsid w:val="0022778E"/>
    <w:rsid w:val="00227D18"/>
    <w:rsid w:val="00227E27"/>
    <w:rsid w:val="00227EE9"/>
    <w:rsid w:val="00227FFE"/>
    <w:rsid w:val="00230362"/>
    <w:rsid w:val="00230995"/>
    <w:rsid w:val="002309B8"/>
    <w:rsid w:val="00230CEC"/>
    <w:rsid w:val="00230DDA"/>
    <w:rsid w:val="00230E94"/>
    <w:rsid w:val="00230EB9"/>
    <w:rsid w:val="00230F04"/>
    <w:rsid w:val="00230FF7"/>
    <w:rsid w:val="002313AD"/>
    <w:rsid w:val="0023168E"/>
    <w:rsid w:val="0023179C"/>
    <w:rsid w:val="0023196C"/>
    <w:rsid w:val="00231A0F"/>
    <w:rsid w:val="00231B63"/>
    <w:rsid w:val="00231D5F"/>
    <w:rsid w:val="00231E41"/>
    <w:rsid w:val="00231E53"/>
    <w:rsid w:val="0023229F"/>
    <w:rsid w:val="0023232E"/>
    <w:rsid w:val="00232412"/>
    <w:rsid w:val="00232704"/>
    <w:rsid w:val="00232762"/>
    <w:rsid w:val="002327E4"/>
    <w:rsid w:val="002329E3"/>
    <w:rsid w:val="00232CB5"/>
    <w:rsid w:val="002331B8"/>
    <w:rsid w:val="00233381"/>
    <w:rsid w:val="002335AD"/>
    <w:rsid w:val="00233627"/>
    <w:rsid w:val="00233657"/>
    <w:rsid w:val="00233987"/>
    <w:rsid w:val="00233C57"/>
    <w:rsid w:val="00233CB2"/>
    <w:rsid w:val="00233ED8"/>
    <w:rsid w:val="00233FE6"/>
    <w:rsid w:val="00234032"/>
    <w:rsid w:val="002340FE"/>
    <w:rsid w:val="00234118"/>
    <w:rsid w:val="0023424B"/>
    <w:rsid w:val="002342C2"/>
    <w:rsid w:val="002342D5"/>
    <w:rsid w:val="002343E5"/>
    <w:rsid w:val="002344DA"/>
    <w:rsid w:val="002346A0"/>
    <w:rsid w:val="002348C8"/>
    <w:rsid w:val="00234AF9"/>
    <w:rsid w:val="00234D69"/>
    <w:rsid w:val="00234DEC"/>
    <w:rsid w:val="00234F62"/>
    <w:rsid w:val="00235728"/>
    <w:rsid w:val="00235737"/>
    <w:rsid w:val="00235972"/>
    <w:rsid w:val="00235C82"/>
    <w:rsid w:val="00235EC8"/>
    <w:rsid w:val="00235EEB"/>
    <w:rsid w:val="00235F8B"/>
    <w:rsid w:val="0023609D"/>
    <w:rsid w:val="002360E1"/>
    <w:rsid w:val="00236202"/>
    <w:rsid w:val="0023635F"/>
    <w:rsid w:val="00236729"/>
    <w:rsid w:val="0023685D"/>
    <w:rsid w:val="002368A5"/>
    <w:rsid w:val="00236C5C"/>
    <w:rsid w:val="00236CD9"/>
    <w:rsid w:val="00236D12"/>
    <w:rsid w:val="00236D42"/>
    <w:rsid w:val="00236FB2"/>
    <w:rsid w:val="0023711B"/>
    <w:rsid w:val="00237724"/>
    <w:rsid w:val="002379C3"/>
    <w:rsid w:val="002379D9"/>
    <w:rsid w:val="00237D7F"/>
    <w:rsid w:val="00237DB3"/>
    <w:rsid w:val="00237E4F"/>
    <w:rsid w:val="0024008A"/>
    <w:rsid w:val="0024019E"/>
    <w:rsid w:val="00240367"/>
    <w:rsid w:val="00240616"/>
    <w:rsid w:val="0024070D"/>
    <w:rsid w:val="002407DC"/>
    <w:rsid w:val="002407EE"/>
    <w:rsid w:val="00240840"/>
    <w:rsid w:val="00240991"/>
    <w:rsid w:val="00240A10"/>
    <w:rsid w:val="00240CFB"/>
    <w:rsid w:val="0024126A"/>
    <w:rsid w:val="002412F1"/>
    <w:rsid w:val="00241330"/>
    <w:rsid w:val="002413D4"/>
    <w:rsid w:val="002414A2"/>
    <w:rsid w:val="00241704"/>
    <w:rsid w:val="00241AC7"/>
    <w:rsid w:val="00241C82"/>
    <w:rsid w:val="00241DF4"/>
    <w:rsid w:val="00241E2B"/>
    <w:rsid w:val="00242512"/>
    <w:rsid w:val="0024256F"/>
    <w:rsid w:val="00242C2B"/>
    <w:rsid w:val="00242C45"/>
    <w:rsid w:val="0024307C"/>
    <w:rsid w:val="002431B4"/>
    <w:rsid w:val="002431DA"/>
    <w:rsid w:val="00243558"/>
    <w:rsid w:val="002435FA"/>
    <w:rsid w:val="00243753"/>
    <w:rsid w:val="002437B7"/>
    <w:rsid w:val="002437DE"/>
    <w:rsid w:val="0024389F"/>
    <w:rsid w:val="002438E7"/>
    <w:rsid w:val="00243E71"/>
    <w:rsid w:val="002440D3"/>
    <w:rsid w:val="002440D6"/>
    <w:rsid w:val="00244113"/>
    <w:rsid w:val="002442FD"/>
    <w:rsid w:val="0024465B"/>
    <w:rsid w:val="002446D6"/>
    <w:rsid w:val="00244959"/>
    <w:rsid w:val="00244B7D"/>
    <w:rsid w:val="00244C57"/>
    <w:rsid w:val="00244F08"/>
    <w:rsid w:val="0024509E"/>
    <w:rsid w:val="002454D7"/>
    <w:rsid w:val="00245505"/>
    <w:rsid w:val="002455DA"/>
    <w:rsid w:val="00245805"/>
    <w:rsid w:val="0024583D"/>
    <w:rsid w:val="00245A5A"/>
    <w:rsid w:val="00245A9A"/>
    <w:rsid w:val="00245BBC"/>
    <w:rsid w:val="00245C88"/>
    <w:rsid w:val="00245D23"/>
    <w:rsid w:val="00245D25"/>
    <w:rsid w:val="00245D43"/>
    <w:rsid w:val="00245EE6"/>
    <w:rsid w:val="00246006"/>
    <w:rsid w:val="00246105"/>
    <w:rsid w:val="00246299"/>
    <w:rsid w:val="002465D6"/>
    <w:rsid w:val="002465DB"/>
    <w:rsid w:val="002466AC"/>
    <w:rsid w:val="002466B4"/>
    <w:rsid w:val="0024671D"/>
    <w:rsid w:val="00246974"/>
    <w:rsid w:val="00246B70"/>
    <w:rsid w:val="00246DF4"/>
    <w:rsid w:val="00246F44"/>
    <w:rsid w:val="00246F73"/>
    <w:rsid w:val="0024733B"/>
    <w:rsid w:val="0024754E"/>
    <w:rsid w:val="002476C4"/>
    <w:rsid w:val="00247B27"/>
    <w:rsid w:val="00247BFE"/>
    <w:rsid w:val="002501BF"/>
    <w:rsid w:val="00250535"/>
    <w:rsid w:val="00250669"/>
    <w:rsid w:val="0025072E"/>
    <w:rsid w:val="00250765"/>
    <w:rsid w:val="00250B54"/>
    <w:rsid w:val="002511B0"/>
    <w:rsid w:val="0025120E"/>
    <w:rsid w:val="002512B0"/>
    <w:rsid w:val="00251686"/>
    <w:rsid w:val="002517AE"/>
    <w:rsid w:val="0025186A"/>
    <w:rsid w:val="00251994"/>
    <w:rsid w:val="00251C6E"/>
    <w:rsid w:val="00251CE1"/>
    <w:rsid w:val="00251DBE"/>
    <w:rsid w:val="00251E1B"/>
    <w:rsid w:val="00251E20"/>
    <w:rsid w:val="002520E1"/>
    <w:rsid w:val="0025227E"/>
    <w:rsid w:val="00252532"/>
    <w:rsid w:val="00252573"/>
    <w:rsid w:val="002526EE"/>
    <w:rsid w:val="00252870"/>
    <w:rsid w:val="002528D0"/>
    <w:rsid w:val="00252AC6"/>
    <w:rsid w:val="00252AC8"/>
    <w:rsid w:val="00252C8E"/>
    <w:rsid w:val="00252CDD"/>
    <w:rsid w:val="00252DAD"/>
    <w:rsid w:val="00252ECC"/>
    <w:rsid w:val="002530FB"/>
    <w:rsid w:val="00253306"/>
    <w:rsid w:val="00253382"/>
    <w:rsid w:val="0025355E"/>
    <w:rsid w:val="00253721"/>
    <w:rsid w:val="00253B93"/>
    <w:rsid w:val="00253BC1"/>
    <w:rsid w:val="00253EE1"/>
    <w:rsid w:val="00253EFE"/>
    <w:rsid w:val="00253F86"/>
    <w:rsid w:val="00254450"/>
    <w:rsid w:val="0025450D"/>
    <w:rsid w:val="002545BA"/>
    <w:rsid w:val="00254713"/>
    <w:rsid w:val="00254D56"/>
    <w:rsid w:val="00254F5B"/>
    <w:rsid w:val="002551FA"/>
    <w:rsid w:val="00255692"/>
    <w:rsid w:val="00255B94"/>
    <w:rsid w:val="00255C29"/>
    <w:rsid w:val="0025626A"/>
    <w:rsid w:val="00256348"/>
    <w:rsid w:val="002565A4"/>
    <w:rsid w:val="00256E3E"/>
    <w:rsid w:val="00256EC7"/>
    <w:rsid w:val="00257260"/>
    <w:rsid w:val="002573AC"/>
    <w:rsid w:val="00257485"/>
    <w:rsid w:val="002575A6"/>
    <w:rsid w:val="002577A6"/>
    <w:rsid w:val="0025798F"/>
    <w:rsid w:val="002579D4"/>
    <w:rsid w:val="00257BC6"/>
    <w:rsid w:val="00257FBD"/>
    <w:rsid w:val="002601A4"/>
    <w:rsid w:val="00260296"/>
    <w:rsid w:val="00260411"/>
    <w:rsid w:val="0026070E"/>
    <w:rsid w:val="00260806"/>
    <w:rsid w:val="0026087D"/>
    <w:rsid w:val="00260A1D"/>
    <w:rsid w:val="00261028"/>
    <w:rsid w:val="00261384"/>
    <w:rsid w:val="0026143F"/>
    <w:rsid w:val="002615A8"/>
    <w:rsid w:val="002616F9"/>
    <w:rsid w:val="0026178C"/>
    <w:rsid w:val="00261B8E"/>
    <w:rsid w:val="00261DA3"/>
    <w:rsid w:val="00261DEF"/>
    <w:rsid w:val="002620F4"/>
    <w:rsid w:val="00262217"/>
    <w:rsid w:val="00262437"/>
    <w:rsid w:val="0026268A"/>
    <w:rsid w:val="00262852"/>
    <w:rsid w:val="00262920"/>
    <w:rsid w:val="00262C7B"/>
    <w:rsid w:val="00263079"/>
    <w:rsid w:val="00263514"/>
    <w:rsid w:val="0026363D"/>
    <w:rsid w:val="00263AA7"/>
    <w:rsid w:val="00263B94"/>
    <w:rsid w:val="00263C07"/>
    <w:rsid w:val="0026410B"/>
    <w:rsid w:val="002641BC"/>
    <w:rsid w:val="00264566"/>
    <w:rsid w:val="0026456D"/>
    <w:rsid w:val="002645B1"/>
    <w:rsid w:val="00264CF0"/>
    <w:rsid w:val="00264E19"/>
    <w:rsid w:val="00264F4D"/>
    <w:rsid w:val="00264FEB"/>
    <w:rsid w:val="00265111"/>
    <w:rsid w:val="00265207"/>
    <w:rsid w:val="00265833"/>
    <w:rsid w:val="00265856"/>
    <w:rsid w:val="002658A0"/>
    <w:rsid w:val="002659C4"/>
    <w:rsid w:val="00265C1C"/>
    <w:rsid w:val="00265CDA"/>
    <w:rsid w:val="00265D06"/>
    <w:rsid w:val="00265F15"/>
    <w:rsid w:val="00266010"/>
    <w:rsid w:val="002660F7"/>
    <w:rsid w:val="0026610A"/>
    <w:rsid w:val="00266282"/>
    <w:rsid w:val="00266704"/>
    <w:rsid w:val="002667AE"/>
    <w:rsid w:val="00266AFF"/>
    <w:rsid w:val="00266C3A"/>
    <w:rsid w:val="00266C73"/>
    <w:rsid w:val="00266DF5"/>
    <w:rsid w:val="00267026"/>
    <w:rsid w:val="0026715E"/>
    <w:rsid w:val="002671F4"/>
    <w:rsid w:val="00267422"/>
    <w:rsid w:val="002676A7"/>
    <w:rsid w:val="002677C2"/>
    <w:rsid w:val="002677C7"/>
    <w:rsid w:val="002677E1"/>
    <w:rsid w:val="00267C6D"/>
    <w:rsid w:val="00267F04"/>
    <w:rsid w:val="0027002B"/>
    <w:rsid w:val="0027043A"/>
    <w:rsid w:val="0027082C"/>
    <w:rsid w:val="00270980"/>
    <w:rsid w:val="00270C9C"/>
    <w:rsid w:val="00270CC7"/>
    <w:rsid w:val="00270EE2"/>
    <w:rsid w:val="002711CE"/>
    <w:rsid w:val="0027138E"/>
    <w:rsid w:val="00271446"/>
    <w:rsid w:val="002717BF"/>
    <w:rsid w:val="002717F9"/>
    <w:rsid w:val="00271A85"/>
    <w:rsid w:val="00271BB6"/>
    <w:rsid w:val="00271C83"/>
    <w:rsid w:val="00271DF4"/>
    <w:rsid w:val="00271E26"/>
    <w:rsid w:val="00271E3A"/>
    <w:rsid w:val="00271F3B"/>
    <w:rsid w:val="00272074"/>
    <w:rsid w:val="002721DD"/>
    <w:rsid w:val="00272673"/>
    <w:rsid w:val="00272739"/>
    <w:rsid w:val="00272D31"/>
    <w:rsid w:val="00272F89"/>
    <w:rsid w:val="00272F8F"/>
    <w:rsid w:val="002731F8"/>
    <w:rsid w:val="00273263"/>
    <w:rsid w:val="002733A2"/>
    <w:rsid w:val="00273679"/>
    <w:rsid w:val="00273681"/>
    <w:rsid w:val="002736D7"/>
    <w:rsid w:val="002738B1"/>
    <w:rsid w:val="002738E1"/>
    <w:rsid w:val="00273A60"/>
    <w:rsid w:val="00273D84"/>
    <w:rsid w:val="00273F20"/>
    <w:rsid w:val="00273FC8"/>
    <w:rsid w:val="00273FF7"/>
    <w:rsid w:val="0027425F"/>
    <w:rsid w:val="00274389"/>
    <w:rsid w:val="002743ED"/>
    <w:rsid w:val="0027448D"/>
    <w:rsid w:val="002745A8"/>
    <w:rsid w:val="002749D8"/>
    <w:rsid w:val="00274B18"/>
    <w:rsid w:val="00274EB2"/>
    <w:rsid w:val="002750E5"/>
    <w:rsid w:val="00275145"/>
    <w:rsid w:val="00275953"/>
    <w:rsid w:val="00275A58"/>
    <w:rsid w:val="00275CDE"/>
    <w:rsid w:val="002762C3"/>
    <w:rsid w:val="00276591"/>
    <w:rsid w:val="0027665D"/>
    <w:rsid w:val="00276CC3"/>
    <w:rsid w:val="00276D26"/>
    <w:rsid w:val="00276FBC"/>
    <w:rsid w:val="00276FDB"/>
    <w:rsid w:val="00277132"/>
    <w:rsid w:val="002773B6"/>
    <w:rsid w:val="0027769A"/>
    <w:rsid w:val="00277836"/>
    <w:rsid w:val="00277927"/>
    <w:rsid w:val="00277A60"/>
    <w:rsid w:val="00277BE7"/>
    <w:rsid w:val="00277CC6"/>
    <w:rsid w:val="00277CFE"/>
    <w:rsid w:val="00277D94"/>
    <w:rsid w:val="00280070"/>
    <w:rsid w:val="0028007A"/>
    <w:rsid w:val="0028033F"/>
    <w:rsid w:val="0028038D"/>
    <w:rsid w:val="002806B2"/>
    <w:rsid w:val="00280C60"/>
    <w:rsid w:val="00280CFF"/>
    <w:rsid w:val="00281358"/>
    <w:rsid w:val="00281878"/>
    <w:rsid w:val="00281C96"/>
    <w:rsid w:val="002824A5"/>
    <w:rsid w:val="002824C0"/>
    <w:rsid w:val="00282727"/>
    <w:rsid w:val="002828CE"/>
    <w:rsid w:val="00282965"/>
    <w:rsid w:val="002829F1"/>
    <w:rsid w:val="00282C3A"/>
    <w:rsid w:val="00282C94"/>
    <w:rsid w:val="00282E9E"/>
    <w:rsid w:val="00282EC8"/>
    <w:rsid w:val="00282F07"/>
    <w:rsid w:val="002830AC"/>
    <w:rsid w:val="0028325C"/>
    <w:rsid w:val="00283334"/>
    <w:rsid w:val="002835F6"/>
    <w:rsid w:val="00283AD0"/>
    <w:rsid w:val="00283B04"/>
    <w:rsid w:val="00283D67"/>
    <w:rsid w:val="00283DB2"/>
    <w:rsid w:val="00283E2F"/>
    <w:rsid w:val="002840E6"/>
    <w:rsid w:val="002842F7"/>
    <w:rsid w:val="00284417"/>
    <w:rsid w:val="00284473"/>
    <w:rsid w:val="0028461D"/>
    <w:rsid w:val="00284815"/>
    <w:rsid w:val="00284A2E"/>
    <w:rsid w:val="00284BA0"/>
    <w:rsid w:val="00284E72"/>
    <w:rsid w:val="00285048"/>
    <w:rsid w:val="00285405"/>
    <w:rsid w:val="0028543B"/>
    <w:rsid w:val="002854D8"/>
    <w:rsid w:val="0028568E"/>
    <w:rsid w:val="002856A4"/>
    <w:rsid w:val="00285AF9"/>
    <w:rsid w:val="00285C12"/>
    <w:rsid w:val="00286188"/>
    <w:rsid w:val="00286478"/>
    <w:rsid w:val="002864D5"/>
    <w:rsid w:val="00286708"/>
    <w:rsid w:val="00286921"/>
    <w:rsid w:val="002869D5"/>
    <w:rsid w:val="00286AD9"/>
    <w:rsid w:val="00286CA5"/>
    <w:rsid w:val="00286E2A"/>
    <w:rsid w:val="00286E59"/>
    <w:rsid w:val="00286EFA"/>
    <w:rsid w:val="00286F3D"/>
    <w:rsid w:val="002870C4"/>
    <w:rsid w:val="00287226"/>
    <w:rsid w:val="00287636"/>
    <w:rsid w:val="00287680"/>
    <w:rsid w:val="00290097"/>
    <w:rsid w:val="0029036E"/>
    <w:rsid w:val="00290583"/>
    <w:rsid w:val="00290926"/>
    <w:rsid w:val="00290BC9"/>
    <w:rsid w:val="002911AD"/>
    <w:rsid w:val="002912EB"/>
    <w:rsid w:val="002912ED"/>
    <w:rsid w:val="0029145F"/>
    <w:rsid w:val="002914F3"/>
    <w:rsid w:val="0029197D"/>
    <w:rsid w:val="00291A6D"/>
    <w:rsid w:val="00291AF0"/>
    <w:rsid w:val="00291B01"/>
    <w:rsid w:val="00291E11"/>
    <w:rsid w:val="00291F08"/>
    <w:rsid w:val="0029220B"/>
    <w:rsid w:val="00292365"/>
    <w:rsid w:val="002923BD"/>
    <w:rsid w:val="002928DF"/>
    <w:rsid w:val="00292922"/>
    <w:rsid w:val="00292979"/>
    <w:rsid w:val="00292CC3"/>
    <w:rsid w:val="00292FDF"/>
    <w:rsid w:val="0029313B"/>
    <w:rsid w:val="0029315A"/>
    <w:rsid w:val="00293446"/>
    <w:rsid w:val="002937C7"/>
    <w:rsid w:val="0029387D"/>
    <w:rsid w:val="0029391F"/>
    <w:rsid w:val="00293D64"/>
    <w:rsid w:val="00293D69"/>
    <w:rsid w:val="00293F46"/>
    <w:rsid w:val="002942A3"/>
    <w:rsid w:val="00294440"/>
    <w:rsid w:val="002948DA"/>
    <w:rsid w:val="002949E6"/>
    <w:rsid w:val="00294ABD"/>
    <w:rsid w:val="00294E92"/>
    <w:rsid w:val="00294F36"/>
    <w:rsid w:val="0029520C"/>
    <w:rsid w:val="0029522C"/>
    <w:rsid w:val="0029523D"/>
    <w:rsid w:val="00295361"/>
    <w:rsid w:val="002954C0"/>
    <w:rsid w:val="002954F9"/>
    <w:rsid w:val="00295516"/>
    <w:rsid w:val="00295644"/>
    <w:rsid w:val="00295677"/>
    <w:rsid w:val="002956A6"/>
    <w:rsid w:val="002957BE"/>
    <w:rsid w:val="00295A28"/>
    <w:rsid w:val="00295A87"/>
    <w:rsid w:val="00295AB2"/>
    <w:rsid w:val="00295AE8"/>
    <w:rsid w:val="00295B0D"/>
    <w:rsid w:val="00295C76"/>
    <w:rsid w:val="00295DF5"/>
    <w:rsid w:val="00295DF6"/>
    <w:rsid w:val="00295E66"/>
    <w:rsid w:val="00295F14"/>
    <w:rsid w:val="00295F52"/>
    <w:rsid w:val="00295FBB"/>
    <w:rsid w:val="002963DF"/>
    <w:rsid w:val="0029644A"/>
    <w:rsid w:val="00296528"/>
    <w:rsid w:val="00296971"/>
    <w:rsid w:val="00296D28"/>
    <w:rsid w:val="00296D56"/>
    <w:rsid w:val="002970E5"/>
    <w:rsid w:val="002971C8"/>
    <w:rsid w:val="00297217"/>
    <w:rsid w:val="0029722F"/>
    <w:rsid w:val="002972B0"/>
    <w:rsid w:val="002972B6"/>
    <w:rsid w:val="00297772"/>
    <w:rsid w:val="0029786D"/>
    <w:rsid w:val="002979EF"/>
    <w:rsid w:val="00297B17"/>
    <w:rsid w:val="00297C49"/>
    <w:rsid w:val="00297E74"/>
    <w:rsid w:val="00297EC3"/>
    <w:rsid w:val="002A0260"/>
    <w:rsid w:val="002A0304"/>
    <w:rsid w:val="002A06D7"/>
    <w:rsid w:val="002A0815"/>
    <w:rsid w:val="002A0905"/>
    <w:rsid w:val="002A0DB3"/>
    <w:rsid w:val="002A0F1E"/>
    <w:rsid w:val="002A183B"/>
    <w:rsid w:val="002A217C"/>
    <w:rsid w:val="002A2453"/>
    <w:rsid w:val="002A2487"/>
    <w:rsid w:val="002A27C2"/>
    <w:rsid w:val="002A2AAF"/>
    <w:rsid w:val="002A2B5A"/>
    <w:rsid w:val="002A2BE4"/>
    <w:rsid w:val="002A2C6C"/>
    <w:rsid w:val="002A2DFD"/>
    <w:rsid w:val="002A329B"/>
    <w:rsid w:val="002A3444"/>
    <w:rsid w:val="002A39A8"/>
    <w:rsid w:val="002A3D1A"/>
    <w:rsid w:val="002A3D41"/>
    <w:rsid w:val="002A409F"/>
    <w:rsid w:val="002A41A2"/>
    <w:rsid w:val="002A4312"/>
    <w:rsid w:val="002A46A0"/>
    <w:rsid w:val="002A477A"/>
    <w:rsid w:val="002A4E2A"/>
    <w:rsid w:val="002A4E5A"/>
    <w:rsid w:val="002A4EC3"/>
    <w:rsid w:val="002A4F25"/>
    <w:rsid w:val="002A4FD2"/>
    <w:rsid w:val="002A51AE"/>
    <w:rsid w:val="002A5277"/>
    <w:rsid w:val="002A543B"/>
    <w:rsid w:val="002A547B"/>
    <w:rsid w:val="002A5585"/>
    <w:rsid w:val="002A5829"/>
    <w:rsid w:val="002A5A61"/>
    <w:rsid w:val="002A628B"/>
    <w:rsid w:val="002A66E1"/>
    <w:rsid w:val="002A6F89"/>
    <w:rsid w:val="002A7075"/>
    <w:rsid w:val="002A75BE"/>
    <w:rsid w:val="002A780B"/>
    <w:rsid w:val="002A7B05"/>
    <w:rsid w:val="002A7B84"/>
    <w:rsid w:val="002A7D70"/>
    <w:rsid w:val="002A7E30"/>
    <w:rsid w:val="002A7FA0"/>
    <w:rsid w:val="002A7FB7"/>
    <w:rsid w:val="002B035A"/>
    <w:rsid w:val="002B04A7"/>
    <w:rsid w:val="002B07F0"/>
    <w:rsid w:val="002B0B95"/>
    <w:rsid w:val="002B0C46"/>
    <w:rsid w:val="002B1303"/>
    <w:rsid w:val="002B1431"/>
    <w:rsid w:val="002B1467"/>
    <w:rsid w:val="002B1649"/>
    <w:rsid w:val="002B1760"/>
    <w:rsid w:val="002B18F8"/>
    <w:rsid w:val="002B1B20"/>
    <w:rsid w:val="002B1B26"/>
    <w:rsid w:val="002B2201"/>
    <w:rsid w:val="002B2802"/>
    <w:rsid w:val="002B2A0B"/>
    <w:rsid w:val="002B2A7F"/>
    <w:rsid w:val="002B30D7"/>
    <w:rsid w:val="002B3329"/>
    <w:rsid w:val="002B37EE"/>
    <w:rsid w:val="002B383B"/>
    <w:rsid w:val="002B395E"/>
    <w:rsid w:val="002B3AE7"/>
    <w:rsid w:val="002B3F69"/>
    <w:rsid w:val="002B3F81"/>
    <w:rsid w:val="002B4186"/>
    <w:rsid w:val="002B4539"/>
    <w:rsid w:val="002B45F0"/>
    <w:rsid w:val="002B46D5"/>
    <w:rsid w:val="002B4881"/>
    <w:rsid w:val="002B4896"/>
    <w:rsid w:val="002B4965"/>
    <w:rsid w:val="002B4C08"/>
    <w:rsid w:val="002B4E93"/>
    <w:rsid w:val="002B5051"/>
    <w:rsid w:val="002B5141"/>
    <w:rsid w:val="002B53BE"/>
    <w:rsid w:val="002B5420"/>
    <w:rsid w:val="002B5484"/>
    <w:rsid w:val="002B54A8"/>
    <w:rsid w:val="002B5523"/>
    <w:rsid w:val="002B563F"/>
    <w:rsid w:val="002B5644"/>
    <w:rsid w:val="002B5AAB"/>
    <w:rsid w:val="002B5C1E"/>
    <w:rsid w:val="002B5C2B"/>
    <w:rsid w:val="002B6452"/>
    <w:rsid w:val="002B6525"/>
    <w:rsid w:val="002B6784"/>
    <w:rsid w:val="002B6C73"/>
    <w:rsid w:val="002B6CDC"/>
    <w:rsid w:val="002B6D3D"/>
    <w:rsid w:val="002B6FFC"/>
    <w:rsid w:val="002B71A6"/>
    <w:rsid w:val="002B737D"/>
    <w:rsid w:val="002B7520"/>
    <w:rsid w:val="002B77E4"/>
    <w:rsid w:val="002B7AEA"/>
    <w:rsid w:val="002B7CD7"/>
    <w:rsid w:val="002C004F"/>
    <w:rsid w:val="002C022A"/>
    <w:rsid w:val="002C032E"/>
    <w:rsid w:val="002C048C"/>
    <w:rsid w:val="002C04FB"/>
    <w:rsid w:val="002C054B"/>
    <w:rsid w:val="002C0CAE"/>
    <w:rsid w:val="002C0FC9"/>
    <w:rsid w:val="002C1072"/>
    <w:rsid w:val="002C1550"/>
    <w:rsid w:val="002C1579"/>
    <w:rsid w:val="002C1A9B"/>
    <w:rsid w:val="002C1E6B"/>
    <w:rsid w:val="002C1FB8"/>
    <w:rsid w:val="002C2313"/>
    <w:rsid w:val="002C2656"/>
    <w:rsid w:val="002C29EA"/>
    <w:rsid w:val="002C2A1E"/>
    <w:rsid w:val="002C2B64"/>
    <w:rsid w:val="002C2C54"/>
    <w:rsid w:val="002C2C69"/>
    <w:rsid w:val="002C2DD2"/>
    <w:rsid w:val="002C2E76"/>
    <w:rsid w:val="002C2ED7"/>
    <w:rsid w:val="002C2F2C"/>
    <w:rsid w:val="002C34AA"/>
    <w:rsid w:val="002C362A"/>
    <w:rsid w:val="002C3657"/>
    <w:rsid w:val="002C3A99"/>
    <w:rsid w:val="002C3B92"/>
    <w:rsid w:val="002C3CE4"/>
    <w:rsid w:val="002C4096"/>
    <w:rsid w:val="002C409E"/>
    <w:rsid w:val="002C45D0"/>
    <w:rsid w:val="002C4606"/>
    <w:rsid w:val="002C460F"/>
    <w:rsid w:val="002C492B"/>
    <w:rsid w:val="002C4A4B"/>
    <w:rsid w:val="002C4DDA"/>
    <w:rsid w:val="002C5AF7"/>
    <w:rsid w:val="002C5C74"/>
    <w:rsid w:val="002C5DD6"/>
    <w:rsid w:val="002C5F91"/>
    <w:rsid w:val="002C5FB9"/>
    <w:rsid w:val="002C608C"/>
    <w:rsid w:val="002C61E5"/>
    <w:rsid w:val="002C627B"/>
    <w:rsid w:val="002C63D5"/>
    <w:rsid w:val="002C644D"/>
    <w:rsid w:val="002C64E3"/>
    <w:rsid w:val="002C650E"/>
    <w:rsid w:val="002C65D0"/>
    <w:rsid w:val="002C6681"/>
    <w:rsid w:val="002C68EE"/>
    <w:rsid w:val="002C6A40"/>
    <w:rsid w:val="002C6A87"/>
    <w:rsid w:val="002C6BE4"/>
    <w:rsid w:val="002C6C54"/>
    <w:rsid w:val="002C6C55"/>
    <w:rsid w:val="002C7016"/>
    <w:rsid w:val="002C705D"/>
    <w:rsid w:val="002C727B"/>
    <w:rsid w:val="002C77A3"/>
    <w:rsid w:val="002C77CF"/>
    <w:rsid w:val="002C7AC7"/>
    <w:rsid w:val="002C7F07"/>
    <w:rsid w:val="002C7F93"/>
    <w:rsid w:val="002D01F6"/>
    <w:rsid w:val="002D0531"/>
    <w:rsid w:val="002D058C"/>
    <w:rsid w:val="002D05E0"/>
    <w:rsid w:val="002D0814"/>
    <w:rsid w:val="002D08B7"/>
    <w:rsid w:val="002D0DB1"/>
    <w:rsid w:val="002D10F0"/>
    <w:rsid w:val="002D1136"/>
    <w:rsid w:val="002D137A"/>
    <w:rsid w:val="002D15F8"/>
    <w:rsid w:val="002D17E7"/>
    <w:rsid w:val="002D188E"/>
    <w:rsid w:val="002D198D"/>
    <w:rsid w:val="002D1B29"/>
    <w:rsid w:val="002D1C44"/>
    <w:rsid w:val="002D1CD2"/>
    <w:rsid w:val="002D1D41"/>
    <w:rsid w:val="002D2026"/>
    <w:rsid w:val="002D203C"/>
    <w:rsid w:val="002D234C"/>
    <w:rsid w:val="002D29A2"/>
    <w:rsid w:val="002D2EAB"/>
    <w:rsid w:val="002D2EBC"/>
    <w:rsid w:val="002D31EC"/>
    <w:rsid w:val="002D31FF"/>
    <w:rsid w:val="002D32AE"/>
    <w:rsid w:val="002D34D4"/>
    <w:rsid w:val="002D3601"/>
    <w:rsid w:val="002D37F4"/>
    <w:rsid w:val="002D3ADA"/>
    <w:rsid w:val="002D3B26"/>
    <w:rsid w:val="002D3B41"/>
    <w:rsid w:val="002D3D71"/>
    <w:rsid w:val="002D3ED0"/>
    <w:rsid w:val="002D410B"/>
    <w:rsid w:val="002D411B"/>
    <w:rsid w:val="002D42CA"/>
    <w:rsid w:val="002D48D7"/>
    <w:rsid w:val="002D4AE8"/>
    <w:rsid w:val="002D4C1E"/>
    <w:rsid w:val="002D4D15"/>
    <w:rsid w:val="002D509D"/>
    <w:rsid w:val="002D50B0"/>
    <w:rsid w:val="002D5100"/>
    <w:rsid w:val="002D548E"/>
    <w:rsid w:val="002D5725"/>
    <w:rsid w:val="002D5A33"/>
    <w:rsid w:val="002D5A3B"/>
    <w:rsid w:val="002D5D1D"/>
    <w:rsid w:val="002D5D89"/>
    <w:rsid w:val="002D5FBE"/>
    <w:rsid w:val="002D6165"/>
    <w:rsid w:val="002D634B"/>
    <w:rsid w:val="002D6854"/>
    <w:rsid w:val="002D6B75"/>
    <w:rsid w:val="002D6C62"/>
    <w:rsid w:val="002D6E0C"/>
    <w:rsid w:val="002D6E8B"/>
    <w:rsid w:val="002D7290"/>
    <w:rsid w:val="002D73E4"/>
    <w:rsid w:val="002D761F"/>
    <w:rsid w:val="002D7750"/>
    <w:rsid w:val="002D7B6E"/>
    <w:rsid w:val="002D7C22"/>
    <w:rsid w:val="002D7E39"/>
    <w:rsid w:val="002D7FB1"/>
    <w:rsid w:val="002E05B3"/>
    <w:rsid w:val="002E08A3"/>
    <w:rsid w:val="002E08D3"/>
    <w:rsid w:val="002E0CAF"/>
    <w:rsid w:val="002E1034"/>
    <w:rsid w:val="002E1088"/>
    <w:rsid w:val="002E1334"/>
    <w:rsid w:val="002E15A2"/>
    <w:rsid w:val="002E1B29"/>
    <w:rsid w:val="002E1C6D"/>
    <w:rsid w:val="002E1CEA"/>
    <w:rsid w:val="002E1D76"/>
    <w:rsid w:val="002E1DEC"/>
    <w:rsid w:val="002E1E40"/>
    <w:rsid w:val="002E1E81"/>
    <w:rsid w:val="002E206B"/>
    <w:rsid w:val="002E2498"/>
    <w:rsid w:val="002E24BC"/>
    <w:rsid w:val="002E24FC"/>
    <w:rsid w:val="002E25D3"/>
    <w:rsid w:val="002E2907"/>
    <w:rsid w:val="002E2B9A"/>
    <w:rsid w:val="002E2C42"/>
    <w:rsid w:val="002E2EE8"/>
    <w:rsid w:val="002E30E0"/>
    <w:rsid w:val="002E30EE"/>
    <w:rsid w:val="002E31E9"/>
    <w:rsid w:val="002E3329"/>
    <w:rsid w:val="002E354A"/>
    <w:rsid w:val="002E37BC"/>
    <w:rsid w:val="002E389E"/>
    <w:rsid w:val="002E3C50"/>
    <w:rsid w:val="002E3D2C"/>
    <w:rsid w:val="002E420C"/>
    <w:rsid w:val="002E421E"/>
    <w:rsid w:val="002E43C0"/>
    <w:rsid w:val="002E458C"/>
    <w:rsid w:val="002E486D"/>
    <w:rsid w:val="002E493C"/>
    <w:rsid w:val="002E49C5"/>
    <w:rsid w:val="002E4A4F"/>
    <w:rsid w:val="002E4DCF"/>
    <w:rsid w:val="002E4DDC"/>
    <w:rsid w:val="002E51C9"/>
    <w:rsid w:val="002E530E"/>
    <w:rsid w:val="002E55F0"/>
    <w:rsid w:val="002E5889"/>
    <w:rsid w:val="002E5967"/>
    <w:rsid w:val="002E5A50"/>
    <w:rsid w:val="002E5B5F"/>
    <w:rsid w:val="002E5C06"/>
    <w:rsid w:val="002E5EDE"/>
    <w:rsid w:val="002E5EDF"/>
    <w:rsid w:val="002E60AB"/>
    <w:rsid w:val="002E631C"/>
    <w:rsid w:val="002E659E"/>
    <w:rsid w:val="002E6898"/>
    <w:rsid w:val="002E694D"/>
    <w:rsid w:val="002E69BF"/>
    <w:rsid w:val="002E6BD7"/>
    <w:rsid w:val="002E6CBB"/>
    <w:rsid w:val="002E6CC0"/>
    <w:rsid w:val="002E6CF0"/>
    <w:rsid w:val="002E6E66"/>
    <w:rsid w:val="002E6EF3"/>
    <w:rsid w:val="002E6F05"/>
    <w:rsid w:val="002E72C2"/>
    <w:rsid w:val="002E72D5"/>
    <w:rsid w:val="002E7394"/>
    <w:rsid w:val="002E7642"/>
    <w:rsid w:val="002E7794"/>
    <w:rsid w:val="002E7C53"/>
    <w:rsid w:val="002E7DF0"/>
    <w:rsid w:val="002E7FF2"/>
    <w:rsid w:val="002F016A"/>
    <w:rsid w:val="002F046C"/>
    <w:rsid w:val="002F058F"/>
    <w:rsid w:val="002F05FE"/>
    <w:rsid w:val="002F06DD"/>
    <w:rsid w:val="002F08E5"/>
    <w:rsid w:val="002F0BD8"/>
    <w:rsid w:val="002F0C93"/>
    <w:rsid w:val="002F0E32"/>
    <w:rsid w:val="002F0E37"/>
    <w:rsid w:val="002F109D"/>
    <w:rsid w:val="002F12BB"/>
    <w:rsid w:val="002F1470"/>
    <w:rsid w:val="002F14AC"/>
    <w:rsid w:val="002F14E3"/>
    <w:rsid w:val="002F1675"/>
    <w:rsid w:val="002F1784"/>
    <w:rsid w:val="002F1869"/>
    <w:rsid w:val="002F1A39"/>
    <w:rsid w:val="002F1C38"/>
    <w:rsid w:val="002F1CE3"/>
    <w:rsid w:val="002F1D0E"/>
    <w:rsid w:val="002F1E07"/>
    <w:rsid w:val="002F1F7C"/>
    <w:rsid w:val="002F1FA2"/>
    <w:rsid w:val="002F2217"/>
    <w:rsid w:val="002F232F"/>
    <w:rsid w:val="002F258F"/>
    <w:rsid w:val="002F299B"/>
    <w:rsid w:val="002F2D07"/>
    <w:rsid w:val="002F2D44"/>
    <w:rsid w:val="002F2DE4"/>
    <w:rsid w:val="002F2E39"/>
    <w:rsid w:val="002F31D1"/>
    <w:rsid w:val="002F33AC"/>
    <w:rsid w:val="002F3621"/>
    <w:rsid w:val="002F3639"/>
    <w:rsid w:val="002F384C"/>
    <w:rsid w:val="002F38A3"/>
    <w:rsid w:val="002F38AA"/>
    <w:rsid w:val="002F3DA0"/>
    <w:rsid w:val="002F3F01"/>
    <w:rsid w:val="002F3F03"/>
    <w:rsid w:val="002F407D"/>
    <w:rsid w:val="002F40DE"/>
    <w:rsid w:val="002F4120"/>
    <w:rsid w:val="002F449E"/>
    <w:rsid w:val="002F44A2"/>
    <w:rsid w:val="002F45E6"/>
    <w:rsid w:val="002F46DA"/>
    <w:rsid w:val="002F479A"/>
    <w:rsid w:val="002F4D6D"/>
    <w:rsid w:val="002F51FA"/>
    <w:rsid w:val="002F5313"/>
    <w:rsid w:val="002F53A5"/>
    <w:rsid w:val="002F55A2"/>
    <w:rsid w:val="002F574F"/>
    <w:rsid w:val="002F597A"/>
    <w:rsid w:val="002F5982"/>
    <w:rsid w:val="002F5ACB"/>
    <w:rsid w:val="002F5BEE"/>
    <w:rsid w:val="002F5CCB"/>
    <w:rsid w:val="002F5E1B"/>
    <w:rsid w:val="002F6183"/>
    <w:rsid w:val="002F621B"/>
    <w:rsid w:val="002F6472"/>
    <w:rsid w:val="002F6825"/>
    <w:rsid w:val="002F6ABB"/>
    <w:rsid w:val="002F6C0C"/>
    <w:rsid w:val="002F6EF4"/>
    <w:rsid w:val="002F7101"/>
    <w:rsid w:val="002F747A"/>
    <w:rsid w:val="002F75C0"/>
    <w:rsid w:val="002F76A1"/>
    <w:rsid w:val="002F774E"/>
    <w:rsid w:val="002F783D"/>
    <w:rsid w:val="002F7949"/>
    <w:rsid w:val="002F7B43"/>
    <w:rsid w:val="002F7BC2"/>
    <w:rsid w:val="002F7E23"/>
    <w:rsid w:val="002F7F9B"/>
    <w:rsid w:val="00300214"/>
    <w:rsid w:val="00300225"/>
    <w:rsid w:val="003004D9"/>
    <w:rsid w:val="00300D87"/>
    <w:rsid w:val="00300DC3"/>
    <w:rsid w:val="00300F41"/>
    <w:rsid w:val="0030106B"/>
    <w:rsid w:val="003010B6"/>
    <w:rsid w:val="00301254"/>
    <w:rsid w:val="0030132C"/>
    <w:rsid w:val="0030148D"/>
    <w:rsid w:val="003015DD"/>
    <w:rsid w:val="00301684"/>
    <w:rsid w:val="00301716"/>
    <w:rsid w:val="00301886"/>
    <w:rsid w:val="00301D79"/>
    <w:rsid w:val="00301E5F"/>
    <w:rsid w:val="003021F9"/>
    <w:rsid w:val="003022FF"/>
    <w:rsid w:val="003023EF"/>
    <w:rsid w:val="003024EE"/>
    <w:rsid w:val="00302B6B"/>
    <w:rsid w:val="00302C15"/>
    <w:rsid w:val="0030348E"/>
    <w:rsid w:val="0030350B"/>
    <w:rsid w:val="0030367A"/>
    <w:rsid w:val="00303A2E"/>
    <w:rsid w:val="00303C8B"/>
    <w:rsid w:val="00303DE9"/>
    <w:rsid w:val="003043DC"/>
    <w:rsid w:val="003044B5"/>
    <w:rsid w:val="003046CD"/>
    <w:rsid w:val="003047EB"/>
    <w:rsid w:val="0030497F"/>
    <w:rsid w:val="00304984"/>
    <w:rsid w:val="00304C22"/>
    <w:rsid w:val="00304D00"/>
    <w:rsid w:val="00304D11"/>
    <w:rsid w:val="00304DA8"/>
    <w:rsid w:val="003050B7"/>
    <w:rsid w:val="00305191"/>
    <w:rsid w:val="003052D4"/>
    <w:rsid w:val="0030531B"/>
    <w:rsid w:val="0030553B"/>
    <w:rsid w:val="0030589F"/>
    <w:rsid w:val="00305A37"/>
    <w:rsid w:val="00305ADE"/>
    <w:rsid w:val="00305B89"/>
    <w:rsid w:val="0030614B"/>
    <w:rsid w:val="003063D3"/>
    <w:rsid w:val="0030655F"/>
    <w:rsid w:val="0030688B"/>
    <w:rsid w:val="00306985"/>
    <w:rsid w:val="00306B59"/>
    <w:rsid w:val="00306B66"/>
    <w:rsid w:val="00306E7B"/>
    <w:rsid w:val="003070BE"/>
    <w:rsid w:val="0030713D"/>
    <w:rsid w:val="00307392"/>
    <w:rsid w:val="00307753"/>
    <w:rsid w:val="003078E4"/>
    <w:rsid w:val="00307AC6"/>
    <w:rsid w:val="00307B6E"/>
    <w:rsid w:val="00307D28"/>
    <w:rsid w:val="00307F46"/>
    <w:rsid w:val="00310041"/>
    <w:rsid w:val="00310281"/>
    <w:rsid w:val="00310364"/>
    <w:rsid w:val="003108F0"/>
    <w:rsid w:val="00310AA4"/>
    <w:rsid w:val="00310B07"/>
    <w:rsid w:val="00310B23"/>
    <w:rsid w:val="00310B99"/>
    <w:rsid w:val="00310DA5"/>
    <w:rsid w:val="00311007"/>
    <w:rsid w:val="003110EE"/>
    <w:rsid w:val="00311533"/>
    <w:rsid w:val="003118C9"/>
    <w:rsid w:val="00311A69"/>
    <w:rsid w:val="00311B46"/>
    <w:rsid w:val="00311C8E"/>
    <w:rsid w:val="00311D1E"/>
    <w:rsid w:val="00312094"/>
    <w:rsid w:val="00312101"/>
    <w:rsid w:val="003124A7"/>
    <w:rsid w:val="0031264B"/>
    <w:rsid w:val="00312686"/>
    <w:rsid w:val="003127A6"/>
    <w:rsid w:val="00312848"/>
    <w:rsid w:val="003128A2"/>
    <w:rsid w:val="003128BF"/>
    <w:rsid w:val="0031293C"/>
    <w:rsid w:val="00312CC0"/>
    <w:rsid w:val="00312D70"/>
    <w:rsid w:val="003132C7"/>
    <w:rsid w:val="0031341E"/>
    <w:rsid w:val="003134BB"/>
    <w:rsid w:val="00313586"/>
    <w:rsid w:val="003135F3"/>
    <w:rsid w:val="00313601"/>
    <w:rsid w:val="00313714"/>
    <w:rsid w:val="003138AA"/>
    <w:rsid w:val="00313BF1"/>
    <w:rsid w:val="00313C26"/>
    <w:rsid w:val="003140F5"/>
    <w:rsid w:val="0031419F"/>
    <w:rsid w:val="00314293"/>
    <w:rsid w:val="0031449D"/>
    <w:rsid w:val="00314619"/>
    <w:rsid w:val="0031476E"/>
    <w:rsid w:val="003147CC"/>
    <w:rsid w:val="003148F3"/>
    <w:rsid w:val="0031490F"/>
    <w:rsid w:val="00314B27"/>
    <w:rsid w:val="00314D5F"/>
    <w:rsid w:val="00314F08"/>
    <w:rsid w:val="0031515E"/>
    <w:rsid w:val="0031521F"/>
    <w:rsid w:val="003153E8"/>
    <w:rsid w:val="003154BF"/>
    <w:rsid w:val="00315866"/>
    <w:rsid w:val="0031597A"/>
    <w:rsid w:val="00315A85"/>
    <w:rsid w:val="00315AB5"/>
    <w:rsid w:val="00315AD8"/>
    <w:rsid w:val="00315B67"/>
    <w:rsid w:val="00315B7F"/>
    <w:rsid w:val="00315DAC"/>
    <w:rsid w:val="00315E3D"/>
    <w:rsid w:val="00315F1D"/>
    <w:rsid w:val="00316187"/>
    <w:rsid w:val="0031629D"/>
    <w:rsid w:val="00316483"/>
    <w:rsid w:val="0031658C"/>
    <w:rsid w:val="0031696D"/>
    <w:rsid w:val="00316980"/>
    <w:rsid w:val="00316A2A"/>
    <w:rsid w:val="00316A83"/>
    <w:rsid w:val="00316BF9"/>
    <w:rsid w:val="00317080"/>
    <w:rsid w:val="003172B3"/>
    <w:rsid w:val="003172D1"/>
    <w:rsid w:val="00317A4D"/>
    <w:rsid w:val="00317C38"/>
    <w:rsid w:val="00317E2E"/>
    <w:rsid w:val="00317F78"/>
    <w:rsid w:val="0032048E"/>
    <w:rsid w:val="003205E6"/>
    <w:rsid w:val="003206BC"/>
    <w:rsid w:val="003206EE"/>
    <w:rsid w:val="0032074F"/>
    <w:rsid w:val="0032096E"/>
    <w:rsid w:val="00320A0D"/>
    <w:rsid w:val="00320B42"/>
    <w:rsid w:val="00320B62"/>
    <w:rsid w:val="00320C38"/>
    <w:rsid w:val="00320F2E"/>
    <w:rsid w:val="00321062"/>
    <w:rsid w:val="003210A8"/>
    <w:rsid w:val="003211FD"/>
    <w:rsid w:val="0032121D"/>
    <w:rsid w:val="003213B0"/>
    <w:rsid w:val="003214D1"/>
    <w:rsid w:val="00321746"/>
    <w:rsid w:val="00321A5F"/>
    <w:rsid w:val="00321CED"/>
    <w:rsid w:val="00321D61"/>
    <w:rsid w:val="00321EA2"/>
    <w:rsid w:val="00321F57"/>
    <w:rsid w:val="00322168"/>
    <w:rsid w:val="003222CE"/>
    <w:rsid w:val="00322367"/>
    <w:rsid w:val="003224A3"/>
    <w:rsid w:val="0032253B"/>
    <w:rsid w:val="003226F0"/>
    <w:rsid w:val="00322720"/>
    <w:rsid w:val="00322BBE"/>
    <w:rsid w:val="00322BF8"/>
    <w:rsid w:val="00322FE9"/>
    <w:rsid w:val="00323007"/>
    <w:rsid w:val="0032314C"/>
    <w:rsid w:val="00323237"/>
    <w:rsid w:val="003232F6"/>
    <w:rsid w:val="00323420"/>
    <w:rsid w:val="0032347F"/>
    <w:rsid w:val="003235FF"/>
    <w:rsid w:val="00323720"/>
    <w:rsid w:val="00323A6B"/>
    <w:rsid w:val="00323BEC"/>
    <w:rsid w:val="00324363"/>
    <w:rsid w:val="00324785"/>
    <w:rsid w:val="00324842"/>
    <w:rsid w:val="003248AE"/>
    <w:rsid w:val="003249E9"/>
    <w:rsid w:val="00324D3F"/>
    <w:rsid w:val="00324D4A"/>
    <w:rsid w:val="00324EF8"/>
    <w:rsid w:val="00325066"/>
    <w:rsid w:val="003250B6"/>
    <w:rsid w:val="003251A6"/>
    <w:rsid w:val="003253DA"/>
    <w:rsid w:val="00325792"/>
    <w:rsid w:val="0032584F"/>
    <w:rsid w:val="003259A3"/>
    <w:rsid w:val="003259DF"/>
    <w:rsid w:val="00325BB0"/>
    <w:rsid w:val="00325C5A"/>
    <w:rsid w:val="00325EC8"/>
    <w:rsid w:val="00325FBB"/>
    <w:rsid w:val="00325FC8"/>
    <w:rsid w:val="003265A3"/>
    <w:rsid w:val="00326647"/>
    <w:rsid w:val="00326908"/>
    <w:rsid w:val="0032695D"/>
    <w:rsid w:val="00326ADD"/>
    <w:rsid w:val="00326B0A"/>
    <w:rsid w:val="00326D44"/>
    <w:rsid w:val="00326E12"/>
    <w:rsid w:val="00326ED6"/>
    <w:rsid w:val="00326F93"/>
    <w:rsid w:val="00327108"/>
    <w:rsid w:val="003272A2"/>
    <w:rsid w:val="0032742D"/>
    <w:rsid w:val="003275EA"/>
    <w:rsid w:val="00327794"/>
    <w:rsid w:val="0032789A"/>
    <w:rsid w:val="003279BD"/>
    <w:rsid w:val="00327B70"/>
    <w:rsid w:val="0033001D"/>
    <w:rsid w:val="00330230"/>
    <w:rsid w:val="00330807"/>
    <w:rsid w:val="00330A43"/>
    <w:rsid w:val="00330C33"/>
    <w:rsid w:val="00330E41"/>
    <w:rsid w:val="00331040"/>
    <w:rsid w:val="00331291"/>
    <w:rsid w:val="00331689"/>
    <w:rsid w:val="003316BD"/>
    <w:rsid w:val="0033181F"/>
    <w:rsid w:val="00331832"/>
    <w:rsid w:val="00331AE8"/>
    <w:rsid w:val="00331D00"/>
    <w:rsid w:val="00331F60"/>
    <w:rsid w:val="00332059"/>
    <w:rsid w:val="00332171"/>
    <w:rsid w:val="00332250"/>
    <w:rsid w:val="003322C1"/>
    <w:rsid w:val="00332348"/>
    <w:rsid w:val="00332418"/>
    <w:rsid w:val="00332598"/>
    <w:rsid w:val="0033261C"/>
    <w:rsid w:val="00332636"/>
    <w:rsid w:val="0033293A"/>
    <w:rsid w:val="003329FD"/>
    <w:rsid w:val="003331D7"/>
    <w:rsid w:val="00333302"/>
    <w:rsid w:val="003333FD"/>
    <w:rsid w:val="00333444"/>
    <w:rsid w:val="00333513"/>
    <w:rsid w:val="003335C8"/>
    <w:rsid w:val="00333607"/>
    <w:rsid w:val="00333CE6"/>
    <w:rsid w:val="00333EE5"/>
    <w:rsid w:val="00333FAC"/>
    <w:rsid w:val="0033403D"/>
    <w:rsid w:val="00334081"/>
    <w:rsid w:val="0033409E"/>
    <w:rsid w:val="003343C8"/>
    <w:rsid w:val="00334434"/>
    <w:rsid w:val="003345A1"/>
    <w:rsid w:val="00334A2D"/>
    <w:rsid w:val="00334AD5"/>
    <w:rsid w:val="00334B3A"/>
    <w:rsid w:val="00334C18"/>
    <w:rsid w:val="00334DFC"/>
    <w:rsid w:val="00334E2D"/>
    <w:rsid w:val="00334EE4"/>
    <w:rsid w:val="00334FD1"/>
    <w:rsid w:val="00335334"/>
    <w:rsid w:val="0033533C"/>
    <w:rsid w:val="0033547D"/>
    <w:rsid w:val="003355A8"/>
    <w:rsid w:val="003355DC"/>
    <w:rsid w:val="00335625"/>
    <w:rsid w:val="003357E5"/>
    <w:rsid w:val="003359B7"/>
    <w:rsid w:val="00335B5F"/>
    <w:rsid w:val="00335C2A"/>
    <w:rsid w:val="00335CAD"/>
    <w:rsid w:val="0033636F"/>
    <w:rsid w:val="003363E4"/>
    <w:rsid w:val="0033697A"/>
    <w:rsid w:val="00336D09"/>
    <w:rsid w:val="00336DD7"/>
    <w:rsid w:val="00336F4A"/>
    <w:rsid w:val="00336FC8"/>
    <w:rsid w:val="00337017"/>
    <w:rsid w:val="0033715C"/>
    <w:rsid w:val="003371E6"/>
    <w:rsid w:val="003376D2"/>
    <w:rsid w:val="00337ADA"/>
    <w:rsid w:val="00337AF1"/>
    <w:rsid w:val="00340393"/>
    <w:rsid w:val="003404D2"/>
    <w:rsid w:val="00340546"/>
    <w:rsid w:val="00340B4F"/>
    <w:rsid w:val="00340B70"/>
    <w:rsid w:val="0034103E"/>
    <w:rsid w:val="003414AD"/>
    <w:rsid w:val="00341513"/>
    <w:rsid w:val="00341598"/>
    <w:rsid w:val="00341C0A"/>
    <w:rsid w:val="00341DC1"/>
    <w:rsid w:val="00341DD1"/>
    <w:rsid w:val="00341E30"/>
    <w:rsid w:val="00341ED1"/>
    <w:rsid w:val="003421AB"/>
    <w:rsid w:val="00342329"/>
    <w:rsid w:val="00342384"/>
    <w:rsid w:val="003424D1"/>
    <w:rsid w:val="00343165"/>
    <w:rsid w:val="0034357E"/>
    <w:rsid w:val="00343684"/>
    <w:rsid w:val="00343A8D"/>
    <w:rsid w:val="00343AB1"/>
    <w:rsid w:val="00343B19"/>
    <w:rsid w:val="00343DF4"/>
    <w:rsid w:val="00343EA7"/>
    <w:rsid w:val="0034415D"/>
    <w:rsid w:val="0034416D"/>
    <w:rsid w:val="00344279"/>
    <w:rsid w:val="0034438C"/>
    <w:rsid w:val="003446E9"/>
    <w:rsid w:val="003448C4"/>
    <w:rsid w:val="00344B07"/>
    <w:rsid w:val="00344D24"/>
    <w:rsid w:val="00344D8C"/>
    <w:rsid w:val="003450CB"/>
    <w:rsid w:val="003451BC"/>
    <w:rsid w:val="00345260"/>
    <w:rsid w:val="00345384"/>
    <w:rsid w:val="0034587F"/>
    <w:rsid w:val="003458E9"/>
    <w:rsid w:val="00345A2D"/>
    <w:rsid w:val="00345D5C"/>
    <w:rsid w:val="00345D72"/>
    <w:rsid w:val="00345F71"/>
    <w:rsid w:val="003460B9"/>
    <w:rsid w:val="003462BB"/>
    <w:rsid w:val="00346410"/>
    <w:rsid w:val="0034649F"/>
    <w:rsid w:val="003465A6"/>
    <w:rsid w:val="003465AC"/>
    <w:rsid w:val="00346629"/>
    <w:rsid w:val="00346643"/>
    <w:rsid w:val="00346825"/>
    <w:rsid w:val="00346AB7"/>
    <w:rsid w:val="00346CD3"/>
    <w:rsid w:val="00346F9B"/>
    <w:rsid w:val="003470F4"/>
    <w:rsid w:val="003472EF"/>
    <w:rsid w:val="003474B9"/>
    <w:rsid w:val="00347538"/>
    <w:rsid w:val="0034753D"/>
    <w:rsid w:val="00347615"/>
    <w:rsid w:val="00347ABD"/>
    <w:rsid w:val="00347B20"/>
    <w:rsid w:val="00347C35"/>
    <w:rsid w:val="00347C48"/>
    <w:rsid w:val="00347EF9"/>
    <w:rsid w:val="00350055"/>
    <w:rsid w:val="003500E0"/>
    <w:rsid w:val="0035013E"/>
    <w:rsid w:val="003502CF"/>
    <w:rsid w:val="0035032C"/>
    <w:rsid w:val="0035039B"/>
    <w:rsid w:val="003503CF"/>
    <w:rsid w:val="00350453"/>
    <w:rsid w:val="0035048C"/>
    <w:rsid w:val="003505EB"/>
    <w:rsid w:val="00350610"/>
    <w:rsid w:val="003506E7"/>
    <w:rsid w:val="00350949"/>
    <w:rsid w:val="003509CD"/>
    <w:rsid w:val="00350A26"/>
    <w:rsid w:val="00350CB3"/>
    <w:rsid w:val="00350DB7"/>
    <w:rsid w:val="00350F21"/>
    <w:rsid w:val="00350F60"/>
    <w:rsid w:val="00351058"/>
    <w:rsid w:val="003512D6"/>
    <w:rsid w:val="0035132A"/>
    <w:rsid w:val="00351C1F"/>
    <w:rsid w:val="00351E81"/>
    <w:rsid w:val="0035214F"/>
    <w:rsid w:val="00352184"/>
    <w:rsid w:val="003522B9"/>
    <w:rsid w:val="0035252C"/>
    <w:rsid w:val="0035273E"/>
    <w:rsid w:val="00352955"/>
    <w:rsid w:val="00352A3A"/>
    <w:rsid w:val="00352B50"/>
    <w:rsid w:val="00352BC6"/>
    <w:rsid w:val="00352C15"/>
    <w:rsid w:val="00352EA2"/>
    <w:rsid w:val="00352EFF"/>
    <w:rsid w:val="00352F8B"/>
    <w:rsid w:val="00352FE2"/>
    <w:rsid w:val="00353531"/>
    <w:rsid w:val="003536B3"/>
    <w:rsid w:val="0035378A"/>
    <w:rsid w:val="00353B51"/>
    <w:rsid w:val="00353C9A"/>
    <w:rsid w:val="00353D66"/>
    <w:rsid w:val="00353EE5"/>
    <w:rsid w:val="00353FF5"/>
    <w:rsid w:val="003541E3"/>
    <w:rsid w:val="0035447E"/>
    <w:rsid w:val="003545E9"/>
    <w:rsid w:val="00354613"/>
    <w:rsid w:val="003547E8"/>
    <w:rsid w:val="0035483F"/>
    <w:rsid w:val="00354866"/>
    <w:rsid w:val="00354874"/>
    <w:rsid w:val="0035487C"/>
    <w:rsid w:val="003548CD"/>
    <w:rsid w:val="00354B69"/>
    <w:rsid w:val="00354D88"/>
    <w:rsid w:val="00354FE3"/>
    <w:rsid w:val="003550CA"/>
    <w:rsid w:val="00355284"/>
    <w:rsid w:val="0035539A"/>
    <w:rsid w:val="003553C8"/>
    <w:rsid w:val="00355522"/>
    <w:rsid w:val="00355543"/>
    <w:rsid w:val="00355698"/>
    <w:rsid w:val="00355705"/>
    <w:rsid w:val="003557C8"/>
    <w:rsid w:val="0035580B"/>
    <w:rsid w:val="003558DF"/>
    <w:rsid w:val="003559AE"/>
    <w:rsid w:val="00355A35"/>
    <w:rsid w:val="00355BC6"/>
    <w:rsid w:val="00355E7E"/>
    <w:rsid w:val="00355F5D"/>
    <w:rsid w:val="00356007"/>
    <w:rsid w:val="003562BF"/>
    <w:rsid w:val="00356384"/>
    <w:rsid w:val="003563BC"/>
    <w:rsid w:val="00356568"/>
    <w:rsid w:val="003569B1"/>
    <w:rsid w:val="003569D5"/>
    <w:rsid w:val="00356D17"/>
    <w:rsid w:val="00356EA3"/>
    <w:rsid w:val="00357066"/>
    <w:rsid w:val="00357386"/>
    <w:rsid w:val="003573EE"/>
    <w:rsid w:val="003574E8"/>
    <w:rsid w:val="00357C39"/>
    <w:rsid w:val="00357CAA"/>
    <w:rsid w:val="00357DB5"/>
    <w:rsid w:val="00357FAC"/>
    <w:rsid w:val="003600B5"/>
    <w:rsid w:val="00360171"/>
    <w:rsid w:val="00360244"/>
    <w:rsid w:val="00360283"/>
    <w:rsid w:val="003602CE"/>
    <w:rsid w:val="003607C2"/>
    <w:rsid w:val="00360884"/>
    <w:rsid w:val="00360AB9"/>
    <w:rsid w:val="00360B2B"/>
    <w:rsid w:val="00360D80"/>
    <w:rsid w:val="003613B0"/>
    <w:rsid w:val="003614E9"/>
    <w:rsid w:val="00361665"/>
    <w:rsid w:val="0036173E"/>
    <w:rsid w:val="00361746"/>
    <w:rsid w:val="003618FF"/>
    <w:rsid w:val="003619A6"/>
    <w:rsid w:val="003619D9"/>
    <w:rsid w:val="00361A7E"/>
    <w:rsid w:val="00361C46"/>
    <w:rsid w:val="00361CCF"/>
    <w:rsid w:val="00361F9C"/>
    <w:rsid w:val="00362127"/>
    <w:rsid w:val="0036249B"/>
    <w:rsid w:val="003624B8"/>
    <w:rsid w:val="003628FC"/>
    <w:rsid w:val="0036295A"/>
    <w:rsid w:val="00362974"/>
    <w:rsid w:val="003629B3"/>
    <w:rsid w:val="00362BB9"/>
    <w:rsid w:val="00362E81"/>
    <w:rsid w:val="0036307E"/>
    <w:rsid w:val="0036363E"/>
    <w:rsid w:val="003636FA"/>
    <w:rsid w:val="0036377C"/>
    <w:rsid w:val="003637EF"/>
    <w:rsid w:val="00363817"/>
    <w:rsid w:val="003638A2"/>
    <w:rsid w:val="00363A11"/>
    <w:rsid w:val="00363FBE"/>
    <w:rsid w:val="003645E5"/>
    <w:rsid w:val="003646E9"/>
    <w:rsid w:val="00364830"/>
    <w:rsid w:val="00364873"/>
    <w:rsid w:val="003648A5"/>
    <w:rsid w:val="003648CD"/>
    <w:rsid w:val="00364A98"/>
    <w:rsid w:val="00364E88"/>
    <w:rsid w:val="003653B1"/>
    <w:rsid w:val="00365403"/>
    <w:rsid w:val="0036556D"/>
    <w:rsid w:val="00365789"/>
    <w:rsid w:val="003658D3"/>
    <w:rsid w:val="00365968"/>
    <w:rsid w:val="00365AD1"/>
    <w:rsid w:val="00365E8E"/>
    <w:rsid w:val="003660C0"/>
    <w:rsid w:val="00366170"/>
    <w:rsid w:val="0036625A"/>
    <w:rsid w:val="003662DC"/>
    <w:rsid w:val="0036630E"/>
    <w:rsid w:val="003664E4"/>
    <w:rsid w:val="003665D7"/>
    <w:rsid w:val="00366A10"/>
    <w:rsid w:val="00366BBA"/>
    <w:rsid w:val="00366C07"/>
    <w:rsid w:val="00366CCE"/>
    <w:rsid w:val="00366D1E"/>
    <w:rsid w:val="00366ECB"/>
    <w:rsid w:val="00366F8A"/>
    <w:rsid w:val="00366FA5"/>
    <w:rsid w:val="003673BD"/>
    <w:rsid w:val="003676A0"/>
    <w:rsid w:val="003676D8"/>
    <w:rsid w:val="0036786F"/>
    <w:rsid w:val="00367881"/>
    <w:rsid w:val="00367B24"/>
    <w:rsid w:val="00367D30"/>
    <w:rsid w:val="003701EB"/>
    <w:rsid w:val="00370215"/>
    <w:rsid w:val="00370451"/>
    <w:rsid w:val="00370529"/>
    <w:rsid w:val="00370720"/>
    <w:rsid w:val="00370865"/>
    <w:rsid w:val="003708DC"/>
    <w:rsid w:val="00370B79"/>
    <w:rsid w:val="00370ED4"/>
    <w:rsid w:val="00371089"/>
    <w:rsid w:val="00371306"/>
    <w:rsid w:val="0037134C"/>
    <w:rsid w:val="003715EC"/>
    <w:rsid w:val="00371602"/>
    <w:rsid w:val="00371604"/>
    <w:rsid w:val="00371685"/>
    <w:rsid w:val="003719B1"/>
    <w:rsid w:val="00371A49"/>
    <w:rsid w:val="00371AA7"/>
    <w:rsid w:val="00371B8C"/>
    <w:rsid w:val="00371CFE"/>
    <w:rsid w:val="00371EBD"/>
    <w:rsid w:val="003721D0"/>
    <w:rsid w:val="003722BF"/>
    <w:rsid w:val="00372797"/>
    <w:rsid w:val="003728CA"/>
    <w:rsid w:val="00372C26"/>
    <w:rsid w:val="00372C7A"/>
    <w:rsid w:val="00372EF0"/>
    <w:rsid w:val="00372FC1"/>
    <w:rsid w:val="003731AA"/>
    <w:rsid w:val="003731DD"/>
    <w:rsid w:val="00373309"/>
    <w:rsid w:val="00373450"/>
    <w:rsid w:val="0037346E"/>
    <w:rsid w:val="003734AA"/>
    <w:rsid w:val="003735EB"/>
    <w:rsid w:val="003737AC"/>
    <w:rsid w:val="00373CAA"/>
    <w:rsid w:val="00373CC3"/>
    <w:rsid w:val="00373DF9"/>
    <w:rsid w:val="0037400A"/>
    <w:rsid w:val="00374143"/>
    <w:rsid w:val="0037427E"/>
    <w:rsid w:val="003744D1"/>
    <w:rsid w:val="003747A8"/>
    <w:rsid w:val="0037489A"/>
    <w:rsid w:val="003748C8"/>
    <w:rsid w:val="00374B6F"/>
    <w:rsid w:val="00374D97"/>
    <w:rsid w:val="00374DA7"/>
    <w:rsid w:val="00375320"/>
    <w:rsid w:val="003754F5"/>
    <w:rsid w:val="0037554D"/>
    <w:rsid w:val="0037568E"/>
    <w:rsid w:val="00375749"/>
    <w:rsid w:val="00375ADE"/>
    <w:rsid w:val="00375B6D"/>
    <w:rsid w:val="00375C25"/>
    <w:rsid w:val="00375CB1"/>
    <w:rsid w:val="00375FD8"/>
    <w:rsid w:val="00376121"/>
    <w:rsid w:val="0037690D"/>
    <w:rsid w:val="0037697E"/>
    <w:rsid w:val="00376AB0"/>
    <w:rsid w:val="00376B5F"/>
    <w:rsid w:val="00376B94"/>
    <w:rsid w:val="00376BC3"/>
    <w:rsid w:val="00376C16"/>
    <w:rsid w:val="00376D1A"/>
    <w:rsid w:val="00376DF4"/>
    <w:rsid w:val="00376FC6"/>
    <w:rsid w:val="00377036"/>
    <w:rsid w:val="0037724D"/>
    <w:rsid w:val="0037752F"/>
    <w:rsid w:val="003775AF"/>
    <w:rsid w:val="00377784"/>
    <w:rsid w:val="0037794C"/>
    <w:rsid w:val="00377D43"/>
    <w:rsid w:val="00377F90"/>
    <w:rsid w:val="00377F95"/>
    <w:rsid w:val="003800BE"/>
    <w:rsid w:val="00380301"/>
    <w:rsid w:val="00380481"/>
    <w:rsid w:val="00380546"/>
    <w:rsid w:val="00380702"/>
    <w:rsid w:val="003808B0"/>
    <w:rsid w:val="00380AD8"/>
    <w:rsid w:val="00380C24"/>
    <w:rsid w:val="00380D74"/>
    <w:rsid w:val="00380FEE"/>
    <w:rsid w:val="00381009"/>
    <w:rsid w:val="0038111E"/>
    <w:rsid w:val="00381384"/>
    <w:rsid w:val="003813A8"/>
    <w:rsid w:val="00381492"/>
    <w:rsid w:val="003816B1"/>
    <w:rsid w:val="0038182B"/>
    <w:rsid w:val="0038193E"/>
    <w:rsid w:val="00382062"/>
    <w:rsid w:val="003822A7"/>
    <w:rsid w:val="003822E5"/>
    <w:rsid w:val="003823EF"/>
    <w:rsid w:val="00382564"/>
    <w:rsid w:val="00382568"/>
    <w:rsid w:val="00382655"/>
    <w:rsid w:val="0038266C"/>
    <w:rsid w:val="003826CD"/>
    <w:rsid w:val="003826F9"/>
    <w:rsid w:val="003828DD"/>
    <w:rsid w:val="003828EC"/>
    <w:rsid w:val="003828EF"/>
    <w:rsid w:val="00382931"/>
    <w:rsid w:val="00382B39"/>
    <w:rsid w:val="00382E0D"/>
    <w:rsid w:val="00382FAB"/>
    <w:rsid w:val="00382FDA"/>
    <w:rsid w:val="003833E7"/>
    <w:rsid w:val="00383498"/>
    <w:rsid w:val="003835A1"/>
    <w:rsid w:val="003836E1"/>
    <w:rsid w:val="00383723"/>
    <w:rsid w:val="00383827"/>
    <w:rsid w:val="00383A03"/>
    <w:rsid w:val="003845CB"/>
    <w:rsid w:val="00384A63"/>
    <w:rsid w:val="00384B11"/>
    <w:rsid w:val="00385004"/>
    <w:rsid w:val="00385069"/>
    <w:rsid w:val="00385176"/>
    <w:rsid w:val="003851AC"/>
    <w:rsid w:val="00385274"/>
    <w:rsid w:val="003854BB"/>
    <w:rsid w:val="0038563E"/>
    <w:rsid w:val="0038585B"/>
    <w:rsid w:val="00385AAC"/>
    <w:rsid w:val="00385ACB"/>
    <w:rsid w:val="00386032"/>
    <w:rsid w:val="003862E6"/>
    <w:rsid w:val="003863CA"/>
    <w:rsid w:val="00386485"/>
    <w:rsid w:val="003868D5"/>
    <w:rsid w:val="00386A07"/>
    <w:rsid w:val="00386D59"/>
    <w:rsid w:val="00386DE2"/>
    <w:rsid w:val="00386EDF"/>
    <w:rsid w:val="00386EED"/>
    <w:rsid w:val="003870D6"/>
    <w:rsid w:val="00387202"/>
    <w:rsid w:val="003874A4"/>
    <w:rsid w:val="00387815"/>
    <w:rsid w:val="00387F21"/>
    <w:rsid w:val="00387F5B"/>
    <w:rsid w:val="00390188"/>
    <w:rsid w:val="00390450"/>
    <w:rsid w:val="003905AD"/>
    <w:rsid w:val="003905F7"/>
    <w:rsid w:val="00390714"/>
    <w:rsid w:val="003907CB"/>
    <w:rsid w:val="003908DA"/>
    <w:rsid w:val="003909F0"/>
    <w:rsid w:val="00390A90"/>
    <w:rsid w:val="00390C47"/>
    <w:rsid w:val="00390C8E"/>
    <w:rsid w:val="00390FF2"/>
    <w:rsid w:val="0039114E"/>
    <w:rsid w:val="00391173"/>
    <w:rsid w:val="003911E1"/>
    <w:rsid w:val="0039153C"/>
    <w:rsid w:val="003916CA"/>
    <w:rsid w:val="00391748"/>
    <w:rsid w:val="00391B01"/>
    <w:rsid w:val="00391F90"/>
    <w:rsid w:val="00392646"/>
    <w:rsid w:val="00392A60"/>
    <w:rsid w:val="00392AAF"/>
    <w:rsid w:val="00393143"/>
    <w:rsid w:val="0039342C"/>
    <w:rsid w:val="003937BB"/>
    <w:rsid w:val="00393C0B"/>
    <w:rsid w:val="00393CBE"/>
    <w:rsid w:val="00393D39"/>
    <w:rsid w:val="0039423F"/>
    <w:rsid w:val="00394240"/>
    <w:rsid w:val="0039425B"/>
    <w:rsid w:val="0039426D"/>
    <w:rsid w:val="003943E1"/>
    <w:rsid w:val="00394580"/>
    <w:rsid w:val="00394646"/>
    <w:rsid w:val="003947FB"/>
    <w:rsid w:val="00394884"/>
    <w:rsid w:val="003949FE"/>
    <w:rsid w:val="00394A47"/>
    <w:rsid w:val="00394BB7"/>
    <w:rsid w:val="00394C5D"/>
    <w:rsid w:val="00394D37"/>
    <w:rsid w:val="00394D3C"/>
    <w:rsid w:val="00395134"/>
    <w:rsid w:val="003952DF"/>
    <w:rsid w:val="003956C0"/>
    <w:rsid w:val="00395B43"/>
    <w:rsid w:val="00395BDB"/>
    <w:rsid w:val="00395F84"/>
    <w:rsid w:val="0039601A"/>
    <w:rsid w:val="00396027"/>
    <w:rsid w:val="00396225"/>
    <w:rsid w:val="0039651D"/>
    <w:rsid w:val="00396B51"/>
    <w:rsid w:val="00396E0C"/>
    <w:rsid w:val="00396E92"/>
    <w:rsid w:val="00396EC0"/>
    <w:rsid w:val="00396F79"/>
    <w:rsid w:val="00396FD7"/>
    <w:rsid w:val="00397233"/>
    <w:rsid w:val="003976B8"/>
    <w:rsid w:val="003977C0"/>
    <w:rsid w:val="003978B4"/>
    <w:rsid w:val="00397C09"/>
    <w:rsid w:val="00397C28"/>
    <w:rsid w:val="00397CAF"/>
    <w:rsid w:val="00397E38"/>
    <w:rsid w:val="003A008B"/>
    <w:rsid w:val="003A019C"/>
    <w:rsid w:val="003A01FC"/>
    <w:rsid w:val="003A02C2"/>
    <w:rsid w:val="003A07B8"/>
    <w:rsid w:val="003A0843"/>
    <w:rsid w:val="003A0E93"/>
    <w:rsid w:val="003A0F66"/>
    <w:rsid w:val="003A1116"/>
    <w:rsid w:val="003A1278"/>
    <w:rsid w:val="003A1405"/>
    <w:rsid w:val="003A173C"/>
    <w:rsid w:val="003A1774"/>
    <w:rsid w:val="003A1A21"/>
    <w:rsid w:val="003A1B15"/>
    <w:rsid w:val="003A1CE5"/>
    <w:rsid w:val="003A1DE8"/>
    <w:rsid w:val="003A2138"/>
    <w:rsid w:val="003A24F2"/>
    <w:rsid w:val="003A26FA"/>
    <w:rsid w:val="003A2873"/>
    <w:rsid w:val="003A2876"/>
    <w:rsid w:val="003A2A64"/>
    <w:rsid w:val="003A2B37"/>
    <w:rsid w:val="003A2B3F"/>
    <w:rsid w:val="003A2FE3"/>
    <w:rsid w:val="003A32D7"/>
    <w:rsid w:val="003A34CB"/>
    <w:rsid w:val="003A3571"/>
    <w:rsid w:val="003A3925"/>
    <w:rsid w:val="003A3976"/>
    <w:rsid w:val="003A39F0"/>
    <w:rsid w:val="003A3A39"/>
    <w:rsid w:val="003A3B48"/>
    <w:rsid w:val="003A3BB3"/>
    <w:rsid w:val="003A3C47"/>
    <w:rsid w:val="003A3D9A"/>
    <w:rsid w:val="003A3E30"/>
    <w:rsid w:val="003A3FE2"/>
    <w:rsid w:val="003A41B0"/>
    <w:rsid w:val="003A45C6"/>
    <w:rsid w:val="003A45D3"/>
    <w:rsid w:val="003A46CE"/>
    <w:rsid w:val="003A4F8C"/>
    <w:rsid w:val="003A55CB"/>
    <w:rsid w:val="003A5636"/>
    <w:rsid w:val="003A5A2B"/>
    <w:rsid w:val="003A5AD3"/>
    <w:rsid w:val="003A5BDB"/>
    <w:rsid w:val="003A5D34"/>
    <w:rsid w:val="003A5ED2"/>
    <w:rsid w:val="003A6204"/>
    <w:rsid w:val="003A6641"/>
    <w:rsid w:val="003A6670"/>
    <w:rsid w:val="003A671C"/>
    <w:rsid w:val="003A67AC"/>
    <w:rsid w:val="003A697C"/>
    <w:rsid w:val="003A6B1F"/>
    <w:rsid w:val="003A6CED"/>
    <w:rsid w:val="003A7060"/>
    <w:rsid w:val="003A771F"/>
    <w:rsid w:val="003A77B6"/>
    <w:rsid w:val="003A77F7"/>
    <w:rsid w:val="003A78A8"/>
    <w:rsid w:val="003A7C7A"/>
    <w:rsid w:val="003B029F"/>
    <w:rsid w:val="003B055A"/>
    <w:rsid w:val="003B0641"/>
    <w:rsid w:val="003B0734"/>
    <w:rsid w:val="003B07E3"/>
    <w:rsid w:val="003B07FB"/>
    <w:rsid w:val="003B0A3C"/>
    <w:rsid w:val="003B0C3C"/>
    <w:rsid w:val="003B0EE3"/>
    <w:rsid w:val="003B0F5E"/>
    <w:rsid w:val="003B0F63"/>
    <w:rsid w:val="003B10E6"/>
    <w:rsid w:val="003B11DB"/>
    <w:rsid w:val="003B1353"/>
    <w:rsid w:val="003B16ED"/>
    <w:rsid w:val="003B17AA"/>
    <w:rsid w:val="003B17B5"/>
    <w:rsid w:val="003B17D6"/>
    <w:rsid w:val="003B1811"/>
    <w:rsid w:val="003B1860"/>
    <w:rsid w:val="003B1E9F"/>
    <w:rsid w:val="003B1F48"/>
    <w:rsid w:val="003B1FD4"/>
    <w:rsid w:val="003B211F"/>
    <w:rsid w:val="003B216E"/>
    <w:rsid w:val="003B21B9"/>
    <w:rsid w:val="003B2497"/>
    <w:rsid w:val="003B2691"/>
    <w:rsid w:val="003B27D7"/>
    <w:rsid w:val="003B2A40"/>
    <w:rsid w:val="003B2CE7"/>
    <w:rsid w:val="003B31FA"/>
    <w:rsid w:val="003B322F"/>
    <w:rsid w:val="003B32F1"/>
    <w:rsid w:val="003B3356"/>
    <w:rsid w:val="003B3508"/>
    <w:rsid w:val="003B36D9"/>
    <w:rsid w:val="003B3D3D"/>
    <w:rsid w:val="003B3E5C"/>
    <w:rsid w:val="003B3EAB"/>
    <w:rsid w:val="003B4066"/>
    <w:rsid w:val="003B4388"/>
    <w:rsid w:val="003B4F29"/>
    <w:rsid w:val="003B50AC"/>
    <w:rsid w:val="003B5340"/>
    <w:rsid w:val="003B54B4"/>
    <w:rsid w:val="003B5516"/>
    <w:rsid w:val="003B5571"/>
    <w:rsid w:val="003B587D"/>
    <w:rsid w:val="003B5950"/>
    <w:rsid w:val="003B5D79"/>
    <w:rsid w:val="003B612A"/>
    <w:rsid w:val="003B61E6"/>
    <w:rsid w:val="003B6356"/>
    <w:rsid w:val="003B645C"/>
    <w:rsid w:val="003B66C8"/>
    <w:rsid w:val="003B6868"/>
    <w:rsid w:val="003B6AFA"/>
    <w:rsid w:val="003B6B24"/>
    <w:rsid w:val="003B6D09"/>
    <w:rsid w:val="003B6E8B"/>
    <w:rsid w:val="003B72AC"/>
    <w:rsid w:val="003B72F0"/>
    <w:rsid w:val="003B72F6"/>
    <w:rsid w:val="003B75E8"/>
    <w:rsid w:val="003B767B"/>
    <w:rsid w:val="003B7B0D"/>
    <w:rsid w:val="003B7B6D"/>
    <w:rsid w:val="003B7D30"/>
    <w:rsid w:val="003C0656"/>
    <w:rsid w:val="003C0669"/>
    <w:rsid w:val="003C0A1B"/>
    <w:rsid w:val="003C0DA7"/>
    <w:rsid w:val="003C116C"/>
    <w:rsid w:val="003C14E7"/>
    <w:rsid w:val="003C157D"/>
    <w:rsid w:val="003C15F8"/>
    <w:rsid w:val="003C18D5"/>
    <w:rsid w:val="003C19C1"/>
    <w:rsid w:val="003C1CC2"/>
    <w:rsid w:val="003C1E83"/>
    <w:rsid w:val="003C2180"/>
    <w:rsid w:val="003C2354"/>
    <w:rsid w:val="003C245A"/>
    <w:rsid w:val="003C248D"/>
    <w:rsid w:val="003C266A"/>
    <w:rsid w:val="003C27F2"/>
    <w:rsid w:val="003C2A9C"/>
    <w:rsid w:val="003C2D9D"/>
    <w:rsid w:val="003C3068"/>
    <w:rsid w:val="003C313A"/>
    <w:rsid w:val="003C348F"/>
    <w:rsid w:val="003C395B"/>
    <w:rsid w:val="003C3B13"/>
    <w:rsid w:val="003C3BA1"/>
    <w:rsid w:val="003C3BBC"/>
    <w:rsid w:val="003C3BF8"/>
    <w:rsid w:val="003C3CED"/>
    <w:rsid w:val="003C3D48"/>
    <w:rsid w:val="003C3E93"/>
    <w:rsid w:val="003C403E"/>
    <w:rsid w:val="003C4045"/>
    <w:rsid w:val="003C41C5"/>
    <w:rsid w:val="003C4549"/>
    <w:rsid w:val="003C4578"/>
    <w:rsid w:val="003C476F"/>
    <w:rsid w:val="003C47C7"/>
    <w:rsid w:val="003C5018"/>
    <w:rsid w:val="003C501A"/>
    <w:rsid w:val="003C5469"/>
    <w:rsid w:val="003C56C2"/>
    <w:rsid w:val="003C577F"/>
    <w:rsid w:val="003C5B43"/>
    <w:rsid w:val="003C5F5A"/>
    <w:rsid w:val="003C6145"/>
    <w:rsid w:val="003C6531"/>
    <w:rsid w:val="003C65FA"/>
    <w:rsid w:val="003C67C9"/>
    <w:rsid w:val="003C69E4"/>
    <w:rsid w:val="003C6B13"/>
    <w:rsid w:val="003C6BB4"/>
    <w:rsid w:val="003C6CE4"/>
    <w:rsid w:val="003C71C6"/>
    <w:rsid w:val="003C7265"/>
    <w:rsid w:val="003C7410"/>
    <w:rsid w:val="003C757F"/>
    <w:rsid w:val="003C7584"/>
    <w:rsid w:val="003C7625"/>
    <w:rsid w:val="003C77C1"/>
    <w:rsid w:val="003C7BC5"/>
    <w:rsid w:val="003C7C7A"/>
    <w:rsid w:val="003C7C82"/>
    <w:rsid w:val="003C7F13"/>
    <w:rsid w:val="003D002F"/>
    <w:rsid w:val="003D0157"/>
    <w:rsid w:val="003D01A6"/>
    <w:rsid w:val="003D01E8"/>
    <w:rsid w:val="003D02C6"/>
    <w:rsid w:val="003D0724"/>
    <w:rsid w:val="003D0B8E"/>
    <w:rsid w:val="003D0CFA"/>
    <w:rsid w:val="003D0E28"/>
    <w:rsid w:val="003D0EA5"/>
    <w:rsid w:val="003D0FA8"/>
    <w:rsid w:val="003D1407"/>
    <w:rsid w:val="003D155A"/>
    <w:rsid w:val="003D165F"/>
    <w:rsid w:val="003D193F"/>
    <w:rsid w:val="003D1A6A"/>
    <w:rsid w:val="003D1BA0"/>
    <w:rsid w:val="003D1C1C"/>
    <w:rsid w:val="003D1DA9"/>
    <w:rsid w:val="003D1DC6"/>
    <w:rsid w:val="003D1DE3"/>
    <w:rsid w:val="003D2156"/>
    <w:rsid w:val="003D2231"/>
    <w:rsid w:val="003D24AB"/>
    <w:rsid w:val="003D290A"/>
    <w:rsid w:val="003D2ACE"/>
    <w:rsid w:val="003D2AD7"/>
    <w:rsid w:val="003D2C02"/>
    <w:rsid w:val="003D2E60"/>
    <w:rsid w:val="003D2F85"/>
    <w:rsid w:val="003D3305"/>
    <w:rsid w:val="003D33A4"/>
    <w:rsid w:val="003D3574"/>
    <w:rsid w:val="003D36B4"/>
    <w:rsid w:val="003D3BD3"/>
    <w:rsid w:val="003D3F6E"/>
    <w:rsid w:val="003D417B"/>
    <w:rsid w:val="003D4235"/>
    <w:rsid w:val="003D4341"/>
    <w:rsid w:val="003D44F1"/>
    <w:rsid w:val="003D4926"/>
    <w:rsid w:val="003D4B6A"/>
    <w:rsid w:val="003D4C58"/>
    <w:rsid w:val="003D4E03"/>
    <w:rsid w:val="003D4F42"/>
    <w:rsid w:val="003D524E"/>
    <w:rsid w:val="003D5531"/>
    <w:rsid w:val="003D5628"/>
    <w:rsid w:val="003D572C"/>
    <w:rsid w:val="003D5C2D"/>
    <w:rsid w:val="003D5CFD"/>
    <w:rsid w:val="003D5D59"/>
    <w:rsid w:val="003D5DD6"/>
    <w:rsid w:val="003D5F00"/>
    <w:rsid w:val="003D6073"/>
    <w:rsid w:val="003D621F"/>
    <w:rsid w:val="003D637F"/>
    <w:rsid w:val="003D6499"/>
    <w:rsid w:val="003D651D"/>
    <w:rsid w:val="003D653C"/>
    <w:rsid w:val="003D6922"/>
    <w:rsid w:val="003D6A09"/>
    <w:rsid w:val="003D6A56"/>
    <w:rsid w:val="003D6AB1"/>
    <w:rsid w:val="003D6BEC"/>
    <w:rsid w:val="003D6C0F"/>
    <w:rsid w:val="003D6D91"/>
    <w:rsid w:val="003D6EDF"/>
    <w:rsid w:val="003D732E"/>
    <w:rsid w:val="003D749F"/>
    <w:rsid w:val="003D76AF"/>
    <w:rsid w:val="003D77F2"/>
    <w:rsid w:val="003D7905"/>
    <w:rsid w:val="003D7E5E"/>
    <w:rsid w:val="003E00CF"/>
    <w:rsid w:val="003E0437"/>
    <w:rsid w:val="003E069E"/>
    <w:rsid w:val="003E0964"/>
    <w:rsid w:val="003E09C0"/>
    <w:rsid w:val="003E0AE5"/>
    <w:rsid w:val="003E0B0B"/>
    <w:rsid w:val="003E0B4C"/>
    <w:rsid w:val="003E0DBC"/>
    <w:rsid w:val="003E0F75"/>
    <w:rsid w:val="003E1059"/>
    <w:rsid w:val="003E115D"/>
    <w:rsid w:val="003E1417"/>
    <w:rsid w:val="003E145F"/>
    <w:rsid w:val="003E14D8"/>
    <w:rsid w:val="003E17D4"/>
    <w:rsid w:val="003E1910"/>
    <w:rsid w:val="003E1940"/>
    <w:rsid w:val="003E1E8C"/>
    <w:rsid w:val="003E1FE1"/>
    <w:rsid w:val="003E1FF1"/>
    <w:rsid w:val="003E20D3"/>
    <w:rsid w:val="003E2304"/>
    <w:rsid w:val="003E23B9"/>
    <w:rsid w:val="003E25D9"/>
    <w:rsid w:val="003E279D"/>
    <w:rsid w:val="003E290E"/>
    <w:rsid w:val="003E2F98"/>
    <w:rsid w:val="003E3138"/>
    <w:rsid w:val="003E31E9"/>
    <w:rsid w:val="003E3385"/>
    <w:rsid w:val="003E3483"/>
    <w:rsid w:val="003E351C"/>
    <w:rsid w:val="003E380A"/>
    <w:rsid w:val="003E394E"/>
    <w:rsid w:val="003E3AD9"/>
    <w:rsid w:val="003E3D0C"/>
    <w:rsid w:val="003E3FCE"/>
    <w:rsid w:val="003E4065"/>
    <w:rsid w:val="003E42EA"/>
    <w:rsid w:val="003E42FA"/>
    <w:rsid w:val="003E4341"/>
    <w:rsid w:val="003E44E3"/>
    <w:rsid w:val="003E4608"/>
    <w:rsid w:val="003E4730"/>
    <w:rsid w:val="003E4825"/>
    <w:rsid w:val="003E4863"/>
    <w:rsid w:val="003E49CA"/>
    <w:rsid w:val="003E4B08"/>
    <w:rsid w:val="003E4CF2"/>
    <w:rsid w:val="003E54E3"/>
    <w:rsid w:val="003E5A32"/>
    <w:rsid w:val="003E6102"/>
    <w:rsid w:val="003E61D1"/>
    <w:rsid w:val="003E6357"/>
    <w:rsid w:val="003E63EC"/>
    <w:rsid w:val="003E6475"/>
    <w:rsid w:val="003E64A0"/>
    <w:rsid w:val="003E6603"/>
    <w:rsid w:val="003E715A"/>
    <w:rsid w:val="003E7277"/>
    <w:rsid w:val="003E7401"/>
    <w:rsid w:val="003E766D"/>
    <w:rsid w:val="003E780D"/>
    <w:rsid w:val="003E7832"/>
    <w:rsid w:val="003E7BF6"/>
    <w:rsid w:val="003E7CA0"/>
    <w:rsid w:val="003E7E7F"/>
    <w:rsid w:val="003F004B"/>
    <w:rsid w:val="003F02A5"/>
    <w:rsid w:val="003F04B1"/>
    <w:rsid w:val="003F071D"/>
    <w:rsid w:val="003F0983"/>
    <w:rsid w:val="003F0CE4"/>
    <w:rsid w:val="003F0D0F"/>
    <w:rsid w:val="003F0E24"/>
    <w:rsid w:val="003F115C"/>
    <w:rsid w:val="003F1228"/>
    <w:rsid w:val="003F12A7"/>
    <w:rsid w:val="003F12F1"/>
    <w:rsid w:val="003F1B87"/>
    <w:rsid w:val="003F1F13"/>
    <w:rsid w:val="003F1F53"/>
    <w:rsid w:val="003F1FD2"/>
    <w:rsid w:val="003F2005"/>
    <w:rsid w:val="003F2285"/>
    <w:rsid w:val="003F24B4"/>
    <w:rsid w:val="003F2636"/>
    <w:rsid w:val="003F274B"/>
    <w:rsid w:val="003F2FBB"/>
    <w:rsid w:val="003F3019"/>
    <w:rsid w:val="003F307C"/>
    <w:rsid w:val="003F34A4"/>
    <w:rsid w:val="003F34E1"/>
    <w:rsid w:val="003F376F"/>
    <w:rsid w:val="003F3CFF"/>
    <w:rsid w:val="003F3D8A"/>
    <w:rsid w:val="003F3EF0"/>
    <w:rsid w:val="003F42E3"/>
    <w:rsid w:val="003F432D"/>
    <w:rsid w:val="003F4374"/>
    <w:rsid w:val="003F48A9"/>
    <w:rsid w:val="003F4A7C"/>
    <w:rsid w:val="003F4C32"/>
    <w:rsid w:val="003F4C73"/>
    <w:rsid w:val="003F4C9E"/>
    <w:rsid w:val="003F4E71"/>
    <w:rsid w:val="003F4E81"/>
    <w:rsid w:val="003F4ECA"/>
    <w:rsid w:val="003F4FAD"/>
    <w:rsid w:val="003F4FCD"/>
    <w:rsid w:val="003F4FF9"/>
    <w:rsid w:val="003F50E2"/>
    <w:rsid w:val="003F53E6"/>
    <w:rsid w:val="003F5933"/>
    <w:rsid w:val="003F5A28"/>
    <w:rsid w:val="003F5B36"/>
    <w:rsid w:val="003F5CA4"/>
    <w:rsid w:val="003F614F"/>
    <w:rsid w:val="003F643A"/>
    <w:rsid w:val="003F6527"/>
    <w:rsid w:val="003F6536"/>
    <w:rsid w:val="003F66AB"/>
    <w:rsid w:val="003F6913"/>
    <w:rsid w:val="003F6DBF"/>
    <w:rsid w:val="003F7187"/>
    <w:rsid w:val="003F73C3"/>
    <w:rsid w:val="003F76E5"/>
    <w:rsid w:val="003F777D"/>
    <w:rsid w:val="003F7A61"/>
    <w:rsid w:val="003F7BB4"/>
    <w:rsid w:val="003F7D0B"/>
    <w:rsid w:val="003F7F90"/>
    <w:rsid w:val="004004E2"/>
    <w:rsid w:val="00400699"/>
    <w:rsid w:val="0040080C"/>
    <w:rsid w:val="00400CC4"/>
    <w:rsid w:val="00400F28"/>
    <w:rsid w:val="00401263"/>
    <w:rsid w:val="00401500"/>
    <w:rsid w:val="004016F5"/>
    <w:rsid w:val="004018A8"/>
    <w:rsid w:val="004019EF"/>
    <w:rsid w:val="00401ACC"/>
    <w:rsid w:val="00401BE9"/>
    <w:rsid w:val="00401DAD"/>
    <w:rsid w:val="00401DAF"/>
    <w:rsid w:val="00401FD1"/>
    <w:rsid w:val="004020AA"/>
    <w:rsid w:val="004020EA"/>
    <w:rsid w:val="0040220C"/>
    <w:rsid w:val="0040260B"/>
    <w:rsid w:val="00402700"/>
    <w:rsid w:val="00402747"/>
    <w:rsid w:val="00402893"/>
    <w:rsid w:val="004029BC"/>
    <w:rsid w:val="00402A2C"/>
    <w:rsid w:val="00402B41"/>
    <w:rsid w:val="00402B64"/>
    <w:rsid w:val="004030B9"/>
    <w:rsid w:val="004031A5"/>
    <w:rsid w:val="00403222"/>
    <w:rsid w:val="0040378E"/>
    <w:rsid w:val="00403A35"/>
    <w:rsid w:val="00403C24"/>
    <w:rsid w:val="00403D58"/>
    <w:rsid w:val="00404225"/>
    <w:rsid w:val="004046C0"/>
    <w:rsid w:val="004047B5"/>
    <w:rsid w:val="00404A96"/>
    <w:rsid w:val="00404BE8"/>
    <w:rsid w:val="00404C4C"/>
    <w:rsid w:val="00404D30"/>
    <w:rsid w:val="00404E9C"/>
    <w:rsid w:val="00405037"/>
    <w:rsid w:val="0040525E"/>
    <w:rsid w:val="00405275"/>
    <w:rsid w:val="0040529D"/>
    <w:rsid w:val="0040529E"/>
    <w:rsid w:val="00405480"/>
    <w:rsid w:val="00405483"/>
    <w:rsid w:val="0040574C"/>
    <w:rsid w:val="00405877"/>
    <w:rsid w:val="0040594D"/>
    <w:rsid w:val="004059C2"/>
    <w:rsid w:val="004059E6"/>
    <w:rsid w:val="00405B85"/>
    <w:rsid w:val="00405D60"/>
    <w:rsid w:val="00406225"/>
    <w:rsid w:val="00406461"/>
    <w:rsid w:val="00406553"/>
    <w:rsid w:val="0040656A"/>
    <w:rsid w:val="00406583"/>
    <w:rsid w:val="00406717"/>
    <w:rsid w:val="004068B0"/>
    <w:rsid w:val="004069B3"/>
    <w:rsid w:val="00406D00"/>
    <w:rsid w:val="00406D46"/>
    <w:rsid w:val="00406EE1"/>
    <w:rsid w:val="00406F8F"/>
    <w:rsid w:val="004070B2"/>
    <w:rsid w:val="004070CB"/>
    <w:rsid w:val="00407291"/>
    <w:rsid w:val="004072A4"/>
    <w:rsid w:val="0040744B"/>
    <w:rsid w:val="0040759B"/>
    <w:rsid w:val="004075BF"/>
    <w:rsid w:val="004075E8"/>
    <w:rsid w:val="00407668"/>
    <w:rsid w:val="00407973"/>
    <w:rsid w:val="004101E0"/>
    <w:rsid w:val="004108D7"/>
    <w:rsid w:val="0041091E"/>
    <w:rsid w:val="00410BB8"/>
    <w:rsid w:val="00410C22"/>
    <w:rsid w:val="00410C91"/>
    <w:rsid w:val="00410CC7"/>
    <w:rsid w:val="00410D21"/>
    <w:rsid w:val="00410D52"/>
    <w:rsid w:val="00410DF1"/>
    <w:rsid w:val="00410F39"/>
    <w:rsid w:val="00410FF9"/>
    <w:rsid w:val="0041137A"/>
    <w:rsid w:val="004115D9"/>
    <w:rsid w:val="00411E77"/>
    <w:rsid w:val="00412012"/>
    <w:rsid w:val="0041228B"/>
    <w:rsid w:val="004123B6"/>
    <w:rsid w:val="00412419"/>
    <w:rsid w:val="0041243F"/>
    <w:rsid w:val="00412736"/>
    <w:rsid w:val="004128CE"/>
    <w:rsid w:val="00412CA0"/>
    <w:rsid w:val="00412CDB"/>
    <w:rsid w:val="00412E16"/>
    <w:rsid w:val="004133B4"/>
    <w:rsid w:val="00413566"/>
    <w:rsid w:val="00413E41"/>
    <w:rsid w:val="00413E68"/>
    <w:rsid w:val="00413EBF"/>
    <w:rsid w:val="00414158"/>
    <w:rsid w:val="00414302"/>
    <w:rsid w:val="00414606"/>
    <w:rsid w:val="0041464C"/>
    <w:rsid w:val="00414ABF"/>
    <w:rsid w:val="00414AF9"/>
    <w:rsid w:val="00414B5A"/>
    <w:rsid w:val="00414F63"/>
    <w:rsid w:val="004152AA"/>
    <w:rsid w:val="0041549F"/>
    <w:rsid w:val="004157D5"/>
    <w:rsid w:val="004158EB"/>
    <w:rsid w:val="00415A1A"/>
    <w:rsid w:val="00415C2A"/>
    <w:rsid w:val="00415D07"/>
    <w:rsid w:val="00415EDC"/>
    <w:rsid w:val="00415F72"/>
    <w:rsid w:val="00415FD9"/>
    <w:rsid w:val="00416096"/>
    <w:rsid w:val="0041619D"/>
    <w:rsid w:val="00416210"/>
    <w:rsid w:val="004162AE"/>
    <w:rsid w:val="00416437"/>
    <w:rsid w:val="00416441"/>
    <w:rsid w:val="00416443"/>
    <w:rsid w:val="0041679D"/>
    <w:rsid w:val="004167BB"/>
    <w:rsid w:val="004169C3"/>
    <w:rsid w:val="004169EB"/>
    <w:rsid w:val="00416AB7"/>
    <w:rsid w:val="00416B9B"/>
    <w:rsid w:val="00416BFE"/>
    <w:rsid w:val="0041761B"/>
    <w:rsid w:val="0041778E"/>
    <w:rsid w:val="00417935"/>
    <w:rsid w:val="00417BAE"/>
    <w:rsid w:val="00417BD3"/>
    <w:rsid w:val="0042025C"/>
    <w:rsid w:val="00420489"/>
    <w:rsid w:val="004206EC"/>
    <w:rsid w:val="004207FD"/>
    <w:rsid w:val="004209A8"/>
    <w:rsid w:val="00420A58"/>
    <w:rsid w:val="00420C7E"/>
    <w:rsid w:val="00420E24"/>
    <w:rsid w:val="00420FC3"/>
    <w:rsid w:val="00421125"/>
    <w:rsid w:val="00421253"/>
    <w:rsid w:val="004215C2"/>
    <w:rsid w:val="00421779"/>
    <w:rsid w:val="00421ABF"/>
    <w:rsid w:val="00422059"/>
    <w:rsid w:val="00422141"/>
    <w:rsid w:val="00422261"/>
    <w:rsid w:val="00422516"/>
    <w:rsid w:val="004227B5"/>
    <w:rsid w:val="00422C01"/>
    <w:rsid w:val="00422FB4"/>
    <w:rsid w:val="004234FE"/>
    <w:rsid w:val="00423560"/>
    <w:rsid w:val="00423720"/>
    <w:rsid w:val="00423785"/>
    <w:rsid w:val="00423886"/>
    <w:rsid w:val="00423C98"/>
    <w:rsid w:val="00423D57"/>
    <w:rsid w:val="00423E3A"/>
    <w:rsid w:val="00423F4C"/>
    <w:rsid w:val="004241C0"/>
    <w:rsid w:val="00424661"/>
    <w:rsid w:val="004248DF"/>
    <w:rsid w:val="00424DBC"/>
    <w:rsid w:val="00425341"/>
    <w:rsid w:val="004253ED"/>
    <w:rsid w:val="0042549B"/>
    <w:rsid w:val="004256EC"/>
    <w:rsid w:val="004256F0"/>
    <w:rsid w:val="004257B9"/>
    <w:rsid w:val="004258C2"/>
    <w:rsid w:val="0042594F"/>
    <w:rsid w:val="00425B83"/>
    <w:rsid w:val="00425E68"/>
    <w:rsid w:val="00425EF6"/>
    <w:rsid w:val="00425F48"/>
    <w:rsid w:val="00426197"/>
    <w:rsid w:val="00426335"/>
    <w:rsid w:val="0042673E"/>
    <w:rsid w:val="00426D25"/>
    <w:rsid w:val="00426E4E"/>
    <w:rsid w:val="00427059"/>
    <w:rsid w:val="0042726F"/>
    <w:rsid w:val="004273C1"/>
    <w:rsid w:val="00427425"/>
    <w:rsid w:val="0042743E"/>
    <w:rsid w:val="00427552"/>
    <w:rsid w:val="004279EC"/>
    <w:rsid w:val="00427AFC"/>
    <w:rsid w:val="00427BA2"/>
    <w:rsid w:val="00427D3F"/>
    <w:rsid w:val="00427EA0"/>
    <w:rsid w:val="0043000D"/>
    <w:rsid w:val="0043081A"/>
    <w:rsid w:val="00430D45"/>
    <w:rsid w:val="00430DD1"/>
    <w:rsid w:val="00430E87"/>
    <w:rsid w:val="00431047"/>
    <w:rsid w:val="00431069"/>
    <w:rsid w:val="00431238"/>
    <w:rsid w:val="00431309"/>
    <w:rsid w:val="0043145C"/>
    <w:rsid w:val="004318D9"/>
    <w:rsid w:val="004318FE"/>
    <w:rsid w:val="0043193E"/>
    <w:rsid w:val="00431ADD"/>
    <w:rsid w:val="00431D61"/>
    <w:rsid w:val="00431FCF"/>
    <w:rsid w:val="004320BA"/>
    <w:rsid w:val="00432435"/>
    <w:rsid w:val="004324A8"/>
    <w:rsid w:val="00432655"/>
    <w:rsid w:val="00432858"/>
    <w:rsid w:val="0043288C"/>
    <w:rsid w:val="00432BB4"/>
    <w:rsid w:val="00432C36"/>
    <w:rsid w:val="00432F89"/>
    <w:rsid w:val="00433119"/>
    <w:rsid w:val="00433547"/>
    <w:rsid w:val="00433586"/>
    <w:rsid w:val="0043378C"/>
    <w:rsid w:val="00433BBC"/>
    <w:rsid w:val="00433EA8"/>
    <w:rsid w:val="00433F04"/>
    <w:rsid w:val="00433F30"/>
    <w:rsid w:val="00433FC4"/>
    <w:rsid w:val="00434245"/>
    <w:rsid w:val="004342B9"/>
    <w:rsid w:val="0043463D"/>
    <w:rsid w:val="004346E9"/>
    <w:rsid w:val="00434C0E"/>
    <w:rsid w:val="00434C59"/>
    <w:rsid w:val="00434E8B"/>
    <w:rsid w:val="00435091"/>
    <w:rsid w:val="004353C0"/>
    <w:rsid w:val="0043550E"/>
    <w:rsid w:val="00435C8F"/>
    <w:rsid w:val="00435D24"/>
    <w:rsid w:val="00435E44"/>
    <w:rsid w:val="00435EA2"/>
    <w:rsid w:val="00435EE4"/>
    <w:rsid w:val="00435F70"/>
    <w:rsid w:val="004360FC"/>
    <w:rsid w:val="00436270"/>
    <w:rsid w:val="00436359"/>
    <w:rsid w:val="00436438"/>
    <w:rsid w:val="00436840"/>
    <w:rsid w:val="00436AC3"/>
    <w:rsid w:val="00436AE7"/>
    <w:rsid w:val="00436D9A"/>
    <w:rsid w:val="00436F38"/>
    <w:rsid w:val="0043701B"/>
    <w:rsid w:val="00437039"/>
    <w:rsid w:val="004372CD"/>
    <w:rsid w:val="00437390"/>
    <w:rsid w:val="00437619"/>
    <w:rsid w:val="00437965"/>
    <w:rsid w:val="00437B57"/>
    <w:rsid w:val="00437BB1"/>
    <w:rsid w:val="00437ED7"/>
    <w:rsid w:val="00440044"/>
    <w:rsid w:val="0044007D"/>
    <w:rsid w:val="00440129"/>
    <w:rsid w:val="0044018B"/>
    <w:rsid w:val="004403A1"/>
    <w:rsid w:val="00440671"/>
    <w:rsid w:val="004408E0"/>
    <w:rsid w:val="00440974"/>
    <w:rsid w:val="004409CA"/>
    <w:rsid w:val="00440ABA"/>
    <w:rsid w:val="00440B82"/>
    <w:rsid w:val="00440C09"/>
    <w:rsid w:val="00440C56"/>
    <w:rsid w:val="00440CA9"/>
    <w:rsid w:val="00440CB9"/>
    <w:rsid w:val="00440D7F"/>
    <w:rsid w:val="00440E32"/>
    <w:rsid w:val="0044100A"/>
    <w:rsid w:val="004411DB"/>
    <w:rsid w:val="0044147F"/>
    <w:rsid w:val="0044148B"/>
    <w:rsid w:val="004415F7"/>
    <w:rsid w:val="00441F2F"/>
    <w:rsid w:val="00441FC6"/>
    <w:rsid w:val="004421DE"/>
    <w:rsid w:val="0044224C"/>
    <w:rsid w:val="00442864"/>
    <w:rsid w:val="004428A1"/>
    <w:rsid w:val="00442A06"/>
    <w:rsid w:val="00442A2A"/>
    <w:rsid w:val="00442D25"/>
    <w:rsid w:val="00442DB4"/>
    <w:rsid w:val="00442E28"/>
    <w:rsid w:val="00442F2C"/>
    <w:rsid w:val="004430C8"/>
    <w:rsid w:val="004431C5"/>
    <w:rsid w:val="004431DA"/>
    <w:rsid w:val="0044324F"/>
    <w:rsid w:val="00443378"/>
    <w:rsid w:val="004433CD"/>
    <w:rsid w:val="00443437"/>
    <w:rsid w:val="00443607"/>
    <w:rsid w:val="004439C3"/>
    <w:rsid w:val="00443A2D"/>
    <w:rsid w:val="00443FF8"/>
    <w:rsid w:val="004445FB"/>
    <w:rsid w:val="004446B3"/>
    <w:rsid w:val="004446C1"/>
    <w:rsid w:val="004448C0"/>
    <w:rsid w:val="00444946"/>
    <w:rsid w:val="00444999"/>
    <w:rsid w:val="00444B67"/>
    <w:rsid w:val="00444CFF"/>
    <w:rsid w:val="00444EF4"/>
    <w:rsid w:val="00444F02"/>
    <w:rsid w:val="0044547F"/>
    <w:rsid w:val="0044564F"/>
    <w:rsid w:val="00445ACF"/>
    <w:rsid w:val="00445B3B"/>
    <w:rsid w:val="00445F10"/>
    <w:rsid w:val="00446037"/>
    <w:rsid w:val="00446290"/>
    <w:rsid w:val="00446516"/>
    <w:rsid w:val="00446564"/>
    <w:rsid w:val="0044658B"/>
    <w:rsid w:val="0044672D"/>
    <w:rsid w:val="0044676F"/>
    <w:rsid w:val="0044695F"/>
    <w:rsid w:val="004472B6"/>
    <w:rsid w:val="00447614"/>
    <w:rsid w:val="00447746"/>
    <w:rsid w:val="00447A7B"/>
    <w:rsid w:val="00447C3D"/>
    <w:rsid w:val="00447C75"/>
    <w:rsid w:val="00447C7C"/>
    <w:rsid w:val="00447CA3"/>
    <w:rsid w:val="00447DAE"/>
    <w:rsid w:val="00447DBA"/>
    <w:rsid w:val="00447DFE"/>
    <w:rsid w:val="00447ED2"/>
    <w:rsid w:val="004502E0"/>
    <w:rsid w:val="0045033A"/>
    <w:rsid w:val="004503B5"/>
    <w:rsid w:val="004503D2"/>
    <w:rsid w:val="004504A9"/>
    <w:rsid w:val="00450525"/>
    <w:rsid w:val="00450613"/>
    <w:rsid w:val="00450817"/>
    <w:rsid w:val="00450920"/>
    <w:rsid w:val="0045092C"/>
    <w:rsid w:val="00450DE5"/>
    <w:rsid w:val="00450E30"/>
    <w:rsid w:val="00450ED5"/>
    <w:rsid w:val="00451272"/>
    <w:rsid w:val="004513E6"/>
    <w:rsid w:val="004516E8"/>
    <w:rsid w:val="0045188F"/>
    <w:rsid w:val="00451D4A"/>
    <w:rsid w:val="00451DC0"/>
    <w:rsid w:val="00451E23"/>
    <w:rsid w:val="00451F68"/>
    <w:rsid w:val="00451FC6"/>
    <w:rsid w:val="00452085"/>
    <w:rsid w:val="004522C6"/>
    <w:rsid w:val="004525BE"/>
    <w:rsid w:val="004526B6"/>
    <w:rsid w:val="004527AA"/>
    <w:rsid w:val="004528F1"/>
    <w:rsid w:val="00452AC6"/>
    <w:rsid w:val="00452B83"/>
    <w:rsid w:val="00452D32"/>
    <w:rsid w:val="00452ECC"/>
    <w:rsid w:val="00452F7D"/>
    <w:rsid w:val="0045348A"/>
    <w:rsid w:val="0045348C"/>
    <w:rsid w:val="00453636"/>
    <w:rsid w:val="004536F9"/>
    <w:rsid w:val="00453738"/>
    <w:rsid w:val="00453933"/>
    <w:rsid w:val="00453BA4"/>
    <w:rsid w:val="00453E66"/>
    <w:rsid w:val="00453F13"/>
    <w:rsid w:val="00453F9B"/>
    <w:rsid w:val="00454021"/>
    <w:rsid w:val="004543BD"/>
    <w:rsid w:val="0045448B"/>
    <w:rsid w:val="00454614"/>
    <w:rsid w:val="00454909"/>
    <w:rsid w:val="00454A02"/>
    <w:rsid w:val="00454ACA"/>
    <w:rsid w:val="00454AEE"/>
    <w:rsid w:val="00454BA5"/>
    <w:rsid w:val="00454E5F"/>
    <w:rsid w:val="00454F36"/>
    <w:rsid w:val="00455013"/>
    <w:rsid w:val="00455252"/>
    <w:rsid w:val="00455A8C"/>
    <w:rsid w:val="00455BB7"/>
    <w:rsid w:val="00455CD7"/>
    <w:rsid w:val="00455D56"/>
    <w:rsid w:val="00455D7B"/>
    <w:rsid w:val="004566EC"/>
    <w:rsid w:val="00456A7C"/>
    <w:rsid w:val="00456B79"/>
    <w:rsid w:val="00456BC3"/>
    <w:rsid w:val="00456EE8"/>
    <w:rsid w:val="004570E5"/>
    <w:rsid w:val="004574CB"/>
    <w:rsid w:val="004579D6"/>
    <w:rsid w:val="00457A80"/>
    <w:rsid w:val="00457B1C"/>
    <w:rsid w:val="00457CB8"/>
    <w:rsid w:val="00460132"/>
    <w:rsid w:val="00460199"/>
    <w:rsid w:val="00460572"/>
    <w:rsid w:val="0046092E"/>
    <w:rsid w:val="00460A6E"/>
    <w:rsid w:val="00460ADF"/>
    <w:rsid w:val="00460C1E"/>
    <w:rsid w:val="004612D0"/>
    <w:rsid w:val="004619BC"/>
    <w:rsid w:val="00461A22"/>
    <w:rsid w:val="00461B55"/>
    <w:rsid w:val="00461B83"/>
    <w:rsid w:val="00461CA9"/>
    <w:rsid w:val="00461D62"/>
    <w:rsid w:val="00461E23"/>
    <w:rsid w:val="00461E80"/>
    <w:rsid w:val="004626AA"/>
    <w:rsid w:val="00462D12"/>
    <w:rsid w:val="00462D87"/>
    <w:rsid w:val="00462E39"/>
    <w:rsid w:val="00462F32"/>
    <w:rsid w:val="00462F7B"/>
    <w:rsid w:val="004634A8"/>
    <w:rsid w:val="004634CA"/>
    <w:rsid w:val="0046352D"/>
    <w:rsid w:val="004635C5"/>
    <w:rsid w:val="004636D5"/>
    <w:rsid w:val="00463852"/>
    <w:rsid w:val="00463854"/>
    <w:rsid w:val="0046390D"/>
    <w:rsid w:val="00463BF9"/>
    <w:rsid w:val="00463FBA"/>
    <w:rsid w:val="004642B7"/>
    <w:rsid w:val="004644A7"/>
    <w:rsid w:val="004644F2"/>
    <w:rsid w:val="004645B4"/>
    <w:rsid w:val="00464693"/>
    <w:rsid w:val="00464823"/>
    <w:rsid w:val="00464FA7"/>
    <w:rsid w:val="004651AD"/>
    <w:rsid w:val="004653C3"/>
    <w:rsid w:val="00465674"/>
    <w:rsid w:val="0046595F"/>
    <w:rsid w:val="0046599D"/>
    <w:rsid w:val="00465D98"/>
    <w:rsid w:val="00465DED"/>
    <w:rsid w:val="00466120"/>
    <w:rsid w:val="004661EC"/>
    <w:rsid w:val="00466288"/>
    <w:rsid w:val="0046630F"/>
    <w:rsid w:val="0046674D"/>
    <w:rsid w:val="0046686A"/>
    <w:rsid w:val="004668A2"/>
    <w:rsid w:val="004668E7"/>
    <w:rsid w:val="00466A2A"/>
    <w:rsid w:val="00466B37"/>
    <w:rsid w:val="00466E21"/>
    <w:rsid w:val="00467209"/>
    <w:rsid w:val="00467247"/>
    <w:rsid w:val="004673FC"/>
    <w:rsid w:val="00467522"/>
    <w:rsid w:val="00467575"/>
    <w:rsid w:val="0046767C"/>
    <w:rsid w:val="004678B3"/>
    <w:rsid w:val="004679F1"/>
    <w:rsid w:val="00467C35"/>
    <w:rsid w:val="00467DB6"/>
    <w:rsid w:val="00467E62"/>
    <w:rsid w:val="00467F90"/>
    <w:rsid w:val="0047030C"/>
    <w:rsid w:val="00470678"/>
    <w:rsid w:val="00470A21"/>
    <w:rsid w:val="00470A90"/>
    <w:rsid w:val="00470B26"/>
    <w:rsid w:val="00470BAA"/>
    <w:rsid w:val="00470E50"/>
    <w:rsid w:val="00470F4E"/>
    <w:rsid w:val="004710D7"/>
    <w:rsid w:val="0047117E"/>
    <w:rsid w:val="00471181"/>
    <w:rsid w:val="00471668"/>
    <w:rsid w:val="0047187F"/>
    <w:rsid w:val="00471928"/>
    <w:rsid w:val="00471D84"/>
    <w:rsid w:val="004725C3"/>
    <w:rsid w:val="004726FB"/>
    <w:rsid w:val="00472774"/>
    <w:rsid w:val="00472903"/>
    <w:rsid w:val="00472947"/>
    <w:rsid w:val="00472964"/>
    <w:rsid w:val="00472A52"/>
    <w:rsid w:val="00472D01"/>
    <w:rsid w:val="00472F30"/>
    <w:rsid w:val="004736F4"/>
    <w:rsid w:val="00473C06"/>
    <w:rsid w:val="00473E3D"/>
    <w:rsid w:val="00473EE9"/>
    <w:rsid w:val="004740BB"/>
    <w:rsid w:val="004741A2"/>
    <w:rsid w:val="004741AA"/>
    <w:rsid w:val="004742FB"/>
    <w:rsid w:val="004744D1"/>
    <w:rsid w:val="004746F2"/>
    <w:rsid w:val="004747E6"/>
    <w:rsid w:val="004748AD"/>
    <w:rsid w:val="00474998"/>
    <w:rsid w:val="00474ADE"/>
    <w:rsid w:val="00474B60"/>
    <w:rsid w:val="00474C04"/>
    <w:rsid w:val="00474C51"/>
    <w:rsid w:val="00474D0F"/>
    <w:rsid w:val="00475264"/>
    <w:rsid w:val="00475704"/>
    <w:rsid w:val="00475776"/>
    <w:rsid w:val="004758E5"/>
    <w:rsid w:val="00475A09"/>
    <w:rsid w:val="00475D54"/>
    <w:rsid w:val="0047603D"/>
    <w:rsid w:val="00476373"/>
    <w:rsid w:val="00476415"/>
    <w:rsid w:val="00476659"/>
    <w:rsid w:val="0047678F"/>
    <w:rsid w:val="004768FA"/>
    <w:rsid w:val="00476934"/>
    <w:rsid w:val="00476C1C"/>
    <w:rsid w:val="00476C56"/>
    <w:rsid w:val="00476C78"/>
    <w:rsid w:val="00476D65"/>
    <w:rsid w:val="00476EBA"/>
    <w:rsid w:val="004770B2"/>
    <w:rsid w:val="0047720B"/>
    <w:rsid w:val="00477243"/>
    <w:rsid w:val="00477324"/>
    <w:rsid w:val="004773C9"/>
    <w:rsid w:val="0047749F"/>
    <w:rsid w:val="0047751B"/>
    <w:rsid w:val="00477683"/>
    <w:rsid w:val="004778CA"/>
    <w:rsid w:val="004778CE"/>
    <w:rsid w:val="0047796E"/>
    <w:rsid w:val="0047797D"/>
    <w:rsid w:val="00477D2A"/>
    <w:rsid w:val="00477D2E"/>
    <w:rsid w:val="00477FAF"/>
    <w:rsid w:val="00480065"/>
    <w:rsid w:val="0048024A"/>
    <w:rsid w:val="004802C4"/>
    <w:rsid w:val="004802DE"/>
    <w:rsid w:val="0048079F"/>
    <w:rsid w:val="00480A2C"/>
    <w:rsid w:val="00480F85"/>
    <w:rsid w:val="00481044"/>
    <w:rsid w:val="00481218"/>
    <w:rsid w:val="0048134E"/>
    <w:rsid w:val="00481374"/>
    <w:rsid w:val="004814B2"/>
    <w:rsid w:val="00481777"/>
    <w:rsid w:val="00481C82"/>
    <w:rsid w:val="00481CF2"/>
    <w:rsid w:val="00481D20"/>
    <w:rsid w:val="00481D28"/>
    <w:rsid w:val="00481F7F"/>
    <w:rsid w:val="0048215A"/>
    <w:rsid w:val="0048229A"/>
    <w:rsid w:val="00482565"/>
    <w:rsid w:val="00482625"/>
    <w:rsid w:val="0048290F"/>
    <w:rsid w:val="00482C82"/>
    <w:rsid w:val="00482C8E"/>
    <w:rsid w:val="00482E68"/>
    <w:rsid w:val="00482E92"/>
    <w:rsid w:val="004830A8"/>
    <w:rsid w:val="004832A5"/>
    <w:rsid w:val="004834AB"/>
    <w:rsid w:val="00483583"/>
    <w:rsid w:val="00483748"/>
    <w:rsid w:val="0048393F"/>
    <w:rsid w:val="00483AA9"/>
    <w:rsid w:val="00483C67"/>
    <w:rsid w:val="00483F90"/>
    <w:rsid w:val="00483F9F"/>
    <w:rsid w:val="004844F6"/>
    <w:rsid w:val="00484522"/>
    <w:rsid w:val="0048474B"/>
    <w:rsid w:val="004849A8"/>
    <w:rsid w:val="00484B5C"/>
    <w:rsid w:val="00484E0C"/>
    <w:rsid w:val="00485175"/>
    <w:rsid w:val="00485224"/>
    <w:rsid w:val="0048522B"/>
    <w:rsid w:val="0048530F"/>
    <w:rsid w:val="00485368"/>
    <w:rsid w:val="004856E6"/>
    <w:rsid w:val="00485A8B"/>
    <w:rsid w:val="0048600F"/>
    <w:rsid w:val="00486260"/>
    <w:rsid w:val="0048644E"/>
    <w:rsid w:val="00486C7B"/>
    <w:rsid w:val="004870BA"/>
    <w:rsid w:val="0048731E"/>
    <w:rsid w:val="00487413"/>
    <w:rsid w:val="0048752F"/>
    <w:rsid w:val="00487584"/>
    <w:rsid w:val="00487B8F"/>
    <w:rsid w:val="00490227"/>
    <w:rsid w:val="00490338"/>
    <w:rsid w:val="004905E3"/>
    <w:rsid w:val="004906E7"/>
    <w:rsid w:val="004907D8"/>
    <w:rsid w:val="004909B2"/>
    <w:rsid w:val="00490B2A"/>
    <w:rsid w:val="00490D20"/>
    <w:rsid w:val="00490DD8"/>
    <w:rsid w:val="00491498"/>
    <w:rsid w:val="00491772"/>
    <w:rsid w:val="004918CE"/>
    <w:rsid w:val="00491BBF"/>
    <w:rsid w:val="00491D35"/>
    <w:rsid w:val="00491DC3"/>
    <w:rsid w:val="00491EF9"/>
    <w:rsid w:val="00491F32"/>
    <w:rsid w:val="004921F5"/>
    <w:rsid w:val="00492390"/>
    <w:rsid w:val="0049249D"/>
    <w:rsid w:val="00492862"/>
    <w:rsid w:val="00492B61"/>
    <w:rsid w:val="00492C9C"/>
    <w:rsid w:val="00492D35"/>
    <w:rsid w:val="00492D81"/>
    <w:rsid w:val="004930B5"/>
    <w:rsid w:val="00493267"/>
    <w:rsid w:val="004932D2"/>
    <w:rsid w:val="004933AC"/>
    <w:rsid w:val="00493745"/>
    <w:rsid w:val="0049393B"/>
    <w:rsid w:val="00493AA4"/>
    <w:rsid w:val="00493BF3"/>
    <w:rsid w:val="00494454"/>
    <w:rsid w:val="00494458"/>
    <w:rsid w:val="00494818"/>
    <w:rsid w:val="0049497F"/>
    <w:rsid w:val="00494A0B"/>
    <w:rsid w:val="00494BC6"/>
    <w:rsid w:val="00494C47"/>
    <w:rsid w:val="00494DA6"/>
    <w:rsid w:val="00494EF4"/>
    <w:rsid w:val="00494FAD"/>
    <w:rsid w:val="004952D0"/>
    <w:rsid w:val="0049533B"/>
    <w:rsid w:val="004953C0"/>
    <w:rsid w:val="0049560D"/>
    <w:rsid w:val="004956AA"/>
    <w:rsid w:val="004957C6"/>
    <w:rsid w:val="00495E38"/>
    <w:rsid w:val="00495EA4"/>
    <w:rsid w:val="0049619B"/>
    <w:rsid w:val="004964F6"/>
    <w:rsid w:val="0049664C"/>
    <w:rsid w:val="0049678A"/>
    <w:rsid w:val="0049692D"/>
    <w:rsid w:val="00497001"/>
    <w:rsid w:val="0049708B"/>
    <w:rsid w:val="0049749C"/>
    <w:rsid w:val="00497933"/>
    <w:rsid w:val="0049793A"/>
    <w:rsid w:val="00497B9F"/>
    <w:rsid w:val="00497DB8"/>
    <w:rsid w:val="00497E49"/>
    <w:rsid w:val="00497F0F"/>
    <w:rsid w:val="00497FE3"/>
    <w:rsid w:val="004A0113"/>
    <w:rsid w:val="004A01B2"/>
    <w:rsid w:val="004A030C"/>
    <w:rsid w:val="004A0341"/>
    <w:rsid w:val="004A051B"/>
    <w:rsid w:val="004A058D"/>
    <w:rsid w:val="004A062B"/>
    <w:rsid w:val="004A07CB"/>
    <w:rsid w:val="004A0951"/>
    <w:rsid w:val="004A0A46"/>
    <w:rsid w:val="004A0A8E"/>
    <w:rsid w:val="004A0DD1"/>
    <w:rsid w:val="004A100C"/>
    <w:rsid w:val="004A1068"/>
    <w:rsid w:val="004A12B4"/>
    <w:rsid w:val="004A13B0"/>
    <w:rsid w:val="004A1484"/>
    <w:rsid w:val="004A14D3"/>
    <w:rsid w:val="004A1AC9"/>
    <w:rsid w:val="004A1D85"/>
    <w:rsid w:val="004A2232"/>
    <w:rsid w:val="004A22BE"/>
    <w:rsid w:val="004A2650"/>
    <w:rsid w:val="004A2761"/>
    <w:rsid w:val="004A2798"/>
    <w:rsid w:val="004A284A"/>
    <w:rsid w:val="004A286D"/>
    <w:rsid w:val="004A29E1"/>
    <w:rsid w:val="004A29E6"/>
    <w:rsid w:val="004A2AC6"/>
    <w:rsid w:val="004A2AF1"/>
    <w:rsid w:val="004A2C60"/>
    <w:rsid w:val="004A2CC9"/>
    <w:rsid w:val="004A2E1C"/>
    <w:rsid w:val="004A3153"/>
    <w:rsid w:val="004A32C4"/>
    <w:rsid w:val="004A330F"/>
    <w:rsid w:val="004A3397"/>
    <w:rsid w:val="004A3489"/>
    <w:rsid w:val="004A3E8C"/>
    <w:rsid w:val="004A3F2A"/>
    <w:rsid w:val="004A3F9F"/>
    <w:rsid w:val="004A4166"/>
    <w:rsid w:val="004A43B2"/>
    <w:rsid w:val="004A446C"/>
    <w:rsid w:val="004A4970"/>
    <w:rsid w:val="004A4E82"/>
    <w:rsid w:val="004A4ED7"/>
    <w:rsid w:val="004A4FF7"/>
    <w:rsid w:val="004A5366"/>
    <w:rsid w:val="004A5CCF"/>
    <w:rsid w:val="004A5F7C"/>
    <w:rsid w:val="004A6017"/>
    <w:rsid w:val="004A606C"/>
    <w:rsid w:val="004A623D"/>
    <w:rsid w:val="004A6313"/>
    <w:rsid w:val="004A63F6"/>
    <w:rsid w:val="004A6576"/>
    <w:rsid w:val="004A66F9"/>
    <w:rsid w:val="004A68A8"/>
    <w:rsid w:val="004A6A3B"/>
    <w:rsid w:val="004A6C68"/>
    <w:rsid w:val="004A6DDB"/>
    <w:rsid w:val="004A727D"/>
    <w:rsid w:val="004A72A6"/>
    <w:rsid w:val="004A734E"/>
    <w:rsid w:val="004A7452"/>
    <w:rsid w:val="004A74D1"/>
    <w:rsid w:val="004A7C0D"/>
    <w:rsid w:val="004B0108"/>
    <w:rsid w:val="004B0405"/>
    <w:rsid w:val="004B04C0"/>
    <w:rsid w:val="004B052B"/>
    <w:rsid w:val="004B05C2"/>
    <w:rsid w:val="004B05E8"/>
    <w:rsid w:val="004B0785"/>
    <w:rsid w:val="004B0BFF"/>
    <w:rsid w:val="004B0E48"/>
    <w:rsid w:val="004B0FF8"/>
    <w:rsid w:val="004B105A"/>
    <w:rsid w:val="004B1372"/>
    <w:rsid w:val="004B1430"/>
    <w:rsid w:val="004B14D0"/>
    <w:rsid w:val="004B1608"/>
    <w:rsid w:val="004B16E2"/>
    <w:rsid w:val="004B1914"/>
    <w:rsid w:val="004B19B3"/>
    <w:rsid w:val="004B1B4E"/>
    <w:rsid w:val="004B1E01"/>
    <w:rsid w:val="004B1F72"/>
    <w:rsid w:val="004B211C"/>
    <w:rsid w:val="004B24ED"/>
    <w:rsid w:val="004B263C"/>
    <w:rsid w:val="004B2C82"/>
    <w:rsid w:val="004B2CEE"/>
    <w:rsid w:val="004B3061"/>
    <w:rsid w:val="004B321A"/>
    <w:rsid w:val="004B32C8"/>
    <w:rsid w:val="004B3456"/>
    <w:rsid w:val="004B356D"/>
    <w:rsid w:val="004B37AA"/>
    <w:rsid w:val="004B3912"/>
    <w:rsid w:val="004B39D9"/>
    <w:rsid w:val="004B3B6A"/>
    <w:rsid w:val="004B3C75"/>
    <w:rsid w:val="004B3D82"/>
    <w:rsid w:val="004B3E69"/>
    <w:rsid w:val="004B40DE"/>
    <w:rsid w:val="004B44FE"/>
    <w:rsid w:val="004B472A"/>
    <w:rsid w:val="004B48B5"/>
    <w:rsid w:val="004B4A05"/>
    <w:rsid w:val="004B4ED3"/>
    <w:rsid w:val="004B507A"/>
    <w:rsid w:val="004B5147"/>
    <w:rsid w:val="004B53FB"/>
    <w:rsid w:val="004B54EA"/>
    <w:rsid w:val="004B578A"/>
    <w:rsid w:val="004B57C3"/>
    <w:rsid w:val="004B57CC"/>
    <w:rsid w:val="004B587E"/>
    <w:rsid w:val="004B5910"/>
    <w:rsid w:val="004B5911"/>
    <w:rsid w:val="004B5C12"/>
    <w:rsid w:val="004B5D91"/>
    <w:rsid w:val="004B6034"/>
    <w:rsid w:val="004B6411"/>
    <w:rsid w:val="004B646E"/>
    <w:rsid w:val="004B67BD"/>
    <w:rsid w:val="004B692D"/>
    <w:rsid w:val="004B69A5"/>
    <w:rsid w:val="004B6A38"/>
    <w:rsid w:val="004B6B84"/>
    <w:rsid w:val="004B6C45"/>
    <w:rsid w:val="004B6D86"/>
    <w:rsid w:val="004B7214"/>
    <w:rsid w:val="004B7445"/>
    <w:rsid w:val="004B7B17"/>
    <w:rsid w:val="004C0565"/>
    <w:rsid w:val="004C0665"/>
    <w:rsid w:val="004C083D"/>
    <w:rsid w:val="004C0A46"/>
    <w:rsid w:val="004C0BC0"/>
    <w:rsid w:val="004C0C78"/>
    <w:rsid w:val="004C0D09"/>
    <w:rsid w:val="004C0FF9"/>
    <w:rsid w:val="004C129C"/>
    <w:rsid w:val="004C131A"/>
    <w:rsid w:val="004C157D"/>
    <w:rsid w:val="004C1807"/>
    <w:rsid w:val="004C19EB"/>
    <w:rsid w:val="004C1A83"/>
    <w:rsid w:val="004C1D5D"/>
    <w:rsid w:val="004C1F45"/>
    <w:rsid w:val="004C217F"/>
    <w:rsid w:val="004C252A"/>
    <w:rsid w:val="004C25AC"/>
    <w:rsid w:val="004C262D"/>
    <w:rsid w:val="004C2671"/>
    <w:rsid w:val="004C26B8"/>
    <w:rsid w:val="004C2888"/>
    <w:rsid w:val="004C2A0C"/>
    <w:rsid w:val="004C2E38"/>
    <w:rsid w:val="004C2E98"/>
    <w:rsid w:val="004C2F4F"/>
    <w:rsid w:val="004C30F6"/>
    <w:rsid w:val="004C3264"/>
    <w:rsid w:val="004C3276"/>
    <w:rsid w:val="004C3375"/>
    <w:rsid w:val="004C39B5"/>
    <w:rsid w:val="004C3A06"/>
    <w:rsid w:val="004C3EDB"/>
    <w:rsid w:val="004C408E"/>
    <w:rsid w:val="004C4132"/>
    <w:rsid w:val="004C42FC"/>
    <w:rsid w:val="004C45A1"/>
    <w:rsid w:val="004C4690"/>
    <w:rsid w:val="004C47BD"/>
    <w:rsid w:val="004C4B15"/>
    <w:rsid w:val="004C4B98"/>
    <w:rsid w:val="004C4BEE"/>
    <w:rsid w:val="004C4E36"/>
    <w:rsid w:val="004C4E50"/>
    <w:rsid w:val="004C525B"/>
    <w:rsid w:val="004C5502"/>
    <w:rsid w:val="004C57F1"/>
    <w:rsid w:val="004C5A26"/>
    <w:rsid w:val="004C5BF1"/>
    <w:rsid w:val="004C5C03"/>
    <w:rsid w:val="004C617D"/>
    <w:rsid w:val="004C62E6"/>
    <w:rsid w:val="004C634A"/>
    <w:rsid w:val="004C662A"/>
    <w:rsid w:val="004C678E"/>
    <w:rsid w:val="004C6A00"/>
    <w:rsid w:val="004C6B53"/>
    <w:rsid w:val="004C6CDE"/>
    <w:rsid w:val="004C7003"/>
    <w:rsid w:val="004C73D3"/>
    <w:rsid w:val="004C7515"/>
    <w:rsid w:val="004C75E1"/>
    <w:rsid w:val="004C76ED"/>
    <w:rsid w:val="004C7943"/>
    <w:rsid w:val="004C79A9"/>
    <w:rsid w:val="004C79AD"/>
    <w:rsid w:val="004C7B9A"/>
    <w:rsid w:val="004C7CA3"/>
    <w:rsid w:val="004C7CDA"/>
    <w:rsid w:val="004D01EF"/>
    <w:rsid w:val="004D03B3"/>
    <w:rsid w:val="004D0425"/>
    <w:rsid w:val="004D063D"/>
    <w:rsid w:val="004D0D5A"/>
    <w:rsid w:val="004D124A"/>
    <w:rsid w:val="004D1390"/>
    <w:rsid w:val="004D13C6"/>
    <w:rsid w:val="004D15CA"/>
    <w:rsid w:val="004D20F3"/>
    <w:rsid w:val="004D2154"/>
    <w:rsid w:val="004D2192"/>
    <w:rsid w:val="004D21CC"/>
    <w:rsid w:val="004D21F9"/>
    <w:rsid w:val="004D237F"/>
    <w:rsid w:val="004D246A"/>
    <w:rsid w:val="004D2595"/>
    <w:rsid w:val="004D270E"/>
    <w:rsid w:val="004D2B40"/>
    <w:rsid w:val="004D2B59"/>
    <w:rsid w:val="004D2E6D"/>
    <w:rsid w:val="004D30E2"/>
    <w:rsid w:val="004D3218"/>
    <w:rsid w:val="004D32E2"/>
    <w:rsid w:val="004D35AC"/>
    <w:rsid w:val="004D38C8"/>
    <w:rsid w:val="004D3BBE"/>
    <w:rsid w:val="004D4290"/>
    <w:rsid w:val="004D454B"/>
    <w:rsid w:val="004D4554"/>
    <w:rsid w:val="004D45E6"/>
    <w:rsid w:val="004D4726"/>
    <w:rsid w:val="004D489A"/>
    <w:rsid w:val="004D48C9"/>
    <w:rsid w:val="004D4C6D"/>
    <w:rsid w:val="004D5176"/>
    <w:rsid w:val="004D54CD"/>
    <w:rsid w:val="004D54E3"/>
    <w:rsid w:val="004D558A"/>
    <w:rsid w:val="004D59A9"/>
    <w:rsid w:val="004D5A4D"/>
    <w:rsid w:val="004D5D0B"/>
    <w:rsid w:val="004D5FD0"/>
    <w:rsid w:val="004D5FF6"/>
    <w:rsid w:val="004D610D"/>
    <w:rsid w:val="004D642E"/>
    <w:rsid w:val="004D676B"/>
    <w:rsid w:val="004D6938"/>
    <w:rsid w:val="004D6A45"/>
    <w:rsid w:val="004D6C71"/>
    <w:rsid w:val="004D6CE7"/>
    <w:rsid w:val="004D71C7"/>
    <w:rsid w:val="004D71CF"/>
    <w:rsid w:val="004D750F"/>
    <w:rsid w:val="004D76BB"/>
    <w:rsid w:val="004D780E"/>
    <w:rsid w:val="004D78B0"/>
    <w:rsid w:val="004D78C2"/>
    <w:rsid w:val="004D7A25"/>
    <w:rsid w:val="004D7A9D"/>
    <w:rsid w:val="004D7ABD"/>
    <w:rsid w:val="004D7BAA"/>
    <w:rsid w:val="004D7D1E"/>
    <w:rsid w:val="004D7EDB"/>
    <w:rsid w:val="004E02FE"/>
    <w:rsid w:val="004E036B"/>
    <w:rsid w:val="004E0370"/>
    <w:rsid w:val="004E0381"/>
    <w:rsid w:val="004E05B9"/>
    <w:rsid w:val="004E05BD"/>
    <w:rsid w:val="004E0704"/>
    <w:rsid w:val="004E0731"/>
    <w:rsid w:val="004E0B14"/>
    <w:rsid w:val="004E0B72"/>
    <w:rsid w:val="004E0B7D"/>
    <w:rsid w:val="004E0BF1"/>
    <w:rsid w:val="004E0D82"/>
    <w:rsid w:val="004E0DBE"/>
    <w:rsid w:val="004E0F8E"/>
    <w:rsid w:val="004E0FE6"/>
    <w:rsid w:val="004E1128"/>
    <w:rsid w:val="004E1234"/>
    <w:rsid w:val="004E133B"/>
    <w:rsid w:val="004E16A3"/>
    <w:rsid w:val="004E19C7"/>
    <w:rsid w:val="004E1DE3"/>
    <w:rsid w:val="004E20B6"/>
    <w:rsid w:val="004E20FE"/>
    <w:rsid w:val="004E213D"/>
    <w:rsid w:val="004E21E9"/>
    <w:rsid w:val="004E2338"/>
    <w:rsid w:val="004E23C3"/>
    <w:rsid w:val="004E24B0"/>
    <w:rsid w:val="004E2606"/>
    <w:rsid w:val="004E268D"/>
    <w:rsid w:val="004E2817"/>
    <w:rsid w:val="004E2C36"/>
    <w:rsid w:val="004E3005"/>
    <w:rsid w:val="004E3180"/>
    <w:rsid w:val="004E33EF"/>
    <w:rsid w:val="004E3740"/>
    <w:rsid w:val="004E396F"/>
    <w:rsid w:val="004E3AC8"/>
    <w:rsid w:val="004E3B93"/>
    <w:rsid w:val="004E3BBB"/>
    <w:rsid w:val="004E3E76"/>
    <w:rsid w:val="004E3E9D"/>
    <w:rsid w:val="004E4132"/>
    <w:rsid w:val="004E4167"/>
    <w:rsid w:val="004E41E9"/>
    <w:rsid w:val="004E42A4"/>
    <w:rsid w:val="004E43D9"/>
    <w:rsid w:val="004E44BE"/>
    <w:rsid w:val="004E4568"/>
    <w:rsid w:val="004E48C1"/>
    <w:rsid w:val="004E4AB7"/>
    <w:rsid w:val="004E4BD6"/>
    <w:rsid w:val="004E4E52"/>
    <w:rsid w:val="004E4EC9"/>
    <w:rsid w:val="004E52D7"/>
    <w:rsid w:val="004E5495"/>
    <w:rsid w:val="004E54F9"/>
    <w:rsid w:val="004E5907"/>
    <w:rsid w:val="004E594B"/>
    <w:rsid w:val="004E5E17"/>
    <w:rsid w:val="004E61F2"/>
    <w:rsid w:val="004E621A"/>
    <w:rsid w:val="004E6608"/>
    <w:rsid w:val="004E680D"/>
    <w:rsid w:val="004E6B91"/>
    <w:rsid w:val="004E6BD5"/>
    <w:rsid w:val="004E6C61"/>
    <w:rsid w:val="004E6E3D"/>
    <w:rsid w:val="004E6E46"/>
    <w:rsid w:val="004E6EA1"/>
    <w:rsid w:val="004E70B2"/>
    <w:rsid w:val="004E7748"/>
    <w:rsid w:val="004E774B"/>
    <w:rsid w:val="004E78B5"/>
    <w:rsid w:val="004E79A9"/>
    <w:rsid w:val="004E79E7"/>
    <w:rsid w:val="004E7A56"/>
    <w:rsid w:val="004E7A6D"/>
    <w:rsid w:val="004E7ABE"/>
    <w:rsid w:val="004E7C57"/>
    <w:rsid w:val="004E7F26"/>
    <w:rsid w:val="004F0273"/>
    <w:rsid w:val="004F033E"/>
    <w:rsid w:val="004F0785"/>
    <w:rsid w:val="004F0847"/>
    <w:rsid w:val="004F0968"/>
    <w:rsid w:val="004F0E23"/>
    <w:rsid w:val="004F0FEA"/>
    <w:rsid w:val="004F105A"/>
    <w:rsid w:val="004F10AE"/>
    <w:rsid w:val="004F1210"/>
    <w:rsid w:val="004F1416"/>
    <w:rsid w:val="004F1479"/>
    <w:rsid w:val="004F14CC"/>
    <w:rsid w:val="004F14D2"/>
    <w:rsid w:val="004F1609"/>
    <w:rsid w:val="004F173F"/>
    <w:rsid w:val="004F18CD"/>
    <w:rsid w:val="004F2276"/>
    <w:rsid w:val="004F22C9"/>
    <w:rsid w:val="004F268F"/>
    <w:rsid w:val="004F2AF1"/>
    <w:rsid w:val="004F35B7"/>
    <w:rsid w:val="004F3757"/>
    <w:rsid w:val="004F380F"/>
    <w:rsid w:val="004F3AE7"/>
    <w:rsid w:val="004F3D06"/>
    <w:rsid w:val="004F418C"/>
    <w:rsid w:val="004F41E2"/>
    <w:rsid w:val="004F4255"/>
    <w:rsid w:val="004F42DA"/>
    <w:rsid w:val="004F4586"/>
    <w:rsid w:val="004F45C5"/>
    <w:rsid w:val="004F4621"/>
    <w:rsid w:val="004F4E36"/>
    <w:rsid w:val="004F501D"/>
    <w:rsid w:val="004F521F"/>
    <w:rsid w:val="004F52CF"/>
    <w:rsid w:val="004F548B"/>
    <w:rsid w:val="004F54A8"/>
    <w:rsid w:val="004F5637"/>
    <w:rsid w:val="004F585E"/>
    <w:rsid w:val="004F5921"/>
    <w:rsid w:val="004F5A28"/>
    <w:rsid w:val="004F5A60"/>
    <w:rsid w:val="004F5B7B"/>
    <w:rsid w:val="004F5E61"/>
    <w:rsid w:val="004F6482"/>
    <w:rsid w:val="004F6528"/>
    <w:rsid w:val="004F65E1"/>
    <w:rsid w:val="004F680C"/>
    <w:rsid w:val="004F68E3"/>
    <w:rsid w:val="004F6A8A"/>
    <w:rsid w:val="004F6AE5"/>
    <w:rsid w:val="004F74F5"/>
    <w:rsid w:val="004F7679"/>
    <w:rsid w:val="004F7BB7"/>
    <w:rsid w:val="004F7C18"/>
    <w:rsid w:val="004F7F07"/>
    <w:rsid w:val="004F7F93"/>
    <w:rsid w:val="00500362"/>
    <w:rsid w:val="0050071C"/>
    <w:rsid w:val="00500A31"/>
    <w:rsid w:val="00500A8B"/>
    <w:rsid w:val="00500D3F"/>
    <w:rsid w:val="00500F03"/>
    <w:rsid w:val="0050146B"/>
    <w:rsid w:val="005014BE"/>
    <w:rsid w:val="00501609"/>
    <w:rsid w:val="00501799"/>
    <w:rsid w:val="00501AF3"/>
    <w:rsid w:val="00501B1D"/>
    <w:rsid w:val="00501BBA"/>
    <w:rsid w:val="00501BF7"/>
    <w:rsid w:val="00501ED9"/>
    <w:rsid w:val="005021A3"/>
    <w:rsid w:val="005023B5"/>
    <w:rsid w:val="005023C6"/>
    <w:rsid w:val="00502484"/>
    <w:rsid w:val="0050253B"/>
    <w:rsid w:val="00502735"/>
    <w:rsid w:val="00502805"/>
    <w:rsid w:val="0050287A"/>
    <w:rsid w:val="0050292B"/>
    <w:rsid w:val="00502A60"/>
    <w:rsid w:val="00502CA4"/>
    <w:rsid w:val="00502D28"/>
    <w:rsid w:val="00503023"/>
    <w:rsid w:val="00503325"/>
    <w:rsid w:val="005033EB"/>
    <w:rsid w:val="00503455"/>
    <w:rsid w:val="00503761"/>
    <w:rsid w:val="005037F3"/>
    <w:rsid w:val="00503A78"/>
    <w:rsid w:val="00503D6E"/>
    <w:rsid w:val="00503E86"/>
    <w:rsid w:val="0050442A"/>
    <w:rsid w:val="005044D3"/>
    <w:rsid w:val="0050458D"/>
    <w:rsid w:val="005045C1"/>
    <w:rsid w:val="005045FE"/>
    <w:rsid w:val="0050469E"/>
    <w:rsid w:val="00504936"/>
    <w:rsid w:val="00504B9B"/>
    <w:rsid w:val="00504CAD"/>
    <w:rsid w:val="00504CE7"/>
    <w:rsid w:val="00504FB8"/>
    <w:rsid w:val="00505102"/>
    <w:rsid w:val="005052A1"/>
    <w:rsid w:val="00505320"/>
    <w:rsid w:val="00505327"/>
    <w:rsid w:val="00505357"/>
    <w:rsid w:val="00505468"/>
    <w:rsid w:val="0050587B"/>
    <w:rsid w:val="00505C08"/>
    <w:rsid w:val="00505CB4"/>
    <w:rsid w:val="00505DAC"/>
    <w:rsid w:val="00505DB6"/>
    <w:rsid w:val="00505E40"/>
    <w:rsid w:val="00505F9C"/>
    <w:rsid w:val="00506008"/>
    <w:rsid w:val="0050671F"/>
    <w:rsid w:val="00506758"/>
    <w:rsid w:val="0050697E"/>
    <w:rsid w:val="005069B8"/>
    <w:rsid w:val="00506B54"/>
    <w:rsid w:val="005070E4"/>
    <w:rsid w:val="00507107"/>
    <w:rsid w:val="00507563"/>
    <w:rsid w:val="00507637"/>
    <w:rsid w:val="0050770B"/>
    <w:rsid w:val="00507790"/>
    <w:rsid w:val="00507AA9"/>
    <w:rsid w:val="00507AF5"/>
    <w:rsid w:val="00507B5E"/>
    <w:rsid w:val="00507BE3"/>
    <w:rsid w:val="00507D90"/>
    <w:rsid w:val="0051025B"/>
    <w:rsid w:val="005107A9"/>
    <w:rsid w:val="00510B57"/>
    <w:rsid w:val="00510BE7"/>
    <w:rsid w:val="00510C3B"/>
    <w:rsid w:val="00510EB7"/>
    <w:rsid w:val="00510F57"/>
    <w:rsid w:val="0051144E"/>
    <w:rsid w:val="005115C3"/>
    <w:rsid w:val="00511895"/>
    <w:rsid w:val="00511944"/>
    <w:rsid w:val="00511B7C"/>
    <w:rsid w:val="00511BE7"/>
    <w:rsid w:val="00511D01"/>
    <w:rsid w:val="00511DCB"/>
    <w:rsid w:val="005122BD"/>
    <w:rsid w:val="005123F6"/>
    <w:rsid w:val="0051267B"/>
    <w:rsid w:val="0051281C"/>
    <w:rsid w:val="00512AA6"/>
    <w:rsid w:val="00512E5D"/>
    <w:rsid w:val="005138E7"/>
    <w:rsid w:val="00513C3E"/>
    <w:rsid w:val="00513FE8"/>
    <w:rsid w:val="00514397"/>
    <w:rsid w:val="005143C2"/>
    <w:rsid w:val="005145A2"/>
    <w:rsid w:val="005145CA"/>
    <w:rsid w:val="00514614"/>
    <w:rsid w:val="00514732"/>
    <w:rsid w:val="0051485A"/>
    <w:rsid w:val="00514F2A"/>
    <w:rsid w:val="0051501A"/>
    <w:rsid w:val="005151D9"/>
    <w:rsid w:val="00515218"/>
    <w:rsid w:val="00515269"/>
    <w:rsid w:val="00515327"/>
    <w:rsid w:val="0051536F"/>
    <w:rsid w:val="0051542A"/>
    <w:rsid w:val="00515724"/>
    <w:rsid w:val="005157DF"/>
    <w:rsid w:val="00515898"/>
    <w:rsid w:val="005159F9"/>
    <w:rsid w:val="00515AAB"/>
    <w:rsid w:val="00515B85"/>
    <w:rsid w:val="00515C59"/>
    <w:rsid w:val="0051602F"/>
    <w:rsid w:val="005160B2"/>
    <w:rsid w:val="00516227"/>
    <w:rsid w:val="005162BE"/>
    <w:rsid w:val="00516787"/>
    <w:rsid w:val="00516C07"/>
    <w:rsid w:val="00516C23"/>
    <w:rsid w:val="00516D21"/>
    <w:rsid w:val="00517187"/>
    <w:rsid w:val="0051720F"/>
    <w:rsid w:val="0051731B"/>
    <w:rsid w:val="00517520"/>
    <w:rsid w:val="00517D4C"/>
    <w:rsid w:val="00517E2B"/>
    <w:rsid w:val="00517E76"/>
    <w:rsid w:val="00520117"/>
    <w:rsid w:val="005204BD"/>
    <w:rsid w:val="005207C8"/>
    <w:rsid w:val="0052081A"/>
    <w:rsid w:val="0052082C"/>
    <w:rsid w:val="0052083A"/>
    <w:rsid w:val="005208A0"/>
    <w:rsid w:val="005209E3"/>
    <w:rsid w:val="00520A51"/>
    <w:rsid w:val="00520ADD"/>
    <w:rsid w:val="00520D27"/>
    <w:rsid w:val="00520D80"/>
    <w:rsid w:val="00520DC8"/>
    <w:rsid w:val="00520F32"/>
    <w:rsid w:val="00520F6F"/>
    <w:rsid w:val="00521131"/>
    <w:rsid w:val="005211FD"/>
    <w:rsid w:val="00521461"/>
    <w:rsid w:val="00521874"/>
    <w:rsid w:val="005218D4"/>
    <w:rsid w:val="00521CA2"/>
    <w:rsid w:val="00521D36"/>
    <w:rsid w:val="00521DEA"/>
    <w:rsid w:val="00522177"/>
    <w:rsid w:val="00522532"/>
    <w:rsid w:val="0052257A"/>
    <w:rsid w:val="0052261B"/>
    <w:rsid w:val="00522687"/>
    <w:rsid w:val="00522710"/>
    <w:rsid w:val="00522800"/>
    <w:rsid w:val="00522832"/>
    <w:rsid w:val="005229AF"/>
    <w:rsid w:val="00522BE0"/>
    <w:rsid w:val="00522E17"/>
    <w:rsid w:val="00522E76"/>
    <w:rsid w:val="00522EA6"/>
    <w:rsid w:val="00522FD0"/>
    <w:rsid w:val="00523037"/>
    <w:rsid w:val="00523581"/>
    <w:rsid w:val="00523A2B"/>
    <w:rsid w:val="005247C5"/>
    <w:rsid w:val="005247DB"/>
    <w:rsid w:val="00524950"/>
    <w:rsid w:val="00524A26"/>
    <w:rsid w:val="00524B5F"/>
    <w:rsid w:val="00524CEB"/>
    <w:rsid w:val="00524E1F"/>
    <w:rsid w:val="00524E80"/>
    <w:rsid w:val="00524F9C"/>
    <w:rsid w:val="005250AA"/>
    <w:rsid w:val="005250F3"/>
    <w:rsid w:val="005253B2"/>
    <w:rsid w:val="0052551B"/>
    <w:rsid w:val="00525698"/>
    <w:rsid w:val="00525870"/>
    <w:rsid w:val="00525C41"/>
    <w:rsid w:val="00525E44"/>
    <w:rsid w:val="00525EA9"/>
    <w:rsid w:val="00525FCB"/>
    <w:rsid w:val="00526349"/>
    <w:rsid w:val="005264EA"/>
    <w:rsid w:val="00526913"/>
    <w:rsid w:val="00526A33"/>
    <w:rsid w:val="00526A8A"/>
    <w:rsid w:val="00526AD5"/>
    <w:rsid w:val="00526BB1"/>
    <w:rsid w:val="00526F1F"/>
    <w:rsid w:val="0052736F"/>
    <w:rsid w:val="00527661"/>
    <w:rsid w:val="00527A0C"/>
    <w:rsid w:val="00527A6A"/>
    <w:rsid w:val="00527BBB"/>
    <w:rsid w:val="00527CC5"/>
    <w:rsid w:val="00527DCA"/>
    <w:rsid w:val="00527DEB"/>
    <w:rsid w:val="00527EB0"/>
    <w:rsid w:val="00530138"/>
    <w:rsid w:val="00530219"/>
    <w:rsid w:val="0053027D"/>
    <w:rsid w:val="00530360"/>
    <w:rsid w:val="005303CB"/>
    <w:rsid w:val="00530600"/>
    <w:rsid w:val="00530EB8"/>
    <w:rsid w:val="00530FDF"/>
    <w:rsid w:val="005310A8"/>
    <w:rsid w:val="0053123A"/>
    <w:rsid w:val="005312BC"/>
    <w:rsid w:val="00531395"/>
    <w:rsid w:val="005316A7"/>
    <w:rsid w:val="00531770"/>
    <w:rsid w:val="00531AAB"/>
    <w:rsid w:val="00531D38"/>
    <w:rsid w:val="00532236"/>
    <w:rsid w:val="0053242F"/>
    <w:rsid w:val="00532BF1"/>
    <w:rsid w:val="00532CAF"/>
    <w:rsid w:val="00532D21"/>
    <w:rsid w:val="005334FA"/>
    <w:rsid w:val="005335BA"/>
    <w:rsid w:val="00533873"/>
    <w:rsid w:val="005338E0"/>
    <w:rsid w:val="00533C5F"/>
    <w:rsid w:val="00533CB6"/>
    <w:rsid w:val="00533F02"/>
    <w:rsid w:val="0053411F"/>
    <w:rsid w:val="00534393"/>
    <w:rsid w:val="00534A9E"/>
    <w:rsid w:val="00534AED"/>
    <w:rsid w:val="00534B61"/>
    <w:rsid w:val="00534C7D"/>
    <w:rsid w:val="00534D2B"/>
    <w:rsid w:val="005350DC"/>
    <w:rsid w:val="0053524D"/>
    <w:rsid w:val="00535274"/>
    <w:rsid w:val="00535291"/>
    <w:rsid w:val="005352DB"/>
    <w:rsid w:val="00535893"/>
    <w:rsid w:val="00535AAA"/>
    <w:rsid w:val="00535BCB"/>
    <w:rsid w:val="00535C02"/>
    <w:rsid w:val="00535DEE"/>
    <w:rsid w:val="00536094"/>
    <w:rsid w:val="005364A1"/>
    <w:rsid w:val="00536665"/>
    <w:rsid w:val="005366FE"/>
    <w:rsid w:val="005367B2"/>
    <w:rsid w:val="00536D07"/>
    <w:rsid w:val="00536DBA"/>
    <w:rsid w:val="00536F86"/>
    <w:rsid w:val="005372AC"/>
    <w:rsid w:val="00537308"/>
    <w:rsid w:val="0053742C"/>
    <w:rsid w:val="0053747A"/>
    <w:rsid w:val="0053748C"/>
    <w:rsid w:val="0053759F"/>
    <w:rsid w:val="005375BB"/>
    <w:rsid w:val="0053764D"/>
    <w:rsid w:val="0053767E"/>
    <w:rsid w:val="0053781F"/>
    <w:rsid w:val="00537832"/>
    <w:rsid w:val="00537953"/>
    <w:rsid w:val="00537983"/>
    <w:rsid w:val="00537A04"/>
    <w:rsid w:val="00537A69"/>
    <w:rsid w:val="00537ADB"/>
    <w:rsid w:val="00537D61"/>
    <w:rsid w:val="00537EC6"/>
    <w:rsid w:val="00537F17"/>
    <w:rsid w:val="00540216"/>
    <w:rsid w:val="0054067F"/>
    <w:rsid w:val="00540871"/>
    <w:rsid w:val="00540954"/>
    <w:rsid w:val="00540CB2"/>
    <w:rsid w:val="0054188C"/>
    <w:rsid w:val="005418EB"/>
    <w:rsid w:val="0054199D"/>
    <w:rsid w:val="005419D2"/>
    <w:rsid w:val="00541E48"/>
    <w:rsid w:val="00541EB0"/>
    <w:rsid w:val="0054219F"/>
    <w:rsid w:val="005421D2"/>
    <w:rsid w:val="005421E4"/>
    <w:rsid w:val="00542237"/>
    <w:rsid w:val="005423EF"/>
    <w:rsid w:val="00542B55"/>
    <w:rsid w:val="00542BDA"/>
    <w:rsid w:val="00542C1A"/>
    <w:rsid w:val="00542CF2"/>
    <w:rsid w:val="00542E62"/>
    <w:rsid w:val="00542F8F"/>
    <w:rsid w:val="0054309A"/>
    <w:rsid w:val="005431F1"/>
    <w:rsid w:val="0054322D"/>
    <w:rsid w:val="00543456"/>
    <w:rsid w:val="0054345C"/>
    <w:rsid w:val="00543472"/>
    <w:rsid w:val="00543567"/>
    <w:rsid w:val="005437A4"/>
    <w:rsid w:val="00543A1B"/>
    <w:rsid w:val="00543B2C"/>
    <w:rsid w:val="00543BE1"/>
    <w:rsid w:val="00543F39"/>
    <w:rsid w:val="00543F8B"/>
    <w:rsid w:val="0054401D"/>
    <w:rsid w:val="005441D3"/>
    <w:rsid w:val="005442FD"/>
    <w:rsid w:val="00544318"/>
    <w:rsid w:val="005444DF"/>
    <w:rsid w:val="005446AB"/>
    <w:rsid w:val="00544700"/>
    <w:rsid w:val="0054497D"/>
    <w:rsid w:val="00544BB0"/>
    <w:rsid w:val="00544D88"/>
    <w:rsid w:val="00544DED"/>
    <w:rsid w:val="00544E34"/>
    <w:rsid w:val="00545059"/>
    <w:rsid w:val="00545074"/>
    <w:rsid w:val="00545287"/>
    <w:rsid w:val="00545351"/>
    <w:rsid w:val="005456B0"/>
    <w:rsid w:val="005457CE"/>
    <w:rsid w:val="00545828"/>
    <w:rsid w:val="00545BF7"/>
    <w:rsid w:val="00545C25"/>
    <w:rsid w:val="00545F6F"/>
    <w:rsid w:val="005460A5"/>
    <w:rsid w:val="005461CB"/>
    <w:rsid w:val="00546350"/>
    <w:rsid w:val="00546601"/>
    <w:rsid w:val="005466A3"/>
    <w:rsid w:val="005467A4"/>
    <w:rsid w:val="00546800"/>
    <w:rsid w:val="00546ADD"/>
    <w:rsid w:val="0054707D"/>
    <w:rsid w:val="005476BE"/>
    <w:rsid w:val="005476E1"/>
    <w:rsid w:val="00547967"/>
    <w:rsid w:val="005479EA"/>
    <w:rsid w:val="00547C5D"/>
    <w:rsid w:val="00547D13"/>
    <w:rsid w:val="005500B9"/>
    <w:rsid w:val="0055050C"/>
    <w:rsid w:val="00550699"/>
    <w:rsid w:val="005508C8"/>
    <w:rsid w:val="0055095A"/>
    <w:rsid w:val="0055099B"/>
    <w:rsid w:val="00550CC0"/>
    <w:rsid w:val="00550E87"/>
    <w:rsid w:val="00551160"/>
    <w:rsid w:val="0055117C"/>
    <w:rsid w:val="0055118F"/>
    <w:rsid w:val="005511AF"/>
    <w:rsid w:val="005515AA"/>
    <w:rsid w:val="005515CB"/>
    <w:rsid w:val="005515EF"/>
    <w:rsid w:val="00551AAA"/>
    <w:rsid w:val="00551CE1"/>
    <w:rsid w:val="00551D44"/>
    <w:rsid w:val="00551FC5"/>
    <w:rsid w:val="00551FD7"/>
    <w:rsid w:val="00552275"/>
    <w:rsid w:val="0055241B"/>
    <w:rsid w:val="0055245D"/>
    <w:rsid w:val="005525FA"/>
    <w:rsid w:val="00552911"/>
    <w:rsid w:val="00552D44"/>
    <w:rsid w:val="00552E7E"/>
    <w:rsid w:val="00552FBA"/>
    <w:rsid w:val="00553428"/>
    <w:rsid w:val="00553516"/>
    <w:rsid w:val="005539A8"/>
    <w:rsid w:val="005539B1"/>
    <w:rsid w:val="00553AA2"/>
    <w:rsid w:val="00553D24"/>
    <w:rsid w:val="00553D5F"/>
    <w:rsid w:val="00553E07"/>
    <w:rsid w:val="00553E2B"/>
    <w:rsid w:val="0055420E"/>
    <w:rsid w:val="005542B0"/>
    <w:rsid w:val="00554634"/>
    <w:rsid w:val="00554AA3"/>
    <w:rsid w:val="00554E40"/>
    <w:rsid w:val="00555210"/>
    <w:rsid w:val="005553D5"/>
    <w:rsid w:val="005554FA"/>
    <w:rsid w:val="005555F6"/>
    <w:rsid w:val="0055591A"/>
    <w:rsid w:val="00555A7C"/>
    <w:rsid w:val="00555C21"/>
    <w:rsid w:val="00555CFC"/>
    <w:rsid w:val="00555E4A"/>
    <w:rsid w:val="00555EC5"/>
    <w:rsid w:val="005561F9"/>
    <w:rsid w:val="005562C0"/>
    <w:rsid w:val="00556436"/>
    <w:rsid w:val="005564CD"/>
    <w:rsid w:val="0055685F"/>
    <w:rsid w:val="005568C1"/>
    <w:rsid w:val="00556BBD"/>
    <w:rsid w:val="00556DF8"/>
    <w:rsid w:val="00556F85"/>
    <w:rsid w:val="0055714F"/>
    <w:rsid w:val="00557285"/>
    <w:rsid w:val="005572D1"/>
    <w:rsid w:val="005578DE"/>
    <w:rsid w:val="00557C75"/>
    <w:rsid w:val="0056025D"/>
    <w:rsid w:val="00560313"/>
    <w:rsid w:val="00560378"/>
    <w:rsid w:val="0056078A"/>
    <w:rsid w:val="00560968"/>
    <w:rsid w:val="00560A6D"/>
    <w:rsid w:val="00560A92"/>
    <w:rsid w:val="00560B1E"/>
    <w:rsid w:val="00560BE4"/>
    <w:rsid w:val="00560D15"/>
    <w:rsid w:val="00560F08"/>
    <w:rsid w:val="005611C3"/>
    <w:rsid w:val="005615B8"/>
    <w:rsid w:val="005617D1"/>
    <w:rsid w:val="00561B97"/>
    <w:rsid w:val="00561BB6"/>
    <w:rsid w:val="00561BDB"/>
    <w:rsid w:val="00561D29"/>
    <w:rsid w:val="00561EAE"/>
    <w:rsid w:val="00561EE4"/>
    <w:rsid w:val="00561FD7"/>
    <w:rsid w:val="00562187"/>
    <w:rsid w:val="005621FD"/>
    <w:rsid w:val="00562702"/>
    <w:rsid w:val="00562992"/>
    <w:rsid w:val="00562A16"/>
    <w:rsid w:val="00562B4C"/>
    <w:rsid w:val="00562B5D"/>
    <w:rsid w:val="00562CCB"/>
    <w:rsid w:val="00562D52"/>
    <w:rsid w:val="00562EFC"/>
    <w:rsid w:val="00563388"/>
    <w:rsid w:val="005633F5"/>
    <w:rsid w:val="005634D2"/>
    <w:rsid w:val="005635A6"/>
    <w:rsid w:val="005635B4"/>
    <w:rsid w:val="00563923"/>
    <w:rsid w:val="00563CBE"/>
    <w:rsid w:val="00563CD6"/>
    <w:rsid w:val="00563FE1"/>
    <w:rsid w:val="00564873"/>
    <w:rsid w:val="005648C6"/>
    <w:rsid w:val="005649E4"/>
    <w:rsid w:val="00564EB7"/>
    <w:rsid w:val="0056506C"/>
    <w:rsid w:val="0056509B"/>
    <w:rsid w:val="005651B2"/>
    <w:rsid w:val="005651FA"/>
    <w:rsid w:val="00565305"/>
    <w:rsid w:val="005653D5"/>
    <w:rsid w:val="005654D3"/>
    <w:rsid w:val="00565A67"/>
    <w:rsid w:val="00565B9D"/>
    <w:rsid w:val="00565EE5"/>
    <w:rsid w:val="0056617B"/>
    <w:rsid w:val="005661B4"/>
    <w:rsid w:val="005661D8"/>
    <w:rsid w:val="005662DF"/>
    <w:rsid w:val="005669B7"/>
    <w:rsid w:val="005669CD"/>
    <w:rsid w:val="00566B11"/>
    <w:rsid w:val="00566B7B"/>
    <w:rsid w:val="00566C1B"/>
    <w:rsid w:val="00566C91"/>
    <w:rsid w:val="00566DA9"/>
    <w:rsid w:val="00566DD7"/>
    <w:rsid w:val="00566F2F"/>
    <w:rsid w:val="00567133"/>
    <w:rsid w:val="00567278"/>
    <w:rsid w:val="005672D4"/>
    <w:rsid w:val="00567312"/>
    <w:rsid w:val="0056786E"/>
    <w:rsid w:val="0056787F"/>
    <w:rsid w:val="00567919"/>
    <w:rsid w:val="00567B36"/>
    <w:rsid w:val="00567BE2"/>
    <w:rsid w:val="00567DDE"/>
    <w:rsid w:val="00567E9D"/>
    <w:rsid w:val="0057039D"/>
    <w:rsid w:val="00570519"/>
    <w:rsid w:val="0057054D"/>
    <w:rsid w:val="00570765"/>
    <w:rsid w:val="00570813"/>
    <w:rsid w:val="00570871"/>
    <w:rsid w:val="00570881"/>
    <w:rsid w:val="00570DD2"/>
    <w:rsid w:val="00570E15"/>
    <w:rsid w:val="00570E96"/>
    <w:rsid w:val="0057110D"/>
    <w:rsid w:val="00571230"/>
    <w:rsid w:val="0057129D"/>
    <w:rsid w:val="005712C9"/>
    <w:rsid w:val="0057145D"/>
    <w:rsid w:val="005716CB"/>
    <w:rsid w:val="0057182B"/>
    <w:rsid w:val="0057182D"/>
    <w:rsid w:val="00571891"/>
    <w:rsid w:val="005719B1"/>
    <w:rsid w:val="00571AFD"/>
    <w:rsid w:val="00571E5D"/>
    <w:rsid w:val="00571E73"/>
    <w:rsid w:val="00572557"/>
    <w:rsid w:val="00572752"/>
    <w:rsid w:val="00572931"/>
    <w:rsid w:val="00572E6A"/>
    <w:rsid w:val="00573008"/>
    <w:rsid w:val="00573285"/>
    <w:rsid w:val="00573326"/>
    <w:rsid w:val="0057347C"/>
    <w:rsid w:val="00573721"/>
    <w:rsid w:val="00573909"/>
    <w:rsid w:val="00574282"/>
    <w:rsid w:val="00574444"/>
    <w:rsid w:val="00574562"/>
    <w:rsid w:val="00574824"/>
    <w:rsid w:val="00574A7D"/>
    <w:rsid w:val="00574CC8"/>
    <w:rsid w:val="00574E80"/>
    <w:rsid w:val="00574F90"/>
    <w:rsid w:val="00575076"/>
    <w:rsid w:val="00575201"/>
    <w:rsid w:val="00575324"/>
    <w:rsid w:val="0057549F"/>
    <w:rsid w:val="00575509"/>
    <w:rsid w:val="005755B3"/>
    <w:rsid w:val="00575613"/>
    <w:rsid w:val="0057581A"/>
    <w:rsid w:val="00575C90"/>
    <w:rsid w:val="00575E85"/>
    <w:rsid w:val="00576092"/>
    <w:rsid w:val="00576298"/>
    <w:rsid w:val="0057633F"/>
    <w:rsid w:val="0057691A"/>
    <w:rsid w:val="00576BA7"/>
    <w:rsid w:val="00576C70"/>
    <w:rsid w:val="00576E8C"/>
    <w:rsid w:val="00576F30"/>
    <w:rsid w:val="00577267"/>
    <w:rsid w:val="0057745A"/>
    <w:rsid w:val="005777EE"/>
    <w:rsid w:val="00577898"/>
    <w:rsid w:val="00577935"/>
    <w:rsid w:val="005779A7"/>
    <w:rsid w:val="00577AD8"/>
    <w:rsid w:val="00577B36"/>
    <w:rsid w:val="00577D1B"/>
    <w:rsid w:val="00580081"/>
    <w:rsid w:val="005802A8"/>
    <w:rsid w:val="00580366"/>
    <w:rsid w:val="00580373"/>
    <w:rsid w:val="005804F6"/>
    <w:rsid w:val="00580985"/>
    <w:rsid w:val="00580DDB"/>
    <w:rsid w:val="00580E44"/>
    <w:rsid w:val="00580F91"/>
    <w:rsid w:val="00580F9D"/>
    <w:rsid w:val="00581067"/>
    <w:rsid w:val="005810A2"/>
    <w:rsid w:val="00581189"/>
    <w:rsid w:val="00581530"/>
    <w:rsid w:val="0058163D"/>
    <w:rsid w:val="00581822"/>
    <w:rsid w:val="00581B32"/>
    <w:rsid w:val="00581BB7"/>
    <w:rsid w:val="00582231"/>
    <w:rsid w:val="0058238D"/>
    <w:rsid w:val="005825D8"/>
    <w:rsid w:val="0058264F"/>
    <w:rsid w:val="0058277B"/>
    <w:rsid w:val="005829FE"/>
    <w:rsid w:val="00582BE4"/>
    <w:rsid w:val="00582C7F"/>
    <w:rsid w:val="00582D53"/>
    <w:rsid w:val="00582DE6"/>
    <w:rsid w:val="00582EDC"/>
    <w:rsid w:val="0058317D"/>
    <w:rsid w:val="00583334"/>
    <w:rsid w:val="00583474"/>
    <w:rsid w:val="00583D1C"/>
    <w:rsid w:val="00583DEC"/>
    <w:rsid w:val="00583E41"/>
    <w:rsid w:val="00584085"/>
    <w:rsid w:val="00584124"/>
    <w:rsid w:val="00584191"/>
    <w:rsid w:val="005842BC"/>
    <w:rsid w:val="00584369"/>
    <w:rsid w:val="0058438D"/>
    <w:rsid w:val="00584396"/>
    <w:rsid w:val="00584793"/>
    <w:rsid w:val="00584A85"/>
    <w:rsid w:val="00584B04"/>
    <w:rsid w:val="00584BAC"/>
    <w:rsid w:val="005850CD"/>
    <w:rsid w:val="0058546B"/>
    <w:rsid w:val="005858FD"/>
    <w:rsid w:val="00585A28"/>
    <w:rsid w:val="00585B1E"/>
    <w:rsid w:val="00585B4A"/>
    <w:rsid w:val="00585E92"/>
    <w:rsid w:val="005861A0"/>
    <w:rsid w:val="005861A8"/>
    <w:rsid w:val="005861B5"/>
    <w:rsid w:val="0058621A"/>
    <w:rsid w:val="00586446"/>
    <w:rsid w:val="0058667F"/>
    <w:rsid w:val="005866A7"/>
    <w:rsid w:val="00586760"/>
    <w:rsid w:val="005867D9"/>
    <w:rsid w:val="005868AE"/>
    <w:rsid w:val="005868BE"/>
    <w:rsid w:val="005868D4"/>
    <w:rsid w:val="00586909"/>
    <w:rsid w:val="0058692D"/>
    <w:rsid w:val="00586974"/>
    <w:rsid w:val="00586E29"/>
    <w:rsid w:val="00586F0F"/>
    <w:rsid w:val="00586FC7"/>
    <w:rsid w:val="00587037"/>
    <w:rsid w:val="0058723C"/>
    <w:rsid w:val="00587310"/>
    <w:rsid w:val="00587718"/>
    <w:rsid w:val="00587838"/>
    <w:rsid w:val="0058799B"/>
    <w:rsid w:val="00587AAC"/>
    <w:rsid w:val="00587DEA"/>
    <w:rsid w:val="00587ECA"/>
    <w:rsid w:val="0059007F"/>
    <w:rsid w:val="0059027E"/>
    <w:rsid w:val="0059046B"/>
    <w:rsid w:val="005904FE"/>
    <w:rsid w:val="00590623"/>
    <w:rsid w:val="00590A19"/>
    <w:rsid w:val="00590F4A"/>
    <w:rsid w:val="005911C2"/>
    <w:rsid w:val="00591221"/>
    <w:rsid w:val="0059135B"/>
    <w:rsid w:val="00591424"/>
    <w:rsid w:val="005914C6"/>
    <w:rsid w:val="005914F2"/>
    <w:rsid w:val="005915BC"/>
    <w:rsid w:val="005917AC"/>
    <w:rsid w:val="00591B02"/>
    <w:rsid w:val="00591D82"/>
    <w:rsid w:val="00591F4D"/>
    <w:rsid w:val="00591F5C"/>
    <w:rsid w:val="00591FCB"/>
    <w:rsid w:val="005920F5"/>
    <w:rsid w:val="00592241"/>
    <w:rsid w:val="005926F3"/>
    <w:rsid w:val="00592A1C"/>
    <w:rsid w:val="00592BEF"/>
    <w:rsid w:val="00592C3A"/>
    <w:rsid w:val="00592E5A"/>
    <w:rsid w:val="00592EFD"/>
    <w:rsid w:val="005931B8"/>
    <w:rsid w:val="0059321C"/>
    <w:rsid w:val="00593776"/>
    <w:rsid w:val="005937AB"/>
    <w:rsid w:val="005937DD"/>
    <w:rsid w:val="005937E0"/>
    <w:rsid w:val="005939A1"/>
    <w:rsid w:val="00593E42"/>
    <w:rsid w:val="00593F56"/>
    <w:rsid w:val="00593FF1"/>
    <w:rsid w:val="0059420B"/>
    <w:rsid w:val="005942CA"/>
    <w:rsid w:val="005943AC"/>
    <w:rsid w:val="00594469"/>
    <w:rsid w:val="00594500"/>
    <w:rsid w:val="005945E8"/>
    <w:rsid w:val="00594757"/>
    <w:rsid w:val="00594B3F"/>
    <w:rsid w:val="00595028"/>
    <w:rsid w:val="0059506B"/>
    <w:rsid w:val="0059524D"/>
    <w:rsid w:val="00595ACD"/>
    <w:rsid w:val="00595B05"/>
    <w:rsid w:val="00595B41"/>
    <w:rsid w:val="00595B51"/>
    <w:rsid w:val="00595B64"/>
    <w:rsid w:val="00596035"/>
    <w:rsid w:val="00596043"/>
    <w:rsid w:val="005961C7"/>
    <w:rsid w:val="00596783"/>
    <w:rsid w:val="005968C4"/>
    <w:rsid w:val="00596BFF"/>
    <w:rsid w:val="00596FD4"/>
    <w:rsid w:val="00597188"/>
    <w:rsid w:val="005971F2"/>
    <w:rsid w:val="0059731A"/>
    <w:rsid w:val="005974C3"/>
    <w:rsid w:val="005978E0"/>
    <w:rsid w:val="00597A5E"/>
    <w:rsid w:val="00597AD8"/>
    <w:rsid w:val="00597BDA"/>
    <w:rsid w:val="00597FB6"/>
    <w:rsid w:val="005A017D"/>
    <w:rsid w:val="005A01DD"/>
    <w:rsid w:val="005A0234"/>
    <w:rsid w:val="005A02B6"/>
    <w:rsid w:val="005A03CD"/>
    <w:rsid w:val="005A05C2"/>
    <w:rsid w:val="005A0883"/>
    <w:rsid w:val="005A0A05"/>
    <w:rsid w:val="005A0BF3"/>
    <w:rsid w:val="005A1002"/>
    <w:rsid w:val="005A1006"/>
    <w:rsid w:val="005A158B"/>
    <w:rsid w:val="005A19ED"/>
    <w:rsid w:val="005A1B3A"/>
    <w:rsid w:val="005A2029"/>
    <w:rsid w:val="005A20F8"/>
    <w:rsid w:val="005A2282"/>
    <w:rsid w:val="005A2566"/>
    <w:rsid w:val="005A272B"/>
    <w:rsid w:val="005A27E0"/>
    <w:rsid w:val="005A2A47"/>
    <w:rsid w:val="005A2ACE"/>
    <w:rsid w:val="005A2FF2"/>
    <w:rsid w:val="005A3772"/>
    <w:rsid w:val="005A37F3"/>
    <w:rsid w:val="005A39EF"/>
    <w:rsid w:val="005A39F4"/>
    <w:rsid w:val="005A3D75"/>
    <w:rsid w:val="005A40EB"/>
    <w:rsid w:val="005A4395"/>
    <w:rsid w:val="005A4525"/>
    <w:rsid w:val="005A4771"/>
    <w:rsid w:val="005A4B36"/>
    <w:rsid w:val="005A4D04"/>
    <w:rsid w:val="005A4EE3"/>
    <w:rsid w:val="005A523B"/>
    <w:rsid w:val="005A5FF2"/>
    <w:rsid w:val="005A612D"/>
    <w:rsid w:val="005A6184"/>
    <w:rsid w:val="005A61E4"/>
    <w:rsid w:val="005A637C"/>
    <w:rsid w:val="005A64B2"/>
    <w:rsid w:val="005A6F14"/>
    <w:rsid w:val="005A6F7A"/>
    <w:rsid w:val="005A6FE7"/>
    <w:rsid w:val="005A7026"/>
    <w:rsid w:val="005A70E7"/>
    <w:rsid w:val="005A755D"/>
    <w:rsid w:val="005A7ADE"/>
    <w:rsid w:val="005A7B35"/>
    <w:rsid w:val="005A7C82"/>
    <w:rsid w:val="005B0077"/>
    <w:rsid w:val="005B00DF"/>
    <w:rsid w:val="005B0412"/>
    <w:rsid w:val="005B045B"/>
    <w:rsid w:val="005B09C2"/>
    <w:rsid w:val="005B0A76"/>
    <w:rsid w:val="005B0AFF"/>
    <w:rsid w:val="005B0B16"/>
    <w:rsid w:val="005B0C80"/>
    <w:rsid w:val="005B0F59"/>
    <w:rsid w:val="005B0F60"/>
    <w:rsid w:val="005B106F"/>
    <w:rsid w:val="005B11D8"/>
    <w:rsid w:val="005B13DF"/>
    <w:rsid w:val="005B1AE0"/>
    <w:rsid w:val="005B1D54"/>
    <w:rsid w:val="005B1D75"/>
    <w:rsid w:val="005B208C"/>
    <w:rsid w:val="005B2093"/>
    <w:rsid w:val="005B2540"/>
    <w:rsid w:val="005B2793"/>
    <w:rsid w:val="005B2AED"/>
    <w:rsid w:val="005B2EDA"/>
    <w:rsid w:val="005B323C"/>
    <w:rsid w:val="005B3322"/>
    <w:rsid w:val="005B3498"/>
    <w:rsid w:val="005B36DA"/>
    <w:rsid w:val="005B37BC"/>
    <w:rsid w:val="005B37EF"/>
    <w:rsid w:val="005B3C51"/>
    <w:rsid w:val="005B3ECD"/>
    <w:rsid w:val="005B4046"/>
    <w:rsid w:val="005B420C"/>
    <w:rsid w:val="005B425F"/>
    <w:rsid w:val="005B42BC"/>
    <w:rsid w:val="005B4326"/>
    <w:rsid w:val="005B4370"/>
    <w:rsid w:val="005B4598"/>
    <w:rsid w:val="005B459B"/>
    <w:rsid w:val="005B48BA"/>
    <w:rsid w:val="005B4B74"/>
    <w:rsid w:val="005B4DAF"/>
    <w:rsid w:val="005B4DF7"/>
    <w:rsid w:val="005B507E"/>
    <w:rsid w:val="005B52F3"/>
    <w:rsid w:val="005B535A"/>
    <w:rsid w:val="005B53EC"/>
    <w:rsid w:val="005B574A"/>
    <w:rsid w:val="005B58E9"/>
    <w:rsid w:val="005B58FD"/>
    <w:rsid w:val="005B5B62"/>
    <w:rsid w:val="005B5BFB"/>
    <w:rsid w:val="005B5C24"/>
    <w:rsid w:val="005B5ECE"/>
    <w:rsid w:val="005B61F1"/>
    <w:rsid w:val="005B63EB"/>
    <w:rsid w:val="005B6406"/>
    <w:rsid w:val="005B64BA"/>
    <w:rsid w:val="005B6668"/>
    <w:rsid w:val="005B67C7"/>
    <w:rsid w:val="005B69DD"/>
    <w:rsid w:val="005B6C94"/>
    <w:rsid w:val="005B6E6B"/>
    <w:rsid w:val="005B6F68"/>
    <w:rsid w:val="005B6FE0"/>
    <w:rsid w:val="005B78F7"/>
    <w:rsid w:val="005B7D86"/>
    <w:rsid w:val="005B7E5D"/>
    <w:rsid w:val="005B7F35"/>
    <w:rsid w:val="005C0273"/>
    <w:rsid w:val="005C0735"/>
    <w:rsid w:val="005C0AA3"/>
    <w:rsid w:val="005C0E70"/>
    <w:rsid w:val="005C12DC"/>
    <w:rsid w:val="005C175A"/>
    <w:rsid w:val="005C1763"/>
    <w:rsid w:val="005C177A"/>
    <w:rsid w:val="005C17B2"/>
    <w:rsid w:val="005C1909"/>
    <w:rsid w:val="005C199A"/>
    <w:rsid w:val="005C1D64"/>
    <w:rsid w:val="005C1E79"/>
    <w:rsid w:val="005C1EAE"/>
    <w:rsid w:val="005C1F48"/>
    <w:rsid w:val="005C219B"/>
    <w:rsid w:val="005C2416"/>
    <w:rsid w:val="005C2D78"/>
    <w:rsid w:val="005C2FCB"/>
    <w:rsid w:val="005C3151"/>
    <w:rsid w:val="005C350D"/>
    <w:rsid w:val="005C3531"/>
    <w:rsid w:val="005C3637"/>
    <w:rsid w:val="005C36F7"/>
    <w:rsid w:val="005C386F"/>
    <w:rsid w:val="005C391B"/>
    <w:rsid w:val="005C4142"/>
    <w:rsid w:val="005C4309"/>
    <w:rsid w:val="005C430B"/>
    <w:rsid w:val="005C4452"/>
    <w:rsid w:val="005C4770"/>
    <w:rsid w:val="005C4A25"/>
    <w:rsid w:val="005C4A5E"/>
    <w:rsid w:val="005C56DF"/>
    <w:rsid w:val="005C574B"/>
    <w:rsid w:val="005C57AD"/>
    <w:rsid w:val="005C57F2"/>
    <w:rsid w:val="005C5832"/>
    <w:rsid w:val="005C58DE"/>
    <w:rsid w:val="005C58F1"/>
    <w:rsid w:val="005C5981"/>
    <w:rsid w:val="005C5C6A"/>
    <w:rsid w:val="005C63D4"/>
    <w:rsid w:val="005C65DC"/>
    <w:rsid w:val="005C680D"/>
    <w:rsid w:val="005C6851"/>
    <w:rsid w:val="005C6D83"/>
    <w:rsid w:val="005C7017"/>
    <w:rsid w:val="005C73A2"/>
    <w:rsid w:val="005C77CF"/>
    <w:rsid w:val="005C7957"/>
    <w:rsid w:val="005C7A55"/>
    <w:rsid w:val="005C7C72"/>
    <w:rsid w:val="005C7C8D"/>
    <w:rsid w:val="005C7DAF"/>
    <w:rsid w:val="005C7E59"/>
    <w:rsid w:val="005D0129"/>
    <w:rsid w:val="005D0271"/>
    <w:rsid w:val="005D02A4"/>
    <w:rsid w:val="005D03AE"/>
    <w:rsid w:val="005D053E"/>
    <w:rsid w:val="005D089B"/>
    <w:rsid w:val="005D09ED"/>
    <w:rsid w:val="005D0B0C"/>
    <w:rsid w:val="005D0B2D"/>
    <w:rsid w:val="005D0E48"/>
    <w:rsid w:val="005D0ECA"/>
    <w:rsid w:val="005D0EF7"/>
    <w:rsid w:val="005D10EB"/>
    <w:rsid w:val="005D1205"/>
    <w:rsid w:val="005D124C"/>
    <w:rsid w:val="005D12AD"/>
    <w:rsid w:val="005D12D7"/>
    <w:rsid w:val="005D14CF"/>
    <w:rsid w:val="005D15E0"/>
    <w:rsid w:val="005D1638"/>
    <w:rsid w:val="005D1649"/>
    <w:rsid w:val="005D1920"/>
    <w:rsid w:val="005D1AEB"/>
    <w:rsid w:val="005D1B95"/>
    <w:rsid w:val="005D1BF7"/>
    <w:rsid w:val="005D1FAD"/>
    <w:rsid w:val="005D1FDF"/>
    <w:rsid w:val="005D206E"/>
    <w:rsid w:val="005D2249"/>
    <w:rsid w:val="005D23A5"/>
    <w:rsid w:val="005D246F"/>
    <w:rsid w:val="005D2613"/>
    <w:rsid w:val="005D28AE"/>
    <w:rsid w:val="005D2928"/>
    <w:rsid w:val="005D2A53"/>
    <w:rsid w:val="005D2BF5"/>
    <w:rsid w:val="005D2C45"/>
    <w:rsid w:val="005D2D38"/>
    <w:rsid w:val="005D30D6"/>
    <w:rsid w:val="005D338E"/>
    <w:rsid w:val="005D3745"/>
    <w:rsid w:val="005D3806"/>
    <w:rsid w:val="005D38F2"/>
    <w:rsid w:val="005D3949"/>
    <w:rsid w:val="005D394E"/>
    <w:rsid w:val="005D3C6C"/>
    <w:rsid w:val="005D3C9D"/>
    <w:rsid w:val="005D40A6"/>
    <w:rsid w:val="005D40DB"/>
    <w:rsid w:val="005D4584"/>
    <w:rsid w:val="005D459A"/>
    <w:rsid w:val="005D4D1D"/>
    <w:rsid w:val="005D4DA5"/>
    <w:rsid w:val="005D4E49"/>
    <w:rsid w:val="005D4E50"/>
    <w:rsid w:val="005D557F"/>
    <w:rsid w:val="005D5786"/>
    <w:rsid w:val="005D58C2"/>
    <w:rsid w:val="005D59B8"/>
    <w:rsid w:val="005D5A02"/>
    <w:rsid w:val="005D5A6F"/>
    <w:rsid w:val="005D5AC5"/>
    <w:rsid w:val="005D5F08"/>
    <w:rsid w:val="005D5FCA"/>
    <w:rsid w:val="005D5FD1"/>
    <w:rsid w:val="005D6046"/>
    <w:rsid w:val="005D6259"/>
    <w:rsid w:val="005D63B7"/>
    <w:rsid w:val="005D65DC"/>
    <w:rsid w:val="005D6818"/>
    <w:rsid w:val="005D6AB7"/>
    <w:rsid w:val="005D6BD5"/>
    <w:rsid w:val="005D6D6C"/>
    <w:rsid w:val="005D6D9D"/>
    <w:rsid w:val="005D6FA8"/>
    <w:rsid w:val="005D70F2"/>
    <w:rsid w:val="005D74E9"/>
    <w:rsid w:val="005D758C"/>
    <w:rsid w:val="005D7669"/>
    <w:rsid w:val="005D7B2B"/>
    <w:rsid w:val="005D7E19"/>
    <w:rsid w:val="005D7EAD"/>
    <w:rsid w:val="005D7FA8"/>
    <w:rsid w:val="005E01C4"/>
    <w:rsid w:val="005E020F"/>
    <w:rsid w:val="005E02EC"/>
    <w:rsid w:val="005E0331"/>
    <w:rsid w:val="005E034F"/>
    <w:rsid w:val="005E0425"/>
    <w:rsid w:val="005E0524"/>
    <w:rsid w:val="005E058F"/>
    <w:rsid w:val="005E0639"/>
    <w:rsid w:val="005E0912"/>
    <w:rsid w:val="005E09B5"/>
    <w:rsid w:val="005E09F6"/>
    <w:rsid w:val="005E0DB2"/>
    <w:rsid w:val="005E0DEA"/>
    <w:rsid w:val="005E1032"/>
    <w:rsid w:val="005E104B"/>
    <w:rsid w:val="005E1088"/>
    <w:rsid w:val="005E11A0"/>
    <w:rsid w:val="005E155A"/>
    <w:rsid w:val="005E1628"/>
    <w:rsid w:val="005E177F"/>
    <w:rsid w:val="005E185D"/>
    <w:rsid w:val="005E1A5E"/>
    <w:rsid w:val="005E1B3D"/>
    <w:rsid w:val="005E1D0A"/>
    <w:rsid w:val="005E1FAE"/>
    <w:rsid w:val="005E2006"/>
    <w:rsid w:val="005E2063"/>
    <w:rsid w:val="005E2086"/>
    <w:rsid w:val="005E22CB"/>
    <w:rsid w:val="005E256F"/>
    <w:rsid w:val="005E2878"/>
    <w:rsid w:val="005E2D8A"/>
    <w:rsid w:val="005E2DD2"/>
    <w:rsid w:val="005E3064"/>
    <w:rsid w:val="005E32BB"/>
    <w:rsid w:val="005E3394"/>
    <w:rsid w:val="005E33A8"/>
    <w:rsid w:val="005E33C7"/>
    <w:rsid w:val="005E3401"/>
    <w:rsid w:val="005E34EB"/>
    <w:rsid w:val="005E3689"/>
    <w:rsid w:val="005E3815"/>
    <w:rsid w:val="005E39C9"/>
    <w:rsid w:val="005E3D71"/>
    <w:rsid w:val="005E4120"/>
    <w:rsid w:val="005E4166"/>
    <w:rsid w:val="005E4385"/>
    <w:rsid w:val="005E4687"/>
    <w:rsid w:val="005E4717"/>
    <w:rsid w:val="005E496C"/>
    <w:rsid w:val="005E4BCF"/>
    <w:rsid w:val="005E4D9D"/>
    <w:rsid w:val="005E4E86"/>
    <w:rsid w:val="005E5096"/>
    <w:rsid w:val="005E5110"/>
    <w:rsid w:val="005E5208"/>
    <w:rsid w:val="005E5AEF"/>
    <w:rsid w:val="005E5D47"/>
    <w:rsid w:val="005E5D87"/>
    <w:rsid w:val="005E5E79"/>
    <w:rsid w:val="005E5EAC"/>
    <w:rsid w:val="005E5F55"/>
    <w:rsid w:val="005E6172"/>
    <w:rsid w:val="005E6415"/>
    <w:rsid w:val="005E69B6"/>
    <w:rsid w:val="005E6A38"/>
    <w:rsid w:val="005E6B9E"/>
    <w:rsid w:val="005E6CD0"/>
    <w:rsid w:val="005E6CF9"/>
    <w:rsid w:val="005E6D28"/>
    <w:rsid w:val="005E6E16"/>
    <w:rsid w:val="005E6FFE"/>
    <w:rsid w:val="005E7226"/>
    <w:rsid w:val="005E72BF"/>
    <w:rsid w:val="005E73C2"/>
    <w:rsid w:val="005E75FE"/>
    <w:rsid w:val="005E7645"/>
    <w:rsid w:val="005E764D"/>
    <w:rsid w:val="005E793C"/>
    <w:rsid w:val="005E7B85"/>
    <w:rsid w:val="005E7B9D"/>
    <w:rsid w:val="005E7C12"/>
    <w:rsid w:val="005E7C90"/>
    <w:rsid w:val="005E7EB3"/>
    <w:rsid w:val="005E7F93"/>
    <w:rsid w:val="005F0046"/>
    <w:rsid w:val="005F00A3"/>
    <w:rsid w:val="005F022C"/>
    <w:rsid w:val="005F0312"/>
    <w:rsid w:val="005F044B"/>
    <w:rsid w:val="005F07DA"/>
    <w:rsid w:val="005F09C3"/>
    <w:rsid w:val="005F0B5C"/>
    <w:rsid w:val="005F0C5A"/>
    <w:rsid w:val="005F0D10"/>
    <w:rsid w:val="005F1089"/>
    <w:rsid w:val="005F1745"/>
    <w:rsid w:val="005F17AE"/>
    <w:rsid w:val="005F1B83"/>
    <w:rsid w:val="005F1D11"/>
    <w:rsid w:val="005F1F80"/>
    <w:rsid w:val="005F2141"/>
    <w:rsid w:val="005F2363"/>
    <w:rsid w:val="005F24F1"/>
    <w:rsid w:val="005F24F3"/>
    <w:rsid w:val="005F260F"/>
    <w:rsid w:val="005F26DB"/>
    <w:rsid w:val="005F274E"/>
    <w:rsid w:val="005F289F"/>
    <w:rsid w:val="005F2AB0"/>
    <w:rsid w:val="005F2BF3"/>
    <w:rsid w:val="005F2EC0"/>
    <w:rsid w:val="005F2F13"/>
    <w:rsid w:val="005F2F34"/>
    <w:rsid w:val="005F331A"/>
    <w:rsid w:val="005F337D"/>
    <w:rsid w:val="005F3583"/>
    <w:rsid w:val="005F3864"/>
    <w:rsid w:val="005F3998"/>
    <w:rsid w:val="005F39AA"/>
    <w:rsid w:val="005F39DB"/>
    <w:rsid w:val="005F3AEC"/>
    <w:rsid w:val="005F3C82"/>
    <w:rsid w:val="005F3DF4"/>
    <w:rsid w:val="005F408C"/>
    <w:rsid w:val="005F40A7"/>
    <w:rsid w:val="005F449C"/>
    <w:rsid w:val="005F45D1"/>
    <w:rsid w:val="005F46BB"/>
    <w:rsid w:val="005F4740"/>
    <w:rsid w:val="005F476A"/>
    <w:rsid w:val="005F4990"/>
    <w:rsid w:val="005F4A0B"/>
    <w:rsid w:val="005F4ADE"/>
    <w:rsid w:val="005F4AE6"/>
    <w:rsid w:val="005F4C01"/>
    <w:rsid w:val="005F4C3B"/>
    <w:rsid w:val="005F4FF3"/>
    <w:rsid w:val="005F51C7"/>
    <w:rsid w:val="005F53AD"/>
    <w:rsid w:val="005F59E0"/>
    <w:rsid w:val="005F5A78"/>
    <w:rsid w:val="005F5AB5"/>
    <w:rsid w:val="005F5B8A"/>
    <w:rsid w:val="005F6058"/>
    <w:rsid w:val="005F6188"/>
    <w:rsid w:val="005F677E"/>
    <w:rsid w:val="005F683D"/>
    <w:rsid w:val="005F6C19"/>
    <w:rsid w:val="005F6CF1"/>
    <w:rsid w:val="005F6EFF"/>
    <w:rsid w:val="005F6F2E"/>
    <w:rsid w:val="005F704E"/>
    <w:rsid w:val="005F7418"/>
    <w:rsid w:val="005F770C"/>
    <w:rsid w:val="005F7C44"/>
    <w:rsid w:val="005F7DE2"/>
    <w:rsid w:val="00600290"/>
    <w:rsid w:val="006007FE"/>
    <w:rsid w:val="00600862"/>
    <w:rsid w:val="0060094A"/>
    <w:rsid w:val="00600979"/>
    <w:rsid w:val="00600AD3"/>
    <w:rsid w:val="00600B81"/>
    <w:rsid w:val="00600DC1"/>
    <w:rsid w:val="00601067"/>
    <w:rsid w:val="006012D2"/>
    <w:rsid w:val="00601501"/>
    <w:rsid w:val="006018DB"/>
    <w:rsid w:val="006019D0"/>
    <w:rsid w:val="00601FD3"/>
    <w:rsid w:val="0060201F"/>
    <w:rsid w:val="00602041"/>
    <w:rsid w:val="00602168"/>
    <w:rsid w:val="00602393"/>
    <w:rsid w:val="00602416"/>
    <w:rsid w:val="00602438"/>
    <w:rsid w:val="0060255E"/>
    <w:rsid w:val="006029D7"/>
    <w:rsid w:val="00602F82"/>
    <w:rsid w:val="00602FFB"/>
    <w:rsid w:val="00603146"/>
    <w:rsid w:val="006031AB"/>
    <w:rsid w:val="006035EF"/>
    <w:rsid w:val="00603659"/>
    <w:rsid w:val="00603E4B"/>
    <w:rsid w:val="00604634"/>
    <w:rsid w:val="006046C3"/>
    <w:rsid w:val="0060478E"/>
    <w:rsid w:val="00604794"/>
    <w:rsid w:val="00604925"/>
    <w:rsid w:val="00604CC4"/>
    <w:rsid w:val="00604D97"/>
    <w:rsid w:val="00604F86"/>
    <w:rsid w:val="006050B6"/>
    <w:rsid w:val="00605995"/>
    <w:rsid w:val="00605AB1"/>
    <w:rsid w:val="00605AE8"/>
    <w:rsid w:val="00605B1C"/>
    <w:rsid w:val="00605B92"/>
    <w:rsid w:val="006061FE"/>
    <w:rsid w:val="006062EF"/>
    <w:rsid w:val="0060641C"/>
    <w:rsid w:val="00606547"/>
    <w:rsid w:val="00606684"/>
    <w:rsid w:val="006066B4"/>
    <w:rsid w:val="006066D4"/>
    <w:rsid w:val="006066F0"/>
    <w:rsid w:val="00606A91"/>
    <w:rsid w:val="00606CCB"/>
    <w:rsid w:val="006070DE"/>
    <w:rsid w:val="00607154"/>
    <w:rsid w:val="00607199"/>
    <w:rsid w:val="00607318"/>
    <w:rsid w:val="0060769F"/>
    <w:rsid w:val="0060778C"/>
    <w:rsid w:val="00607998"/>
    <w:rsid w:val="00607DDE"/>
    <w:rsid w:val="00607F98"/>
    <w:rsid w:val="00610192"/>
    <w:rsid w:val="00610493"/>
    <w:rsid w:val="00610C25"/>
    <w:rsid w:val="006113A7"/>
    <w:rsid w:val="006114AA"/>
    <w:rsid w:val="00611770"/>
    <w:rsid w:val="006119CC"/>
    <w:rsid w:val="00611A49"/>
    <w:rsid w:val="00611A4F"/>
    <w:rsid w:val="00611ACF"/>
    <w:rsid w:val="00611EFC"/>
    <w:rsid w:val="00611FDF"/>
    <w:rsid w:val="0061218C"/>
    <w:rsid w:val="0061243C"/>
    <w:rsid w:val="00612556"/>
    <w:rsid w:val="006127A9"/>
    <w:rsid w:val="00612818"/>
    <w:rsid w:val="00612860"/>
    <w:rsid w:val="00612C0C"/>
    <w:rsid w:val="00612F88"/>
    <w:rsid w:val="00612F97"/>
    <w:rsid w:val="00612FDB"/>
    <w:rsid w:val="006131F2"/>
    <w:rsid w:val="006132D5"/>
    <w:rsid w:val="0061343B"/>
    <w:rsid w:val="00613521"/>
    <w:rsid w:val="00613928"/>
    <w:rsid w:val="00613A53"/>
    <w:rsid w:val="00613A69"/>
    <w:rsid w:val="00613B5B"/>
    <w:rsid w:val="00613BB8"/>
    <w:rsid w:val="00613FA4"/>
    <w:rsid w:val="00614298"/>
    <w:rsid w:val="006142D9"/>
    <w:rsid w:val="00614371"/>
    <w:rsid w:val="00614A99"/>
    <w:rsid w:val="00614AFB"/>
    <w:rsid w:val="00614BD1"/>
    <w:rsid w:val="00614C83"/>
    <w:rsid w:val="00614D31"/>
    <w:rsid w:val="00614D32"/>
    <w:rsid w:val="006153EB"/>
    <w:rsid w:val="006155CA"/>
    <w:rsid w:val="0061567B"/>
    <w:rsid w:val="006156A7"/>
    <w:rsid w:val="006156F9"/>
    <w:rsid w:val="006158BB"/>
    <w:rsid w:val="0061593D"/>
    <w:rsid w:val="00615B3A"/>
    <w:rsid w:val="00615B84"/>
    <w:rsid w:val="00615E83"/>
    <w:rsid w:val="0061653C"/>
    <w:rsid w:val="00616563"/>
    <w:rsid w:val="006165BA"/>
    <w:rsid w:val="00616696"/>
    <w:rsid w:val="0061682A"/>
    <w:rsid w:val="00616867"/>
    <w:rsid w:val="0061686D"/>
    <w:rsid w:val="00616982"/>
    <w:rsid w:val="00616B24"/>
    <w:rsid w:val="00616BC5"/>
    <w:rsid w:val="00616CA0"/>
    <w:rsid w:val="00616D02"/>
    <w:rsid w:val="00617167"/>
    <w:rsid w:val="00617383"/>
    <w:rsid w:val="0061765C"/>
    <w:rsid w:val="006178A2"/>
    <w:rsid w:val="00617A39"/>
    <w:rsid w:val="00617ABC"/>
    <w:rsid w:val="00617B29"/>
    <w:rsid w:val="00617FAC"/>
    <w:rsid w:val="006202A6"/>
    <w:rsid w:val="006204A3"/>
    <w:rsid w:val="00620676"/>
    <w:rsid w:val="00620680"/>
    <w:rsid w:val="006206A4"/>
    <w:rsid w:val="0062074D"/>
    <w:rsid w:val="006209AD"/>
    <w:rsid w:val="00620C66"/>
    <w:rsid w:val="00620E82"/>
    <w:rsid w:val="00621415"/>
    <w:rsid w:val="00621609"/>
    <w:rsid w:val="00621616"/>
    <w:rsid w:val="006216E3"/>
    <w:rsid w:val="0062193E"/>
    <w:rsid w:val="00621D3D"/>
    <w:rsid w:val="00621FC7"/>
    <w:rsid w:val="006220CE"/>
    <w:rsid w:val="006223CB"/>
    <w:rsid w:val="006223ED"/>
    <w:rsid w:val="006224AC"/>
    <w:rsid w:val="006226A7"/>
    <w:rsid w:val="006229EC"/>
    <w:rsid w:val="00622D41"/>
    <w:rsid w:val="00622EBA"/>
    <w:rsid w:val="00622EC9"/>
    <w:rsid w:val="0062315E"/>
    <w:rsid w:val="0062321B"/>
    <w:rsid w:val="0062343B"/>
    <w:rsid w:val="0062350F"/>
    <w:rsid w:val="006236D3"/>
    <w:rsid w:val="0062372B"/>
    <w:rsid w:val="00623902"/>
    <w:rsid w:val="006239C5"/>
    <w:rsid w:val="00623A46"/>
    <w:rsid w:val="00623DD3"/>
    <w:rsid w:val="00623EA4"/>
    <w:rsid w:val="0062429C"/>
    <w:rsid w:val="00624324"/>
    <w:rsid w:val="00624746"/>
    <w:rsid w:val="00624B98"/>
    <w:rsid w:val="00624EBC"/>
    <w:rsid w:val="006250EB"/>
    <w:rsid w:val="0062577E"/>
    <w:rsid w:val="0062596A"/>
    <w:rsid w:val="00625BB4"/>
    <w:rsid w:val="0062600F"/>
    <w:rsid w:val="00626020"/>
    <w:rsid w:val="0062636C"/>
    <w:rsid w:val="006264D8"/>
    <w:rsid w:val="006267B7"/>
    <w:rsid w:val="00626831"/>
    <w:rsid w:val="00626A79"/>
    <w:rsid w:val="00626B6A"/>
    <w:rsid w:val="00626C2F"/>
    <w:rsid w:val="00626D83"/>
    <w:rsid w:val="00626F96"/>
    <w:rsid w:val="00626FE4"/>
    <w:rsid w:val="0062751E"/>
    <w:rsid w:val="0062760F"/>
    <w:rsid w:val="00627716"/>
    <w:rsid w:val="00627C1B"/>
    <w:rsid w:val="00627C5B"/>
    <w:rsid w:val="00627EAC"/>
    <w:rsid w:val="00627EC9"/>
    <w:rsid w:val="00630124"/>
    <w:rsid w:val="0063021D"/>
    <w:rsid w:val="00630380"/>
    <w:rsid w:val="006306F6"/>
    <w:rsid w:val="0063082E"/>
    <w:rsid w:val="0063083B"/>
    <w:rsid w:val="0063083D"/>
    <w:rsid w:val="00630B43"/>
    <w:rsid w:val="00630F3E"/>
    <w:rsid w:val="00630FCA"/>
    <w:rsid w:val="00631328"/>
    <w:rsid w:val="006314C3"/>
    <w:rsid w:val="00631795"/>
    <w:rsid w:val="006318DA"/>
    <w:rsid w:val="006319CB"/>
    <w:rsid w:val="00631A95"/>
    <w:rsid w:val="006320A8"/>
    <w:rsid w:val="00632220"/>
    <w:rsid w:val="00632481"/>
    <w:rsid w:val="00632620"/>
    <w:rsid w:val="00632913"/>
    <w:rsid w:val="0063299B"/>
    <w:rsid w:val="0063301B"/>
    <w:rsid w:val="006332D3"/>
    <w:rsid w:val="00633342"/>
    <w:rsid w:val="00633544"/>
    <w:rsid w:val="00633797"/>
    <w:rsid w:val="006343B7"/>
    <w:rsid w:val="006345A6"/>
    <w:rsid w:val="00634736"/>
    <w:rsid w:val="006348E0"/>
    <w:rsid w:val="00634AC5"/>
    <w:rsid w:val="00634E75"/>
    <w:rsid w:val="00634F9F"/>
    <w:rsid w:val="00635002"/>
    <w:rsid w:val="006351EF"/>
    <w:rsid w:val="006355E1"/>
    <w:rsid w:val="006357CE"/>
    <w:rsid w:val="006358A1"/>
    <w:rsid w:val="00635903"/>
    <w:rsid w:val="00635915"/>
    <w:rsid w:val="00635E59"/>
    <w:rsid w:val="00635F52"/>
    <w:rsid w:val="00635FB8"/>
    <w:rsid w:val="00636250"/>
    <w:rsid w:val="006362B0"/>
    <w:rsid w:val="0063670D"/>
    <w:rsid w:val="0063682F"/>
    <w:rsid w:val="00636E74"/>
    <w:rsid w:val="00636EFF"/>
    <w:rsid w:val="006371DC"/>
    <w:rsid w:val="00637221"/>
    <w:rsid w:val="00637487"/>
    <w:rsid w:val="006376DC"/>
    <w:rsid w:val="0063775A"/>
    <w:rsid w:val="006378D5"/>
    <w:rsid w:val="006379B3"/>
    <w:rsid w:val="00637AD8"/>
    <w:rsid w:val="00637C03"/>
    <w:rsid w:val="00637C04"/>
    <w:rsid w:val="00637C6C"/>
    <w:rsid w:val="00637D81"/>
    <w:rsid w:val="00637EFA"/>
    <w:rsid w:val="0064002A"/>
    <w:rsid w:val="00640364"/>
    <w:rsid w:val="006405DD"/>
    <w:rsid w:val="00640A81"/>
    <w:rsid w:val="00640D02"/>
    <w:rsid w:val="00640D08"/>
    <w:rsid w:val="00640E90"/>
    <w:rsid w:val="00640FED"/>
    <w:rsid w:val="0064118B"/>
    <w:rsid w:val="006411AD"/>
    <w:rsid w:val="006417C0"/>
    <w:rsid w:val="006417E4"/>
    <w:rsid w:val="0064182B"/>
    <w:rsid w:val="006418B5"/>
    <w:rsid w:val="0064194B"/>
    <w:rsid w:val="006419DC"/>
    <w:rsid w:val="00641B35"/>
    <w:rsid w:val="00641C04"/>
    <w:rsid w:val="00641CE5"/>
    <w:rsid w:val="00641D27"/>
    <w:rsid w:val="00641D9C"/>
    <w:rsid w:val="006420B9"/>
    <w:rsid w:val="0064217C"/>
    <w:rsid w:val="00642264"/>
    <w:rsid w:val="00642384"/>
    <w:rsid w:val="0064240D"/>
    <w:rsid w:val="006424E4"/>
    <w:rsid w:val="00642802"/>
    <w:rsid w:val="00642B02"/>
    <w:rsid w:val="00642C2A"/>
    <w:rsid w:val="00642EA8"/>
    <w:rsid w:val="00642ED2"/>
    <w:rsid w:val="006430B7"/>
    <w:rsid w:val="006434B5"/>
    <w:rsid w:val="006435FE"/>
    <w:rsid w:val="00643667"/>
    <w:rsid w:val="006438F2"/>
    <w:rsid w:val="00643A12"/>
    <w:rsid w:val="00643BD2"/>
    <w:rsid w:val="00643C45"/>
    <w:rsid w:val="00643FE6"/>
    <w:rsid w:val="0064409C"/>
    <w:rsid w:val="006444AB"/>
    <w:rsid w:val="006447D0"/>
    <w:rsid w:val="006447D6"/>
    <w:rsid w:val="0064491D"/>
    <w:rsid w:val="00644A09"/>
    <w:rsid w:val="00644AF8"/>
    <w:rsid w:val="00644DC9"/>
    <w:rsid w:val="00644EE4"/>
    <w:rsid w:val="00645015"/>
    <w:rsid w:val="00646205"/>
    <w:rsid w:val="0064622B"/>
    <w:rsid w:val="006463A4"/>
    <w:rsid w:val="006465F7"/>
    <w:rsid w:val="00646742"/>
    <w:rsid w:val="00646C53"/>
    <w:rsid w:val="006470D0"/>
    <w:rsid w:val="00647168"/>
    <w:rsid w:val="00647213"/>
    <w:rsid w:val="0064734A"/>
    <w:rsid w:val="0064781D"/>
    <w:rsid w:val="00647C36"/>
    <w:rsid w:val="00647C82"/>
    <w:rsid w:val="00647DEE"/>
    <w:rsid w:val="0065003A"/>
    <w:rsid w:val="00650419"/>
    <w:rsid w:val="006504E4"/>
    <w:rsid w:val="00650708"/>
    <w:rsid w:val="00650771"/>
    <w:rsid w:val="00650811"/>
    <w:rsid w:val="00650DF8"/>
    <w:rsid w:val="0065103A"/>
    <w:rsid w:val="006510E0"/>
    <w:rsid w:val="006512E5"/>
    <w:rsid w:val="00651347"/>
    <w:rsid w:val="006513E2"/>
    <w:rsid w:val="006514E2"/>
    <w:rsid w:val="0065156F"/>
    <w:rsid w:val="00651816"/>
    <w:rsid w:val="00651858"/>
    <w:rsid w:val="00651AD0"/>
    <w:rsid w:val="00651DA9"/>
    <w:rsid w:val="00651E17"/>
    <w:rsid w:val="0065207B"/>
    <w:rsid w:val="00652127"/>
    <w:rsid w:val="00652235"/>
    <w:rsid w:val="00652485"/>
    <w:rsid w:val="0065264E"/>
    <w:rsid w:val="00652748"/>
    <w:rsid w:val="00652E9D"/>
    <w:rsid w:val="006534E3"/>
    <w:rsid w:val="00653683"/>
    <w:rsid w:val="006539BB"/>
    <w:rsid w:val="006539C9"/>
    <w:rsid w:val="006539CA"/>
    <w:rsid w:val="00653A9A"/>
    <w:rsid w:val="00653CDB"/>
    <w:rsid w:val="0065457B"/>
    <w:rsid w:val="0065483D"/>
    <w:rsid w:val="0065484E"/>
    <w:rsid w:val="00654EBC"/>
    <w:rsid w:val="00654FE9"/>
    <w:rsid w:val="006552A2"/>
    <w:rsid w:val="00655357"/>
    <w:rsid w:val="00655534"/>
    <w:rsid w:val="006555C4"/>
    <w:rsid w:val="0065582E"/>
    <w:rsid w:val="00655949"/>
    <w:rsid w:val="006559F6"/>
    <w:rsid w:val="00655AB7"/>
    <w:rsid w:val="00655C8A"/>
    <w:rsid w:val="00656027"/>
    <w:rsid w:val="00656070"/>
    <w:rsid w:val="0065610A"/>
    <w:rsid w:val="00656191"/>
    <w:rsid w:val="006563D7"/>
    <w:rsid w:val="00656411"/>
    <w:rsid w:val="0065645F"/>
    <w:rsid w:val="006564D2"/>
    <w:rsid w:val="006569B3"/>
    <w:rsid w:val="00656AD9"/>
    <w:rsid w:val="00656B4D"/>
    <w:rsid w:val="00656DDE"/>
    <w:rsid w:val="00656E1E"/>
    <w:rsid w:val="00656F12"/>
    <w:rsid w:val="00657158"/>
    <w:rsid w:val="00657190"/>
    <w:rsid w:val="006572C1"/>
    <w:rsid w:val="0065733B"/>
    <w:rsid w:val="00657448"/>
    <w:rsid w:val="00657578"/>
    <w:rsid w:val="00657C01"/>
    <w:rsid w:val="00657D0F"/>
    <w:rsid w:val="00657F4C"/>
    <w:rsid w:val="00657F66"/>
    <w:rsid w:val="00660275"/>
    <w:rsid w:val="006602A4"/>
    <w:rsid w:val="0066042A"/>
    <w:rsid w:val="006608E6"/>
    <w:rsid w:val="00660938"/>
    <w:rsid w:val="0066095F"/>
    <w:rsid w:val="00660975"/>
    <w:rsid w:val="00660A14"/>
    <w:rsid w:val="00660ACE"/>
    <w:rsid w:val="00660ED7"/>
    <w:rsid w:val="00660FAE"/>
    <w:rsid w:val="00661206"/>
    <w:rsid w:val="00661228"/>
    <w:rsid w:val="00661297"/>
    <w:rsid w:val="00661435"/>
    <w:rsid w:val="006618BF"/>
    <w:rsid w:val="00661A4E"/>
    <w:rsid w:val="00661DF6"/>
    <w:rsid w:val="00661E21"/>
    <w:rsid w:val="00661EDA"/>
    <w:rsid w:val="00662131"/>
    <w:rsid w:val="00662185"/>
    <w:rsid w:val="006621B2"/>
    <w:rsid w:val="00662644"/>
    <w:rsid w:val="00662696"/>
    <w:rsid w:val="00662949"/>
    <w:rsid w:val="00662A1F"/>
    <w:rsid w:val="00662A47"/>
    <w:rsid w:val="00662AA6"/>
    <w:rsid w:val="00662FCD"/>
    <w:rsid w:val="00663201"/>
    <w:rsid w:val="00663602"/>
    <w:rsid w:val="00663664"/>
    <w:rsid w:val="0066383D"/>
    <w:rsid w:val="00663842"/>
    <w:rsid w:val="00663B0E"/>
    <w:rsid w:val="00663B71"/>
    <w:rsid w:val="00663CD6"/>
    <w:rsid w:val="00663EE9"/>
    <w:rsid w:val="00664049"/>
    <w:rsid w:val="00664439"/>
    <w:rsid w:val="00664460"/>
    <w:rsid w:val="00664653"/>
    <w:rsid w:val="00664A24"/>
    <w:rsid w:val="00664B0E"/>
    <w:rsid w:val="00664C60"/>
    <w:rsid w:val="00664D72"/>
    <w:rsid w:val="006651B2"/>
    <w:rsid w:val="006651CE"/>
    <w:rsid w:val="00665558"/>
    <w:rsid w:val="0066565A"/>
    <w:rsid w:val="0066570D"/>
    <w:rsid w:val="00665E21"/>
    <w:rsid w:val="00665EEB"/>
    <w:rsid w:val="00665F10"/>
    <w:rsid w:val="00665FD9"/>
    <w:rsid w:val="0066642B"/>
    <w:rsid w:val="00666605"/>
    <w:rsid w:val="006666BA"/>
    <w:rsid w:val="00666777"/>
    <w:rsid w:val="00666B24"/>
    <w:rsid w:val="00666D08"/>
    <w:rsid w:val="00666E04"/>
    <w:rsid w:val="00666E47"/>
    <w:rsid w:val="00666F01"/>
    <w:rsid w:val="006671F0"/>
    <w:rsid w:val="006672C4"/>
    <w:rsid w:val="00667335"/>
    <w:rsid w:val="006673DE"/>
    <w:rsid w:val="006675E6"/>
    <w:rsid w:val="006677A8"/>
    <w:rsid w:val="006678BB"/>
    <w:rsid w:val="00667D9D"/>
    <w:rsid w:val="0067000E"/>
    <w:rsid w:val="00670174"/>
    <w:rsid w:val="006703CD"/>
    <w:rsid w:val="00670620"/>
    <w:rsid w:val="00670633"/>
    <w:rsid w:val="0067064B"/>
    <w:rsid w:val="0067065C"/>
    <w:rsid w:val="00670660"/>
    <w:rsid w:val="0067069B"/>
    <w:rsid w:val="0067078D"/>
    <w:rsid w:val="0067096E"/>
    <w:rsid w:val="00670A15"/>
    <w:rsid w:val="00670A30"/>
    <w:rsid w:val="00670B08"/>
    <w:rsid w:val="00670B59"/>
    <w:rsid w:val="00670BEA"/>
    <w:rsid w:val="00670DCB"/>
    <w:rsid w:val="00670EBA"/>
    <w:rsid w:val="00671010"/>
    <w:rsid w:val="0067106F"/>
    <w:rsid w:val="00671456"/>
    <w:rsid w:val="006717F5"/>
    <w:rsid w:val="00671BFA"/>
    <w:rsid w:val="00671D64"/>
    <w:rsid w:val="00671E7C"/>
    <w:rsid w:val="00671F9E"/>
    <w:rsid w:val="006720A4"/>
    <w:rsid w:val="00672393"/>
    <w:rsid w:val="00672488"/>
    <w:rsid w:val="006727A7"/>
    <w:rsid w:val="006727D4"/>
    <w:rsid w:val="006728F9"/>
    <w:rsid w:val="00672912"/>
    <w:rsid w:val="00672AE6"/>
    <w:rsid w:val="00672BC6"/>
    <w:rsid w:val="00672C37"/>
    <w:rsid w:val="00672D40"/>
    <w:rsid w:val="00672D80"/>
    <w:rsid w:val="00673127"/>
    <w:rsid w:val="00673150"/>
    <w:rsid w:val="0067323B"/>
    <w:rsid w:val="0067332D"/>
    <w:rsid w:val="00673517"/>
    <w:rsid w:val="0067352E"/>
    <w:rsid w:val="00673732"/>
    <w:rsid w:val="00673B7E"/>
    <w:rsid w:val="00673D96"/>
    <w:rsid w:val="00673F28"/>
    <w:rsid w:val="00674025"/>
    <w:rsid w:val="0067408F"/>
    <w:rsid w:val="006742A0"/>
    <w:rsid w:val="0067455A"/>
    <w:rsid w:val="006748A3"/>
    <w:rsid w:val="0067497D"/>
    <w:rsid w:val="00674A85"/>
    <w:rsid w:val="00674B40"/>
    <w:rsid w:val="006752E8"/>
    <w:rsid w:val="00675487"/>
    <w:rsid w:val="006754E8"/>
    <w:rsid w:val="006758C6"/>
    <w:rsid w:val="00675B93"/>
    <w:rsid w:val="00675F9F"/>
    <w:rsid w:val="0067624B"/>
    <w:rsid w:val="006762AC"/>
    <w:rsid w:val="006764F9"/>
    <w:rsid w:val="0067661D"/>
    <w:rsid w:val="006766A7"/>
    <w:rsid w:val="00676C47"/>
    <w:rsid w:val="00676C90"/>
    <w:rsid w:val="00676E39"/>
    <w:rsid w:val="006772AC"/>
    <w:rsid w:val="006774A8"/>
    <w:rsid w:val="006775B1"/>
    <w:rsid w:val="00677895"/>
    <w:rsid w:val="00677A2C"/>
    <w:rsid w:val="00677B32"/>
    <w:rsid w:val="00677CC8"/>
    <w:rsid w:val="0068014E"/>
    <w:rsid w:val="00680311"/>
    <w:rsid w:val="006803B5"/>
    <w:rsid w:val="006804EC"/>
    <w:rsid w:val="00680526"/>
    <w:rsid w:val="006807A4"/>
    <w:rsid w:val="00680B6B"/>
    <w:rsid w:val="00680C9C"/>
    <w:rsid w:val="00680E92"/>
    <w:rsid w:val="00681204"/>
    <w:rsid w:val="006816C0"/>
    <w:rsid w:val="00681AC9"/>
    <w:rsid w:val="00681AE4"/>
    <w:rsid w:val="00681B41"/>
    <w:rsid w:val="00681D08"/>
    <w:rsid w:val="00681EC8"/>
    <w:rsid w:val="00682043"/>
    <w:rsid w:val="0068205C"/>
    <w:rsid w:val="00682075"/>
    <w:rsid w:val="0068214F"/>
    <w:rsid w:val="00682217"/>
    <w:rsid w:val="006823E9"/>
    <w:rsid w:val="006825E6"/>
    <w:rsid w:val="00682799"/>
    <w:rsid w:val="0068289D"/>
    <w:rsid w:val="00682A1C"/>
    <w:rsid w:val="00682A47"/>
    <w:rsid w:val="00683109"/>
    <w:rsid w:val="00683275"/>
    <w:rsid w:val="0068329A"/>
    <w:rsid w:val="006832F1"/>
    <w:rsid w:val="00683434"/>
    <w:rsid w:val="00683673"/>
    <w:rsid w:val="006836EC"/>
    <w:rsid w:val="00683917"/>
    <w:rsid w:val="00683B78"/>
    <w:rsid w:val="00683BA7"/>
    <w:rsid w:val="00683D74"/>
    <w:rsid w:val="00684532"/>
    <w:rsid w:val="0068470D"/>
    <w:rsid w:val="00684794"/>
    <w:rsid w:val="00684868"/>
    <w:rsid w:val="00684A6A"/>
    <w:rsid w:val="00684C34"/>
    <w:rsid w:val="006850E5"/>
    <w:rsid w:val="00685107"/>
    <w:rsid w:val="006851D4"/>
    <w:rsid w:val="006851DD"/>
    <w:rsid w:val="0068557A"/>
    <w:rsid w:val="0068581C"/>
    <w:rsid w:val="0068598C"/>
    <w:rsid w:val="00685C97"/>
    <w:rsid w:val="00685D5F"/>
    <w:rsid w:val="00685E50"/>
    <w:rsid w:val="00686186"/>
    <w:rsid w:val="006861EA"/>
    <w:rsid w:val="006862A7"/>
    <w:rsid w:val="006863A5"/>
    <w:rsid w:val="006865E1"/>
    <w:rsid w:val="00686A3A"/>
    <w:rsid w:val="00686AA2"/>
    <w:rsid w:val="00686C8A"/>
    <w:rsid w:val="00686DE3"/>
    <w:rsid w:val="00686DE9"/>
    <w:rsid w:val="00687068"/>
    <w:rsid w:val="00687080"/>
    <w:rsid w:val="00687343"/>
    <w:rsid w:val="006873E2"/>
    <w:rsid w:val="006874F9"/>
    <w:rsid w:val="0068761C"/>
    <w:rsid w:val="006878BB"/>
    <w:rsid w:val="006879D4"/>
    <w:rsid w:val="00687AF0"/>
    <w:rsid w:val="00687B2C"/>
    <w:rsid w:val="00687FE8"/>
    <w:rsid w:val="00690392"/>
    <w:rsid w:val="006903CE"/>
    <w:rsid w:val="00690945"/>
    <w:rsid w:val="00690A2D"/>
    <w:rsid w:val="00690AA9"/>
    <w:rsid w:val="00690D3A"/>
    <w:rsid w:val="00690EF5"/>
    <w:rsid w:val="00690F1B"/>
    <w:rsid w:val="0069107B"/>
    <w:rsid w:val="006910D1"/>
    <w:rsid w:val="00691225"/>
    <w:rsid w:val="006912A9"/>
    <w:rsid w:val="006912C3"/>
    <w:rsid w:val="006912D6"/>
    <w:rsid w:val="00691486"/>
    <w:rsid w:val="006915FC"/>
    <w:rsid w:val="006916C6"/>
    <w:rsid w:val="006918C4"/>
    <w:rsid w:val="00691C4D"/>
    <w:rsid w:val="00691D3D"/>
    <w:rsid w:val="00691DCA"/>
    <w:rsid w:val="00691FEE"/>
    <w:rsid w:val="0069202E"/>
    <w:rsid w:val="00692317"/>
    <w:rsid w:val="00692409"/>
    <w:rsid w:val="006929C3"/>
    <w:rsid w:val="00692BB5"/>
    <w:rsid w:val="00693168"/>
    <w:rsid w:val="00693173"/>
    <w:rsid w:val="00693183"/>
    <w:rsid w:val="0069348B"/>
    <w:rsid w:val="00693509"/>
    <w:rsid w:val="0069352A"/>
    <w:rsid w:val="006936A1"/>
    <w:rsid w:val="006937E0"/>
    <w:rsid w:val="00693880"/>
    <w:rsid w:val="00693CE2"/>
    <w:rsid w:val="00693DF2"/>
    <w:rsid w:val="00693E8B"/>
    <w:rsid w:val="00694174"/>
    <w:rsid w:val="006942A4"/>
    <w:rsid w:val="0069432F"/>
    <w:rsid w:val="0069470C"/>
    <w:rsid w:val="00694766"/>
    <w:rsid w:val="00694A40"/>
    <w:rsid w:val="00694A94"/>
    <w:rsid w:val="00694AFB"/>
    <w:rsid w:val="00694B2D"/>
    <w:rsid w:val="00694C0D"/>
    <w:rsid w:val="00694C61"/>
    <w:rsid w:val="00694D55"/>
    <w:rsid w:val="00694E91"/>
    <w:rsid w:val="00695132"/>
    <w:rsid w:val="00695379"/>
    <w:rsid w:val="006955A7"/>
    <w:rsid w:val="00695738"/>
    <w:rsid w:val="006957E7"/>
    <w:rsid w:val="00695FB2"/>
    <w:rsid w:val="00696084"/>
    <w:rsid w:val="006965F1"/>
    <w:rsid w:val="00696A65"/>
    <w:rsid w:val="00696ADE"/>
    <w:rsid w:val="00696CF9"/>
    <w:rsid w:val="0069702C"/>
    <w:rsid w:val="00697125"/>
    <w:rsid w:val="006972F1"/>
    <w:rsid w:val="00697683"/>
    <w:rsid w:val="0069789C"/>
    <w:rsid w:val="00697A33"/>
    <w:rsid w:val="00697B9E"/>
    <w:rsid w:val="00697E00"/>
    <w:rsid w:val="006A00CC"/>
    <w:rsid w:val="006A0215"/>
    <w:rsid w:val="006A02DB"/>
    <w:rsid w:val="006A06D3"/>
    <w:rsid w:val="006A07F2"/>
    <w:rsid w:val="006A0A89"/>
    <w:rsid w:val="006A0B60"/>
    <w:rsid w:val="006A0BC6"/>
    <w:rsid w:val="006A0F3C"/>
    <w:rsid w:val="006A1214"/>
    <w:rsid w:val="006A125D"/>
    <w:rsid w:val="006A12D5"/>
    <w:rsid w:val="006A1306"/>
    <w:rsid w:val="006A1417"/>
    <w:rsid w:val="006A15C0"/>
    <w:rsid w:val="006A173E"/>
    <w:rsid w:val="006A1BA3"/>
    <w:rsid w:val="006A1DDC"/>
    <w:rsid w:val="006A1E69"/>
    <w:rsid w:val="006A1EED"/>
    <w:rsid w:val="006A1F88"/>
    <w:rsid w:val="006A2149"/>
    <w:rsid w:val="006A25A6"/>
    <w:rsid w:val="006A25A7"/>
    <w:rsid w:val="006A2CBB"/>
    <w:rsid w:val="006A2E6D"/>
    <w:rsid w:val="006A2E8E"/>
    <w:rsid w:val="006A355F"/>
    <w:rsid w:val="006A36FF"/>
    <w:rsid w:val="006A3CF0"/>
    <w:rsid w:val="006A3DF7"/>
    <w:rsid w:val="006A3FA1"/>
    <w:rsid w:val="006A4519"/>
    <w:rsid w:val="006A4717"/>
    <w:rsid w:val="006A472C"/>
    <w:rsid w:val="006A4AA4"/>
    <w:rsid w:val="006A4B42"/>
    <w:rsid w:val="006A4BA3"/>
    <w:rsid w:val="006A51FB"/>
    <w:rsid w:val="006A525D"/>
    <w:rsid w:val="006A5362"/>
    <w:rsid w:val="006A537D"/>
    <w:rsid w:val="006A53E6"/>
    <w:rsid w:val="006A5412"/>
    <w:rsid w:val="006A572A"/>
    <w:rsid w:val="006A5802"/>
    <w:rsid w:val="006A5A23"/>
    <w:rsid w:val="006A5A4B"/>
    <w:rsid w:val="006A5C0C"/>
    <w:rsid w:val="006A5FEC"/>
    <w:rsid w:val="006A613F"/>
    <w:rsid w:val="006A644B"/>
    <w:rsid w:val="006A65D4"/>
    <w:rsid w:val="006A686E"/>
    <w:rsid w:val="006A6C4C"/>
    <w:rsid w:val="006A6C72"/>
    <w:rsid w:val="006A6D35"/>
    <w:rsid w:val="006A6EC7"/>
    <w:rsid w:val="006A71FF"/>
    <w:rsid w:val="006A765F"/>
    <w:rsid w:val="006A7D69"/>
    <w:rsid w:val="006B0091"/>
    <w:rsid w:val="006B01FF"/>
    <w:rsid w:val="006B021B"/>
    <w:rsid w:val="006B04D4"/>
    <w:rsid w:val="006B05BA"/>
    <w:rsid w:val="006B076A"/>
    <w:rsid w:val="006B0EC9"/>
    <w:rsid w:val="006B107C"/>
    <w:rsid w:val="006B142C"/>
    <w:rsid w:val="006B1891"/>
    <w:rsid w:val="006B1A54"/>
    <w:rsid w:val="006B1C91"/>
    <w:rsid w:val="006B1F15"/>
    <w:rsid w:val="006B247D"/>
    <w:rsid w:val="006B27C4"/>
    <w:rsid w:val="006B29A1"/>
    <w:rsid w:val="006B29E7"/>
    <w:rsid w:val="006B309C"/>
    <w:rsid w:val="006B3246"/>
    <w:rsid w:val="006B3464"/>
    <w:rsid w:val="006B353B"/>
    <w:rsid w:val="006B3565"/>
    <w:rsid w:val="006B365F"/>
    <w:rsid w:val="006B37AE"/>
    <w:rsid w:val="006B3A7D"/>
    <w:rsid w:val="006B3D5C"/>
    <w:rsid w:val="006B3DAF"/>
    <w:rsid w:val="006B3FC9"/>
    <w:rsid w:val="006B40C4"/>
    <w:rsid w:val="006B41B1"/>
    <w:rsid w:val="006B43E3"/>
    <w:rsid w:val="006B4573"/>
    <w:rsid w:val="006B4621"/>
    <w:rsid w:val="006B46AD"/>
    <w:rsid w:val="006B4AB5"/>
    <w:rsid w:val="006B4C5A"/>
    <w:rsid w:val="006B4F2F"/>
    <w:rsid w:val="006B53E2"/>
    <w:rsid w:val="006B58E0"/>
    <w:rsid w:val="006B5B2C"/>
    <w:rsid w:val="006B5F2D"/>
    <w:rsid w:val="006B60EB"/>
    <w:rsid w:val="006B6262"/>
    <w:rsid w:val="006B6366"/>
    <w:rsid w:val="006B66E5"/>
    <w:rsid w:val="006B6718"/>
    <w:rsid w:val="006B6744"/>
    <w:rsid w:val="006B687C"/>
    <w:rsid w:val="006B69FD"/>
    <w:rsid w:val="006B6EF8"/>
    <w:rsid w:val="006B719A"/>
    <w:rsid w:val="006B71BD"/>
    <w:rsid w:val="006B768B"/>
    <w:rsid w:val="006B77DB"/>
    <w:rsid w:val="006B7E2E"/>
    <w:rsid w:val="006B7E96"/>
    <w:rsid w:val="006C0024"/>
    <w:rsid w:val="006C0041"/>
    <w:rsid w:val="006C0617"/>
    <w:rsid w:val="006C0833"/>
    <w:rsid w:val="006C0947"/>
    <w:rsid w:val="006C0AF2"/>
    <w:rsid w:val="006C0BD2"/>
    <w:rsid w:val="006C100D"/>
    <w:rsid w:val="006C13D6"/>
    <w:rsid w:val="006C181D"/>
    <w:rsid w:val="006C1CCE"/>
    <w:rsid w:val="006C1DCF"/>
    <w:rsid w:val="006C1F04"/>
    <w:rsid w:val="006C206D"/>
    <w:rsid w:val="006C2142"/>
    <w:rsid w:val="006C227E"/>
    <w:rsid w:val="006C2415"/>
    <w:rsid w:val="006C25CC"/>
    <w:rsid w:val="006C26E8"/>
    <w:rsid w:val="006C2A64"/>
    <w:rsid w:val="006C2BEE"/>
    <w:rsid w:val="006C2EF3"/>
    <w:rsid w:val="006C3456"/>
    <w:rsid w:val="006C3521"/>
    <w:rsid w:val="006C3561"/>
    <w:rsid w:val="006C38F5"/>
    <w:rsid w:val="006C39A8"/>
    <w:rsid w:val="006C3A26"/>
    <w:rsid w:val="006C3B06"/>
    <w:rsid w:val="006C3BAF"/>
    <w:rsid w:val="006C3CC6"/>
    <w:rsid w:val="006C3E72"/>
    <w:rsid w:val="006C4399"/>
    <w:rsid w:val="006C443E"/>
    <w:rsid w:val="006C452F"/>
    <w:rsid w:val="006C4603"/>
    <w:rsid w:val="006C4787"/>
    <w:rsid w:val="006C48AA"/>
    <w:rsid w:val="006C4A01"/>
    <w:rsid w:val="006C4B95"/>
    <w:rsid w:val="006C4C41"/>
    <w:rsid w:val="006C4DBB"/>
    <w:rsid w:val="006C5262"/>
    <w:rsid w:val="006C544D"/>
    <w:rsid w:val="006C54E7"/>
    <w:rsid w:val="006C5B5A"/>
    <w:rsid w:val="006C5FE0"/>
    <w:rsid w:val="006C6088"/>
    <w:rsid w:val="006C6288"/>
    <w:rsid w:val="006C6341"/>
    <w:rsid w:val="006C6415"/>
    <w:rsid w:val="006C64CE"/>
    <w:rsid w:val="006C6537"/>
    <w:rsid w:val="006C65D8"/>
    <w:rsid w:val="006C6B8B"/>
    <w:rsid w:val="006C6D1D"/>
    <w:rsid w:val="006C6E40"/>
    <w:rsid w:val="006C6F38"/>
    <w:rsid w:val="006C729E"/>
    <w:rsid w:val="006C7360"/>
    <w:rsid w:val="006C7391"/>
    <w:rsid w:val="006C7487"/>
    <w:rsid w:val="006C74CC"/>
    <w:rsid w:val="006C7513"/>
    <w:rsid w:val="006C787A"/>
    <w:rsid w:val="006C7BD5"/>
    <w:rsid w:val="006C7D86"/>
    <w:rsid w:val="006C7D92"/>
    <w:rsid w:val="006C7DD3"/>
    <w:rsid w:val="006C7E30"/>
    <w:rsid w:val="006C7E32"/>
    <w:rsid w:val="006C7ED0"/>
    <w:rsid w:val="006C7F8B"/>
    <w:rsid w:val="006C7FE2"/>
    <w:rsid w:val="006D0013"/>
    <w:rsid w:val="006D01FF"/>
    <w:rsid w:val="006D0353"/>
    <w:rsid w:val="006D0587"/>
    <w:rsid w:val="006D05E0"/>
    <w:rsid w:val="006D0789"/>
    <w:rsid w:val="006D07BB"/>
    <w:rsid w:val="006D0808"/>
    <w:rsid w:val="006D08F4"/>
    <w:rsid w:val="006D0921"/>
    <w:rsid w:val="006D09DF"/>
    <w:rsid w:val="006D09F5"/>
    <w:rsid w:val="006D0C54"/>
    <w:rsid w:val="006D0DAC"/>
    <w:rsid w:val="006D0E37"/>
    <w:rsid w:val="006D112C"/>
    <w:rsid w:val="006D1286"/>
    <w:rsid w:val="006D12CA"/>
    <w:rsid w:val="006D16A9"/>
    <w:rsid w:val="006D16CF"/>
    <w:rsid w:val="006D193B"/>
    <w:rsid w:val="006D196D"/>
    <w:rsid w:val="006D1A08"/>
    <w:rsid w:val="006D1CEF"/>
    <w:rsid w:val="006D1F77"/>
    <w:rsid w:val="006D1FA8"/>
    <w:rsid w:val="006D1FAC"/>
    <w:rsid w:val="006D2052"/>
    <w:rsid w:val="006D269E"/>
    <w:rsid w:val="006D2768"/>
    <w:rsid w:val="006D29B1"/>
    <w:rsid w:val="006D2A08"/>
    <w:rsid w:val="006D2B91"/>
    <w:rsid w:val="006D2C27"/>
    <w:rsid w:val="006D2ED0"/>
    <w:rsid w:val="006D2F56"/>
    <w:rsid w:val="006D303C"/>
    <w:rsid w:val="006D3078"/>
    <w:rsid w:val="006D30F5"/>
    <w:rsid w:val="006D3105"/>
    <w:rsid w:val="006D3268"/>
    <w:rsid w:val="006D3359"/>
    <w:rsid w:val="006D34B1"/>
    <w:rsid w:val="006D35E8"/>
    <w:rsid w:val="006D3681"/>
    <w:rsid w:val="006D37A1"/>
    <w:rsid w:val="006D3843"/>
    <w:rsid w:val="006D39DF"/>
    <w:rsid w:val="006D3A03"/>
    <w:rsid w:val="006D3AAF"/>
    <w:rsid w:val="006D3DE4"/>
    <w:rsid w:val="006D401D"/>
    <w:rsid w:val="006D4030"/>
    <w:rsid w:val="006D40A1"/>
    <w:rsid w:val="006D4207"/>
    <w:rsid w:val="006D4252"/>
    <w:rsid w:val="006D44BE"/>
    <w:rsid w:val="006D45EF"/>
    <w:rsid w:val="006D482A"/>
    <w:rsid w:val="006D4C42"/>
    <w:rsid w:val="006D4E7C"/>
    <w:rsid w:val="006D4EAB"/>
    <w:rsid w:val="006D5297"/>
    <w:rsid w:val="006D558B"/>
    <w:rsid w:val="006D58AB"/>
    <w:rsid w:val="006D5999"/>
    <w:rsid w:val="006D5AF6"/>
    <w:rsid w:val="006D5D89"/>
    <w:rsid w:val="006D61D0"/>
    <w:rsid w:val="006D62BE"/>
    <w:rsid w:val="006D64B6"/>
    <w:rsid w:val="006D64EE"/>
    <w:rsid w:val="006D6509"/>
    <w:rsid w:val="006D66B9"/>
    <w:rsid w:val="006D6B71"/>
    <w:rsid w:val="006D6D12"/>
    <w:rsid w:val="006D6E60"/>
    <w:rsid w:val="006D6F1C"/>
    <w:rsid w:val="006D6F52"/>
    <w:rsid w:val="006D70B8"/>
    <w:rsid w:val="006D774D"/>
    <w:rsid w:val="006D7837"/>
    <w:rsid w:val="006D78C7"/>
    <w:rsid w:val="006D7A6B"/>
    <w:rsid w:val="006D7B22"/>
    <w:rsid w:val="006D7B57"/>
    <w:rsid w:val="006D7E39"/>
    <w:rsid w:val="006D7FD2"/>
    <w:rsid w:val="006D7FEA"/>
    <w:rsid w:val="006E0000"/>
    <w:rsid w:val="006E0066"/>
    <w:rsid w:val="006E018F"/>
    <w:rsid w:val="006E05E6"/>
    <w:rsid w:val="006E0609"/>
    <w:rsid w:val="006E0845"/>
    <w:rsid w:val="006E0A8C"/>
    <w:rsid w:val="006E0AB9"/>
    <w:rsid w:val="006E0BF5"/>
    <w:rsid w:val="006E10E4"/>
    <w:rsid w:val="006E118A"/>
    <w:rsid w:val="006E11C5"/>
    <w:rsid w:val="006E12B4"/>
    <w:rsid w:val="006E1324"/>
    <w:rsid w:val="006E146A"/>
    <w:rsid w:val="006E1935"/>
    <w:rsid w:val="006E1BDC"/>
    <w:rsid w:val="006E1FCD"/>
    <w:rsid w:val="006E2139"/>
    <w:rsid w:val="006E2330"/>
    <w:rsid w:val="006E25BB"/>
    <w:rsid w:val="006E2647"/>
    <w:rsid w:val="006E2658"/>
    <w:rsid w:val="006E26C8"/>
    <w:rsid w:val="006E2916"/>
    <w:rsid w:val="006E2A1D"/>
    <w:rsid w:val="006E2A5F"/>
    <w:rsid w:val="006E2AA1"/>
    <w:rsid w:val="006E2AA9"/>
    <w:rsid w:val="006E2D43"/>
    <w:rsid w:val="006E2D55"/>
    <w:rsid w:val="006E2F3E"/>
    <w:rsid w:val="006E2FE1"/>
    <w:rsid w:val="006E3264"/>
    <w:rsid w:val="006E3317"/>
    <w:rsid w:val="006E34FC"/>
    <w:rsid w:val="006E3712"/>
    <w:rsid w:val="006E3C73"/>
    <w:rsid w:val="006E3C7C"/>
    <w:rsid w:val="006E3D72"/>
    <w:rsid w:val="006E3D78"/>
    <w:rsid w:val="006E3EB8"/>
    <w:rsid w:val="006E4140"/>
    <w:rsid w:val="006E4541"/>
    <w:rsid w:val="006E49F6"/>
    <w:rsid w:val="006E4DD0"/>
    <w:rsid w:val="006E4DD1"/>
    <w:rsid w:val="006E534F"/>
    <w:rsid w:val="006E53DC"/>
    <w:rsid w:val="006E54AD"/>
    <w:rsid w:val="006E570B"/>
    <w:rsid w:val="006E5742"/>
    <w:rsid w:val="006E5E28"/>
    <w:rsid w:val="006E5F47"/>
    <w:rsid w:val="006E60DB"/>
    <w:rsid w:val="006E62C8"/>
    <w:rsid w:val="006E6395"/>
    <w:rsid w:val="006E64D4"/>
    <w:rsid w:val="006E6685"/>
    <w:rsid w:val="006E6A3F"/>
    <w:rsid w:val="006E6A62"/>
    <w:rsid w:val="006E6AAB"/>
    <w:rsid w:val="006E6DC7"/>
    <w:rsid w:val="006E6E31"/>
    <w:rsid w:val="006E729B"/>
    <w:rsid w:val="006E7418"/>
    <w:rsid w:val="006E75F1"/>
    <w:rsid w:val="006E7AF4"/>
    <w:rsid w:val="006E7D69"/>
    <w:rsid w:val="006E7E3E"/>
    <w:rsid w:val="006E7F11"/>
    <w:rsid w:val="006F04D7"/>
    <w:rsid w:val="006F0513"/>
    <w:rsid w:val="006F0618"/>
    <w:rsid w:val="006F0C96"/>
    <w:rsid w:val="006F102E"/>
    <w:rsid w:val="006F1089"/>
    <w:rsid w:val="006F1127"/>
    <w:rsid w:val="006F11FB"/>
    <w:rsid w:val="006F1484"/>
    <w:rsid w:val="006F14AF"/>
    <w:rsid w:val="006F17B4"/>
    <w:rsid w:val="006F189B"/>
    <w:rsid w:val="006F1B92"/>
    <w:rsid w:val="006F1D27"/>
    <w:rsid w:val="006F1E80"/>
    <w:rsid w:val="006F2101"/>
    <w:rsid w:val="006F2166"/>
    <w:rsid w:val="006F235F"/>
    <w:rsid w:val="006F2364"/>
    <w:rsid w:val="006F23DA"/>
    <w:rsid w:val="006F23EE"/>
    <w:rsid w:val="006F27ED"/>
    <w:rsid w:val="006F280E"/>
    <w:rsid w:val="006F2A6A"/>
    <w:rsid w:val="006F2F49"/>
    <w:rsid w:val="006F2FFD"/>
    <w:rsid w:val="006F32D0"/>
    <w:rsid w:val="006F33CC"/>
    <w:rsid w:val="006F36F4"/>
    <w:rsid w:val="006F3816"/>
    <w:rsid w:val="006F3C0E"/>
    <w:rsid w:val="006F3CE8"/>
    <w:rsid w:val="006F3D9A"/>
    <w:rsid w:val="006F3E70"/>
    <w:rsid w:val="006F407D"/>
    <w:rsid w:val="006F4114"/>
    <w:rsid w:val="006F43D0"/>
    <w:rsid w:val="006F458C"/>
    <w:rsid w:val="006F4C57"/>
    <w:rsid w:val="006F4DD9"/>
    <w:rsid w:val="006F4E14"/>
    <w:rsid w:val="006F5233"/>
    <w:rsid w:val="006F5B14"/>
    <w:rsid w:val="006F5BD0"/>
    <w:rsid w:val="006F5BDB"/>
    <w:rsid w:val="006F5F2D"/>
    <w:rsid w:val="006F61B9"/>
    <w:rsid w:val="006F627A"/>
    <w:rsid w:val="006F6399"/>
    <w:rsid w:val="006F6472"/>
    <w:rsid w:val="006F6710"/>
    <w:rsid w:val="006F68E1"/>
    <w:rsid w:val="006F6A58"/>
    <w:rsid w:val="006F6C47"/>
    <w:rsid w:val="006F6DDC"/>
    <w:rsid w:val="006F6FAF"/>
    <w:rsid w:val="006F6FE3"/>
    <w:rsid w:val="006F712B"/>
    <w:rsid w:val="006F7167"/>
    <w:rsid w:val="006F7173"/>
    <w:rsid w:val="006F7197"/>
    <w:rsid w:val="006F73BF"/>
    <w:rsid w:val="006F7403"/>
    <w:rsid w:val="006F74AB"/>
    <w:rsid w:val="006F76E3"/>
    <w:rsid w:val="006F7787"/>
    <w:rsid w:val="006F78DD"/>
    <w:rsid w:val="006F7934"/>
    <w:rsid w:val="006F79B8"/>
    <w:rsid w:val="006F7A6B"/>
    <w:rsid w:val="007000C5"/>
    <w:rsid w:val="00700340"/>
    <w:rsid w:val="00700373"/>
    <w:rsid w:val="00700427"/>
    <w:rsid w:val="00700574"/>
    <w:rsid w:val="00700775"/>
    <w:rsid w:val="00700B05"/>
    <w:rsid w:val="00700EB5"/>
    <w:rsid w:val="00700EF8"/>
    <w:rsid w:val="00701286"/>
    <w:rsid w:val="007013B7"/>
    <w:rsid w:val="007013DF"/>
    <w:rsid w:val="00701446"/>
    <w:rsid w:val="007017B3"/>
    <w:rsid w:val="0070181C"/>
    <w:rsid w:val="007019CA"/>
    <w:rsid w:val="00701ACD"/>
    <w:rsid w:val="00701C7C"/>
    <w:rsid w:val="00701D02"/>
    <w:rsid w:val="00701E62"/>
    <w:rsid w:val="00701EE3"/>
    <w:rsid w:val="00701F33"/>
    <w:rsid w:val="00701FC7"/>
    <w:rsid w:val="007021FA"/>
    <w:rsid w:val="00702856"/>
    <w:rsid w:val="00702859"/>
    <w:rsid w:val="0070300C"/>
    <w:rsid w:val="00703510"/>
    <w:rsid w:val="00703548"/>
    <w:rsid w:val="007035DF"/>
    <w:rsid w:val="00703A0B"/>
    <w:rsid w:val="00703A90"/>
    <w:rsid w:val="00703B40"/>
    <w:rsid w:val="00703C38"/>
    <w:rsid w:val="00703C4B"/>
    <w:rsid w:val="00703C81"/>
    <w:rsid w:val="00703F78"/>
    <w:rsid w:val="0070406F"/>
    <w:rsid w:val="00704074"/>
    <w:rsid w:val="0070411B"/>
    <w:rsid w:val="00704163"/>
    <w:rsid w:val="0070446C"/>
    <w:rsid w:val="00704645"/>
    <w:rsid w:val="007046AB"/>
    <w:rsid w:val="007047FA"/>
    <w:rsid w:val="007049C0"/>
    <w:rsid w:val="00704A30"/>
    <w:rsid w:val="00704A77"/>
    <w:rsid w:val="00704B86"/>
    <w:rsid w:val="00704B94"/>
    <w:rsid w:val="00704DB1"/>
    <w:rsid w:val="00704DF7"/>
    <w:rsid w:val="007051FC"/>
    <w:rsid w:val="007054A3"/>
    <w:rsid w:val="0070551A"/>
    <w:rsid w:val="00705615"/>
    <w:rsid w:val="00705735"/>
    <w:rsid w:val="00705DAD"/>
    <w:rsid w:val="00705E86"/>
    <w:rsid w:val="0070628F"/>
    <w:rsid w:val="0070641A"/>
    <w:rsid w:val="007064B0"/>
    <w:rsid w:val="007064E8"/>
    <w:rsid w:val="007065A4"/>
    <w:rsid w:val="007066E3"/>
    <w:rsid w:val="00706729"/>
    <w:rsid w:val="0070687F"/>
    <w:rsid w:val="00706A29"/>
    <w:rsid w:val="00706A46"/>
    <w:rsid w:val="00706CB3"/>
    <w:rsid w:val="00706D21"/>
    <w:rsid w:val="00706F73"/>
    <w:rsid w:val="0070709D"/>
    <w:rsid w:val="00707231"/>
    <w:rsid w:val="00707E52"/>
    <w:rsid w:val="00707EBF"/>
    <w:rsid w:val="00707F10"/>
    <w:rsid w:val="00707FA1"/>
    <w:rsid w:val="00710008"/>
    <w:rsid w:val="007100C4"/>
    <w:rsid w:val="0071013F"/>
    <w:rsid w:val="0071028D"/>
    <w:rsid w:val="007104BA"/>
    <w:rsid w:val="007104F5"/>
    <w:rsid w:val="0071086B"/>
    <w:rsid w:val="0071092F"/>
    <w:rsid w:val="007109CA"/>
    <w:rsid w:val="007109F9"/>
    <w:rsid w:val="00710AF4"/>
    <w:rsid w:val="00710C16"/>
    <w:rsid w:val="00710C59"/>
    <w:rsid w:val="00710FD9"/>
    <w:rsid w:val="00711109"/>
    <w:rsid w:val="0071112B"/>
    <w:rsid w:val="00711217"/>
    <w:rsid w:val="0071137E"/>
    <w:rsid w:val="00711454"/>
    <w:rsid w:val="00711522"/>
    <w:rsid w:val="00711571"/>
    <w:rsid w:val="0071157E"/>
    <w:rsid w:val="00711611"/>
    <w:rsid w:val="007117CE"/>
    <w:rsid w:val="00711D28"/>
    <w:rsid w:val="00711D56"/>
    <w:rsid w:val="00711E81"/>
    <w:rsid w:val="00711ECC"/>
    <w:rsid w:val="007123B0"/>
    <w:rsid w:val="00712666"/>
    <w:rsid w:val="0071283C"/>
    <w:rsid w:val="00712A92"/>
    <w:rsid w:val="00712AEE"/>
    <w:rsid w:val="00712B6F"/>
    <w:rsid w:val="00712C72"/>
    <w:rsid w:val="00712E63"/>
    <w:rsid w:val="00712EFC"/>
    <w:rsid w:val="00712FEC"/>
    <w:rsid w:val="00713005"/>
    <w:rsid w:val="0071388A"/>
    <w:rsid w:val="007139D8"/>
    <w:rsid w:val="00713CB1"/>
    <w:rsid w:val="00713F91"/>
    <w:rsid w:val="007140DB"/>
    <w:rsid w:val="007143C6"/>
    <w:rsid w:val="007146E3"/>
    <w:rsid w:val="007149A4"/>
    <w:rsid w:val="00714A64"/>
    <w:rsid w:val="00714A81"/>
    <w:rsid w:val="00714F19"/>
    <w:rsid w:val="00714F1A"/>
    <w:rsid w:val="007151AA"/>
    <w:rsid w:val="007154A0"/>
    <w:rsid w:val="00715615"/>
    <w:rsid w:val="00715643"/>
    <w:rsid w:val="007156B8"/>
    <w:rsid w:val="00715857"/>
    <w:rsid w:val="00715ADC"/>
    <w:rsid w:val="00715B3D"/>
    <w:rsid w:val="00715EBB"/>
    <w:rsid w:val="00715FE4"/>
    <w:rsid w:val="00716370"/>
    <w:rsid w:val="007165CF"/>
    <w:rsid w:val="007166A0"/>
    <w:rsid w:val="007169C8"/>
    <w:rsid w:val="00716AE8"/>
    <w:rsid w:val="00716FD2"/>
    <w:rsid w:val="00717078"/>
    <w:rsid w:val="007174ED"/>
    <w:rsid w:val="00717889"/>
    <w:rsid w:val="00717976"/>
    <w:rsid w:val="00717AD5"/>
    <w:rsid w:val="00717E78"/>
    <w:rsid w:val="00717EE0"/>
    <w:rsid w:val="00717F69"/>
    <w:rsid w:val="00720102"/>
    <w:rsid w:val="007203A2"/>
    <w:rsid w:val="00720A6E"/>
    <w:rsid w:val="00720F97"/>
    <w:rsid w:val="0072103D"/>
    <w:rsid w:val="0072159D"/>
    <w:rsid w:val="007216BE"/>
    <w:rsid w:val="007217E1"/>
    <w:rsid w:val="00721A14"/>
    <w:rsid w:val="00721AEB"/>
    <w:rsid w:val="00721B9F"/>
    <w:rsid w:val="00721BF6"/>
    <w:rsid w:val="00721CDD"/>
    <w:rsid w:val="00721F3F"/>
    <w:rsid w:val="0072206B"/>
    <w:rsid w:val="00722193"/>
    <w:rsid w:val="0072249B"/>
    <w:rsid w:val="007227B6"/>
    <w:rsid w:val="007229D9"/>
    <w:rsid w:val="007229E4"/>
    <w:rsid w:val="00722A42"/>
    <w:rsid w:val="00722A60"/>
    <w:rsid w:val="00722B2F"/>
    <w:rsid w:val="00722DDB"/>
    <w:rsid w:val="007232F8"/>
    <w:rsid w:val="00723365"/>
    <w:rsid w:val="0072338C"/>
    <w:rsid w:val="007233CE"/>
    <w:rsid w:val="0072353A"/>
    <w:rsid w:val="007236B8"/>
    <w:rsid w:val="0072380E"/>
    <w:rsid w:val="0072386B"/>
    <w:rsid w:val="007238EB"/>
    <w:rsid w:val="00723965"/>
    <w:rsid w:val="00723AFE"/>
    <w:rsid w:val="0072404A"/>
    <w:rsid w:val="007242B1"/>
    <w:rsid w:val="0072436E"/>
    <w:rsid w:val="0072461D"/>
    <w:rsid w:val="00724780"/>
    <w:rsid w:val="007249AC"/>
    <w:rsid w:val="00724DFA"/>
    <w:rsid w:val="00724F13"/>
    <w:rsid w:val="00724F74"/>
    <w:rsid w:val="0072563D"/>
    <w:rsid w:val="00725C87"/>
    <w:rsid w:val="00725DEE"/>
    <w:rsid w:val="007260BE"/>
    <w:rsid w:val="00726525"/>
    <w:rsid w:val="00726714"/>
    <w:rsid w:val="00726722"/>
    <w:rsid w:val="00726857"/>
    <w:rsid w:val="0072689A"/>
    <w:rsid w:val="00726B3E"/>
    <w:rsid w:val="00726B91"/>
    <w:rsid w:val="007273B0"/>
    <w:rsid w:val="0072752D"/>
    <w:rsid w:val="0072771B"/>
    <w:rsid w:val="0072775F"/>
    <w:rsid w:val="00727785"/>
    <w:rsid w:val="00727B9A"/>
    <w:rsid w:val="00727E59"/>
    <w:rsid w:val="00727FEC"/>
    <w:rsid w:val="00730168"/>
    <w:rsid w:val="007301BE"/>
    <w:rsid w:val="007301DB"/>
    <w:rsid w:val="0073025E"/>
    <w:rsid w:val="00730270"/>
    <w:rsid w:val="007308A3"/>
    <w:rsid w:val="00730A99"/>
    <w:rsid w:val="00730AFF"/>
    <w:rsid w:val="00730CD7"/>
    <w:rsid w:val="00730EC7"/>
    <w:rsid w:val="00730F41"/>
    <w:rsid w:val="00730F8B"/>
    <w:rsid w:val="007310B0"/>
    <w:rsid w:val="00731113"/>
    <w:rsid w:val="007312DF"/>
    <w:rsid w:val="007312F5"/>
    <w:rsid w:val="00731446"/>
    <w:rsid w:val="007314E6"/>
    <w:rsid w:val="007315A6"/>
    <w:rsid w:val="00731624"/>
    <w:rsid w:val="00731A13"/>
    <w:rsid w:val="00731CF2"/>
    <w:rsid w:val="00731E88"/>
    <w:rsid w:val="00731E97"/>
    <w:rsid w:val="00731ED5"/>
    <w:rsid w:val="00731F52"/>
    <w:rsid w:val="007323D8"/>
    <w:rsid w:val="00732663"/>
    <w:rsid w:val="00732708"/>
    <w:rsid w:val="00732730"/>
    <w:rsid w:val="00732CB2"/>
    <w:rsid w:val="00732D49"/>
    <w:rsid w:val="00732DD1"/>
    <w:rsid w:val="00732F79"/>
    <w:rsid w:val="00732FA8"/>
    <w:rsid w:val="00733226"/>
    <w:rsid w:val="00733294"/>
    <w:rsid w:val="007332E1"/>
    <w:rsid w:val="0073339B"/>
    <w:rsid w:val="00733501"/>
    <w:rsid w:val="0073374D"/>
    <w:rsid w:val="00733C35"/>
    <w:rsid w:val="00733DD0"/>
    <w:rsid w:val="00733F1F"/>
    <w:rsid w:val="00734230"/>
    <w:rsid w:val="007342C0"/>
    <w:rsid w:val="00734708"/>
    <w:rsid w:val="0073494D"/>
    <w:rsid w:val="00734F0C"/>
    <w:rsid w:val="007352CA"/>
    <w:rsid w:val="007353F2"/>
    <w:rsid w:val="00735481"/>
    <w:rsid w:val="00735791"/>
    <w:rsid w:val="00735C53"/>
    <w:rsid w:val="0073640F"/>
    <w:rsid w:val="0073658F"/>
    <w:rsid w:val="007365FE"/>
    <w:rsid w:val="00736B4F"/>
    <w:rsid w:val="00736D83"/>
    <w:rsid w:val="00736E8D"/>
    <w:rsid w:val="00737227"/>
    <w:rsid w:val="00737253"/>
    <w:rsid w:val="0073727F"/>
    <w:rsid w:val="0073754B"/>
    <w:rsid w:val="00737980"/>
    <w:rsid w:val="007379F1"/>
    <w:rsid w:val="00737A13"/>
    <w:rsid w:val="00737A6B"/>
    <w:rsid w:val="00737BE0"/>
    <w:rsid w:val="00737D02"/>
    <w:rsid w:val="00737ED1"/>
    <w:rsid w:val="007403DF"/>
    <w:rsid w:val="007405D8"/>
    <w:rsid w:val="007407BA"/>
    <w:rsid w:val="007409F9"/>
    <w:rsid w:val="00740C57"/>
    <w:rsid w:val="00740E5A"/>
    <w:rsid w:val="00741026"/>
    <w:rsid w:val="007410C0"/>
    <w:rsid w:val="007411E0"/>
    <w:rsid w:val="007414D4"/>
    <w:rsid w:val="007416AF"/>
    <w:rsid w:val="00741794"/>
    <w:rsid w:val="007417AA"/>
    <w:rsid w:val="00741947"/>
    <w:rsid w:val="00741B75"/>
    <w:rsid w:val="00741D35"/>
    <w:rsid w:val="00741DDC"/>
    <w:rsid w:val="007420E2"/>
    <w:rsid w:val="007422DB"/>
    <w:rsid w:val="00742332"/>
    <w:rsid w:val="00742538"/>
    <w:rsid w:val="00742562"/>
    <w:rsid w:val="0074262E"/>
    <w:rsid w:val="00742677"/>
    <w:rsid w:val="00742806"/>
    <w:rsid w:val="0074288B"/>
    <w:rsid w:val="007428B1"/>
    <w:rsid w:val="00742C47"/>
    <w:rsid w:val="00742D38"/>
    <w:rsid w:val="00742F15"/>
    <w:rsid w:val="00742F29"/>
    <w:rsid w:val="00743348"/>
    <w:rsid w:val="007433D3"/>
    <w:rsid w:val="0074342D"/>
    <w:rsid w:val="007435C8"/>
    <w:rsid w:val="007437B9"/>
    <w:rsid w:val="0074416F"/>
    <w:rsid w:val="007443F1"/>
    <w:rsid w:val="007448C9"/>
    <w:rsid w:val="00744A2A"/>
    <w:rsid w:val="00744A95"/>
    <w:rsid w:val="00744B2F"/>
    <w:rsid w:val="00744CD9"/>
    <w:rsid w:val="007451EA"/>
    <w:rsid w:val="00745475"/>
    <w:rsid w:val="0074578D"/>
    <w:rsid w:val="007457D8"/>
    <w:rsid w:val="00745A95"/>
    <w:rsid w:val="00745CD5"/>
    <w:rsid w:val="00746079"/>
    <w:rsid w:val="00746440"/>
    <w:rsid w:val="007468A1"/>
    <w:rsid w:val="00746C8E"/>
    <w:rsid w:val="00746CB1"/>
    <w:rsid w:val="00746F44"/>
    <w:rsid w:val="00747071"/>
    <w:rsid w:val="007470BD"/>
    <w:rsid w:val="00747499"/>
    <w:rsid w:val="00747931"/>
    <w:rsid w:val="0074798B"/>
    <w:rsid w:val="00747A0C"/>
    <w:rsid w:val="00747C59"/>
    <w:rsid w:val="00747D2A"/>
    <w:rsid w:val="00747E67"/>
    <w:rsid w:val="00747F55"/>
    <w:rsid w:val="00750238"/>
    <w:rsid w:val="007505CB"/>
    <w:rsid w:val="007506AC"/>
    <w:rsid w:val="00750749"/>
    <w:rsid w:val="00750847"/>
    <w:rsid w:val="00750AD5"/>
    <w:rsid w:val="007513CF"/>
    <w:rsid w:val="00751461"/>
    <w:rsid w:val="0075146F"/>
    <w:rsid w:val="00751A48"/>
    <w:rsid w:val="00751DA8"/>
    <w:rsid w:val="00752157"/>
    <w:rsid w:val="007521E1"/>
    <w:rsid w:val="00752365"/>
    <w:rsid w:val="00752487"/>
    <w:rsid w:val="0075290B"/>
    <w:rsid w:val="00752B56"/>
    <w:rsid w:val="00752D9E"/>
    <w:rsid w:val="00752DFE"/>
    <w:rsid w:val="00752F0C"/>
    <w:rsid w:val="00752F90"/>
    <w:rsid w:val="00753018"/>
    <w:rsid w:val="007531A0"/>
    <w:rsid w:val="007531B7"/>
    <w:rsid w:val="007539B6"/>
    <w:rsid w:val="00753C68"/>
    <w:rsid w:val="00753E3A"/>
    <w:rsid w:val="00754191"/>
    <w:rsid w:val="007542BB"/>
    <w:rsid w:val="007542EA"/>
    <w:rsid w:val="007543FF"/>
    <w:rsid w:val="00754531"/>
    <w:rsid w:val="0075480A"/>
    <w:rsid w:val="0075485B"/>
    <w:rsid w:val="00754AF2"/>
    <w:rsid w:val="00754B39"/>
    <w:rsid w:val="00754CAB"/>
    <w:rsid w:val="00754DE0"/>
    <w:rsid w:val="0075547F"/>
    <w:rsid w:val="00755797"/>
    <w:rsid w:val="00755B60"/>
    <w:rsid w:val="00755B6F"/>
    <w:rsid w:val="00755BD1"/>
    <w:rsid w:val="00755C5E"/>
    <w:rsid w:val="00755EBE"/>
    <w:rsid w:val="00756498"/>
    <w:rsid w:val="0075671C"/>
    <w:rsid w:val="007569F7"/>
    <w:rsid w:val="00757205"/>
    <w:rsid w:val="00757370"/>
    <w:rsid w:val="00757650"/>
    <w:rsid w:val="00757791"/>
    <w:rsid w:val="0075794A"/>
    <w:rsid w:val="00757D38"/>
    <w:rsid w:val="00757D66"/>
    <w:rsid w:val="00757E3D"/>
    <w:rsid w:val="00757E72"/>
    <w:rsid w:val="00760002"/>
    <w:rsid w:val="007601A3"/>
    <w:rsid w:val="007604FF"/>
    <w:rsid w:val="0076082F"/>
    <w:rsid w:val="0076095E"/>
    <w:rsid w:val="00760B0C"/>
    <w:rsid w:val="00760E32"/>
    <w:rsid w:val="00760ED1"/>
    <w:rsid w:val="00761202"/>
    <w:rsid w:val="0076139A"/>
    <w:rsid w:val="0076141B"/>
    <w:rsid w:val="00761541"/>
    <w:rsid w:val="00761842"/>
    <w:rsid w:val="007619CA"/>
    <w:rsid w:val="00761D4C"/>
    <w:rsid w:val="007620FB"/>
    <w:rsid w:val="007621D4"/>
    <w:rsid w:val="00762400"/>
    <w:rsid w:val="0076241C"/>
    <w:rsid w:val="007626E6"/>
    <w:rsid w:val="0076281C"/>
    <w:rsid w:val="007629D5"/>
    <w:rsid w:val="00762D99"/>
    <w:rsid w:val="00762FA9"/>
    <w:rsid w:val="00762FFC"/>
    <w:rsid w:val="00763035"/>
    <w:rsid w:val="00763348"/>
    <w:rsid w:val="007635CB"/>
    <w:rsid w:val="00763836"/>
    <w:rsid w:val="00763B8C"/>
    <w:rsid w:val="00763CBF"/>
    <w:rsid w:val="00763E04"/>
    <w:rsid w:val="007647B2"/>
    <w:rsid w:val="00764938"/>
    <w:rsid w:val="00764A74"/>
    <w:rsid w:val="00764B66"/>
    <w:rsid w:val="00764C5C"/>
    <w:rsid w:val="007650E4"/>
    <w:rsid w:val="0076516D"/>
    <w:rsid w:val="00765238"/>
    <w:rsid w:val="00765288"/>
    <w:rsid w:val="0076534C"/>
    <w:rsid w:val="007655DF"/>
    <w:rsid w:val="00765691"/>
    <w:rsid w:val="0076578D"/>
    <w:rsid w:val="00765963"/>
    <w:rsid w:val="00765A3E"/>
    <w:rsid w:val="00765AA3"/>
    <w:rsid w:val="00765BED"/>
    <w:rsid w:val="00765D01"/>
    <w:rsid w:val="00765DE9"/>
    <w:rsid w:val="00765EF6"/>
    <w:rsid w:val="00765EF7"/>
    <w:rsid w:val="00766050"/>
    <w:rsid w:val="007660B7"/>
    <w:rsid w:val="007660EE"/>
    <w:rsid w:val="007665F2"/>
    <w:rsid w:val="007667E1"/>
    <w:rsid w:val="007668E7"/>
    <w:rsid w:val="007669A4"/>
    <w:rsid w:val="007669C0"/>
    <w:rsid w:val="00766A0E"/>
    <w:rsid w:val="00766A82"/>
    <w:rsid w:val="00766A9A"/>
    <w:rsid w:val="00766B20"/>
    <w:rsid w:val="00766CC2"/>
    <w:rsid w:val="00766F5B"/>
    <w:rsid w:val="0076711F"/>
    <w:rsid w:val="0076713A"/>
    <w:rsid w:val="007674FF"/>
    <w:rsid w:val="00767790"/>
    <w:rsid w:val="007677E2"/>
    <w:rsid w:val="007678CD"/>
    <w:rsid w:val="00767958"/>
    <w:rsid w:val="00767AE4"/>
    <w:rsid w:val="00767B3A"/>
    <w:rsid w:val="00767BAC"/>
    <w:rsid w:val="00767CAC"/>
    <w:rsid w:val="00767D12"/>
    <w:rsid w:val="00767D85"/>
    <w:rsid w:val="00770270"/>
    <w:rsid w:val="00770423"/>
    <w:rsid w:val="0077090E"/>
    <w:rsid w:val="00770A17"/>
    <w:rsid w:val="00770B10"/>
    <w:rsid w:val="00770B2E"/>
    <w:rsid w:val="00770C36"/>
    <w:rsid w:val="007711A2"/>
    <w:rsid w:val="0077138D"/>
    <w:rsid w:val="00771613"/>
    <w:rsid w:val="007716C1"/>
    <w:rsid w:val="00771837"/>
    <w:rsid w:val="00771B7F"/>
    <w:rsid w:val="00771CD9"/>
    <w:rsid w:val="00771FCE"/>
    <w:rsid w:val="00771FE4"/>
    <w:rsid w:val="0077215C"/>
    <w:rsid w:val="00772196"/>
    <w:rsid w:val="0077240C"/>
    <w:rsid w:val="0077270E"/>
    <w:rsid w:val="00772710"/>
    <w:rsid w:val="00772755"/>
    <w:rsid w:val="00772791"/>
    <w:rsid w:val="00772B62"/>
    <w:rsid w:val="00772CE9"/>
    <w:rsid w:val="00772DD3"/>
    <w:rsid w:val="00772E26"/>
    <w:rsid w:val="007732A8"/>
    <w:rsid w:val="00773376"/>
    <w:rsid w:val="007735B2"/>
    <w:rsid w:val="007735EF"/>
    <w:rsid w:val="007738A8"/>
    <w:rsid w:val="00773E06"/>
    <w:rsid w:val="00773FF5"/>
    <w:rsid w:val="007741EB"/>
    <w:rsid w:val="00774238"/>
    <w:rsid w:val="00774510"/>
    <w:rsid w:val="00774539"/>
    <w:rsid w:val="00774AFB"/>
    <w:rsid w:val="00774CA9"/>
    <w:rsid w:val="00774F38"/>
    <w:rsid w:val="0077505C"/>
    <w:rsid w:val="007750E2"/>
    <w:rsid w:val="00775611"/>
    <w:rsid w:val="00775B2D"/>
    <w:rsid w:val="00775BD6"/>
    <w:rsid w:val="00775FB0"/>
    <w:rsid w:val="00776017"/>
    <w:rsid w:val="0077655A"/>
    <w:rsid w:val="007765F4"/>
    <w:rsid w:val="00776C8B"/>
    <w:rsid w:val="00776FF0"/>
    <w:rsid w:val="0077703E"/>
    <w:rsid w:val="0077728C"/>
    <w:rsid w:val="007772FF"/>
    <w:rsid w:val="007775FB"/>
    <w:rsid w:val="0077774B"/>
    <w:rsid w:val="00777A30"/>
    <w:rsid w:val="00777E7E"/>
    <w:rsid w:val="00777ED2"/>
    <w:rsid w:val="007800A8"/>
    <w:rsid w:val="007801A5"/>
    <w:rsid w:val="007803BE"/>
    <w:rsid w:val="00780606"/>
    <w:rsid w:val="0078064E"/>
    <w:rsid w:val="00780677"/>
    <w:rsid w:val="00780707"/>
    <w:rsid w:val="007807B5"/>
    <w:rsid w:val="00780D05"/>
    <w:rsid w:val="00780D2D"/>
    <w:rsid w:val="00780E83"/>
    <w:rsid w:val="00780E99"/>
    <w:rsid w:val="00781133"/>
    <w:rsid w:val="0078113A"/>
    <w:rsid w:val="00781281"/>
    <w:rsid w:val="007812FD"/>
    <w:rsid w:val="0078137B"/>
    <w:rsid w:val="007816DD"/>
    <w:rsid w:val="00781712"/>
    <w:rsid w:val="007818CB"/>
    <w:rsid w:val="00781959"/>
    <w:rsid w:val="00781A54"/>
    <w:rsid w:val="00781C19"/>
    <w:rsid w:val="007820F1"/>
    <w:rsid w:val="00782284"/>
    <w:rsid w:val="00782439"/>
    <w:rsid w:val="0078265A"/>
    <w:rsid w:val="007827BB"/>
    <w:rsid w:val="007828BB"/>
    <w:rsid w:val="00782E60"/>
    <w:rsid w:val="007831DD"/>
    <w:rsid w:val="00783214"/>
    <w:rsid w:val="007832C1"/>
    <w:rsid w:val="007832ED"/>
    <w:rsid w:val="00783330"/>
    <w:rsid w:val="007833BF"/>
    <w:rsid w:val="00783B33"/>
    <w:rsid w:val="00783D23"/>
    <w:rsid w:val="00783ED8"/>
    <w:rsid w:val="00783F1C"/>
    <w:rsid w:val="0078416E"/>
    <w:rsid w:val="007843F7"/>
    <w:rsid w:val="00784476"/>
    <w:rsid w:val="007845E4"/>
    <w:rsid w:val="00784A45"/>
    <w:rsid w:val="00784F20"/>
    <w:rsid w:val="0078509B"/>
    <w:rsid w:val="0078562A"/>
    <w:rsid w:val="007859AD"/>
    <w:rsid w:val="00785C1A"/>
    <w:rsid w:val="00785D09"/>
    <w:rsid w:val="00785E69"/>
    <w:rsid w:val="00786446"/>
    <w:rsid w:val="0078677D"/>
    <w:rsid w:val="007867E9"/>
    <w:rsid w:val="00786D20"/>
    <w:rsid w:val="00786E87"/>
    <w:rsid w:val="0078779E"/>
    <w:rsid w:val="00787801"/>
    <w:rsid w:val="00787885"/>
    <w:rsid w:val="00787C73"/>
    <w:rsid w:val="00787D12"/>
    <w:rsid w:val="00787D3B"/>
    <w:rsid w:val="00787D9C"/>
    <w:rsid w:val="0079018E"/>
    <w:rsid w:val="00790213"/>
    <w:rsid w:val="00790327"/>
    <w:rsid w:val="00790374"/>
    <w:rsid w:val="007903EA"/>
    <w:rsid w:val="00790656"/>
    <w:rsid w:val="007906C7"/>
    <w:rsid w:val="007906D4"/>
    <w:rsid w:val="007907EE"/>
    <w:rsid w:val="007908C2"/>
    <w:rsid w:val="0079113F"/>
    <w:rsid w:val="00791186"/>
    <w:rsid w:val="00791255"/>
    <w:rsid w:val="007912CC"/>
    <w:rsid w:val="007914F4"/>
    <w:rsid w:val="0079174C"/>
    <w:rsid w:val="00791A20"/>
    <w:rsid w:val="00791A9A"/>
    <w:rsid w:val="00791B09"/>
    <w:rsid w:val="00791BAD"/>
    <w:rsid w:val="00791D02"/>
    <w:rsid w:val="007921F8"/>
    <w:rsid w:val="007924A0"/>
    <w:rsid w:val="00792915"/>
    <w:rsid w:val="00792AF6"/>
    <w:rsid w:val="0079339D"/>
    <w:rsid w:val="007935B3"/>
    <w:rsid w:val="00793711"/>
    <w:rsid w:val="00793AC2"/>
    <w:rsid w:val="00793D90"/>
    <w:rsid w:val="0079406B"/>
    <w:rsid w:val="007940D9"/>
    <w:rsid w:val="00794174"/>
    <w:rsid w:val="0079427E"/>
    <w:rsid w:val="007943B2"/>
    <w:rsid w:val="0079444F"/>
    <w:rsid w:val="007946B9"/>
    <w:rsid w:val="00794782"/>
    <w:rsid w:val="00794B71"/>
    <w:rsid w:val="00794D09"/>
    <w:rsid w:val="00794DE7"/>
    <w:rsid w:val="00794F06"/>
    <w:rsid w:val="0079533D"/>
    <w:rsid w:val="00795694"/>
    <w:rsid w:val="0079574B"/>
    <w:rsid w:val="0079588F"/>
    <w:rsid w:val="00795B2A"/>
    <w:rsid w:val="00795CFD"/>
    <w:rsid w:val="00795EED"/>
    <w:rsid w:val="0079605B"/>
    <w:rsid w:val="00796099"/>
    <w:rsid w:val="00796322"/>
    <w:rsid w:val="00796457"/>
    <w:rsid w:val="00796623"/>
    <w:rsid w:val="00796642"/>
    <w:rsid w:val="00796689"/>
    <w:rsid w:val="007966DE"/>
    <w:rsid w:val="00796866"/>
    <w:rsid w:val="00796D70"/>
    <w:rsid w:val="00796FEF"/>
    <w:rsid w:val="00797259"/>
    <w:rsid w:val="00797586"/>
    <w:rsid w:val="00797588"/>
    <w:rsid w:val="00797775"/>
    <w:rsid w:val="0079784B"/>
    <w:rsid w:val="00797963"/>
    <w:rsid w:val="00797967"/>
    <w:rsid w:val="00797D72"/>
    <w:rsid w:val="00797E80"/>
    <w:rsid w:val="007A0276"/>
    <w:rsid w:val="007A0543"/>
    <w:rsid w:val="007A075B"/>
    <w:rsid w:val="007A085E"/>
    <w:rsid w:val="007A0878"/>
    <w:rsid w:val="007A09D8"/>
    <w:rsid w:val="007A0E0F"/>
    <w:rsid w:val="007A10BE"/>
    <w:rsid w:val="007A10F4"/>
    <w:rsid w:val="007A1115"/>
    <w:rsid w:val="007A11A8"/>
    <w:rsid w:val="007A1314"/>
    <w:rsid w:val="007A1363"/>
    <w:rsid w:val="007A1456"/>
    <w:rsid w:val="007A1570"/>
    <w:rsid w:val="007A15EC"/>
    <w:rsid w:val="007A16B7"/>
    <w:rsid w:val="007A193A"/>
    <w:rsid w:val="007A1B0F"/>
    <w:rsid w:val="007A1CC6"/>
    <w:rsid w:val="007A248F"/>
    <w:rsid w:val="007A2706"/>
    <w:rsid w:val="007A29EC"/>
    <w:rsid w:val="007A2CB3"/>
    <w:rsid w:val="007A2D60"/>
    <w:rsid w:val="007A308C"/>
    <w:rsid w:val="007A32D1"/>
    <w:rsid w:val="007A32DB"/>
    <w:rsid w:val="007A33DF"/>
    <w:rsid w:val="007A3D78"/>
    <w:rsid w:val="007A419E"/>
    <w:rsid w:val="007A496B"/>
    <w:rsid w:val="007A4B47"/>
    <w:rsid w:val="007A4D3E"/>
    <w:rsid w:val="007A4E71"/>
    <w:rsid w:val="007A50C0"/>
    <w:rsid w:val="007A5314"/>
    <w:rsid w:val="007A5339"/>
    <w:rsid w:val="007A5359"/>
    <w:rsid w:val="007A5B2F"/>
    <w:rsid w:val="007A5C4F"/>
    <w:rsid w:val="007A5C65"/>
    <w:rsid w:val="007A5CA4"/>
    <w:rsid w:val="007A5D5D"/>
    <w:rsid w:val="007A620F"/>
    <w:rsid w:val="007A6335"/>
    <w:rsid w:val="007A674D"/>
    <w:rsid w:val="007A67B2"/>
    <w:rsid w:val="007A6800"/>
    <w:rsid w:val="007A7638"/>
    <w:rsid w:val="007A77D0"/>
    <w:rsid w:val="007A7C27"/>
    <w:rsid w:val="007A7E43"/>
    <w:rsid w:val="007B038E"/>
    <w:rsid w:val="007B044F"/>
    <w:rsid w:val="007B0777"/>
    <w:rsid w:val="007B09C0"/>
    <w:rsid w:val="007B09D1"/>
    <w:rsid w:val="007B0A5F"/>
    <w:rsid w:val="007B0AE7"/>
    <w:rsid w:val="007B0C29"/>
    <w:rsid w:val="007B0C73"/>
    <w:rsid w:val="007B0F4A"/>
    <w:rsid w:val="007B1075"/>
    <w:rsid w:val="007B1208"/>
    <w:rsid w:val="007B13BA"/>
    <w:rsid w:val="007B1453"/>
    <w:rsid w:val="007B1494"/>
    <w:rsid w:val="007B1597"/>
    <w:rsid w:val="007B15D7"/>
    <w:rsid w:val="007B17C8"/>
    <w:rsid w:val="007B1A62"/>
    <w:rsid w:val="007B1B5A"/>
    <w:rsid w:val="007B261A"/>
    <w:rsid w:val="007B2645"/>
    <w:rsid w:val="007B26BD"/>
    <w:rsid w:val="007B2B21"/>
    <w:rsid w:val="007B2BB7"/>
    <w:rsid w:val="007B3038"/>
    <w:rsid w:val="007B3183"/>
    <w:rsid w:val="007B3204"/>
    <w:rsid w:val="007B3E04"/>
    <w:rsid w:val="007B3EC6"/>
    <w:rsid w:val="007B3F24"/>
    <w:rsid w:val="007B4BC4"/>
    <w:rsid w:val="007B4CEC"/>
    <w:rsid w:val="007B4F1D"/>
    <w:rsid w:val="007B5386"/>
    <w:rsid w:val="007B5390"/>
    <w:rsid w:val="007B547D"/>
    <w:rsid w:val="007B5553"/>
    <w:rsid w:val="007B56D1"/>
    <w:rsid w:val="007B57DB"/>
    <w:rsid w:val="007B5DA9"/>
    <w:rsid w:val="007B61E3"/>
    <w:rsid w:val="007B62AA"/>
    <w:rsid w:val="007B6488"/>
    <w:rsid w:val="007B6924"/>
    <w:rsid w:val="007B6B30"/>
    <w:rsid w:val="007B6BFE"/>
    <w:rsid w:val="007B6DCA"/>
    <w:rsid w:val="007B7008"/>
    <w:rsid w:val="007B7081"/>
    <w:rsid w:val="007B72D6"/>
    <w:rsid w:val="007B73BB"/>
    <w:rsid w:val="007B7456"/>
    <w:rsid w:val="007B7AA1"/>
    <w:rsid w:val="007B7AD0"/>
    <w:rsid w:val="007B7BA3"/>
    <w:rsid w:val="007B7E8F"/>
    <w:rsid w:val="007B7EBC"/>
    <w:rsid w:val="007C00A8"/>
    <w:rsid w:val="007C021F"/>
    <w:rsid w:val="007C03B5"/>
    <w:rsid w:val="007C06F0"/>
    <w:rsid w:val="007C083D"/>
    <w:rsid w:val="007C08DB"/>
    <w:rsid w:val="007C0A1D"/>
    <w:rsid w:val="007C0AE0"/>
    <w:rsid w:val="007C0B42"/>
    <w:rsid w:val="007C0BD5"/>
    <w:rsid w:val="007C0C50"/>
    <w:rsid w:val="007C0FED"/>
    <w:rsid w:val="007C10B1"/>
    <w:rsid w:val="007C11CA"/>
    <w:rsid w:val="007C145D"/>
    <w:rsid w:val="007C16F9"/>
    <w:rsid w:val="007C1744"/>
    <w:rsid w:val="007C1794"/>
    <w:rsid w:val="007C17FF"/>
    <w:rsid w:val="007C1824"/>
    <w:rsid w:val="007C1875"/>
    <w:rsid w:val="007C1A06"/>
    <w:rsid w:val="007C1A8E"/>
    <w:rsid w:val="007C1AC7"/>
    <w:rsid w:val="007C1E59"/>
    <w:rsid w:val="007C1F0B"/>
    <w:rsid w:val="007C21B1"/>
    <w:rsid w:val="007C2349"/>
    <w:rsid w:val="007C25A7"/>
    <w:rsid w:val="007C264B"/>
    <w:rsid w:val="007C26E6"/>
    <w:rsid w:val="007C2712"/>
    <w:rsid w:val="007C28E6"/>
    <w:rsid w:val="007C2A8E"/>
    <w:rsid w:val="007C2C2E"/>
    <w:rsid w:val="007C2C8B"/>
    <w:rsid w:val="007C2F6C"/>
    <w:rsid w:val="007C3204"/>
    <w:rsid w:val="007C340E"/>
    <w:rsid w:val="007C35D0"/>
    <w:rsid w:val="007C364E"/>
    <w:rsid w:val="007C3A05"/>
    <w:rsid w:val="007C3A8D"/>
    <w:rsid w:val="007C3BE8"/>
    <w:rsid w:val="007C3CB7"/>
    <w:rsid w:val="007C3D73"/>
    <w:rsid w:val="007C4000"/>
    <w:rsid w:val="007C4134"/>
    <w:rsid w:val="007C4138"/>
    <w:rsid w:val="007C41CD"/>
    <w:rsid w:val="007C4395"/>
    <w:rsid w:val="007C43E9"/>
    <w:rsid w:val="007C4478"/>
    <w:rsid w:val="007C4A88"/>
    <w:rsid w:val="007C4AF1"/>
    <w:rsid w:val="007C4B2D"/>
    <w:rsid w:val="007C4CDD"/>
    <w:rsid w:val="007C4DBD"/>
    <w:rsid w:val="007C5185"/>
    <w:rsid w:val="007C5196"/>
    <w:rsid w:val="007C52FB"/>
    <w:rsid w:val="007C547C"/>
    <w:rsid w:val="007C54CB"/>
    <w:rsid w:val="007C5596"/>
    <w:rsid w:val="007C57BC"/>
    <w:rsid w:val="007C5ACF"/>
    <w:rsid w:val="007C5F6E"/>
    <w:rsid w:val="007C6153"/>
    <w:rsid w:val="007C628B"/>
    <w:rsid w:val="007C6317"/>
    <w:rsid w:val="007C65AF"/>
    <w:rsid w:val="007C679B"/>
    <w:rsid w:val="007C67FE"/>
    <w:rsid w:val="007C6832"/>
    <w:rsid w:val="007C6A46"/>
    <w:rsid w:val="007C6B15"/>
    <w:rsid w:val="007C6CFB"/>
    <w:rsid w:val="007C6D13"/>
    <w:rsid w:val="007C6D8C"/>
    <w:rsid w:val="007C6DE6"/>
    <w:rsid w:val="007C6F19"/>
    <w:rsid w:val="007C6F48"/>
    <w:rsid w:val="007C6FBE"/>
    <w:rsid w:val="007C7158"/>
    <w:rsid w:val="007C71D6"/>
    <w:rsid w:val="007C745A"/>
    <w:rsid w:val="007C76F1"/>
    <w:rsid w:val="007C76FA"/>
    <w:rsid w:val="007C7811"/>
    <w:rsid w:val="007C7992"/>
    <w:rsid w:val="007C7D98"/>
    <w:rsid w:val="007D0305"/>
    <w:rsid w:val="007D03FC"/>
    <w:rsid w:val="007D0447"/>
    <w:rsid w:val="007D047B"/>
    <w:rsid w:val="007D05E4"/>
    <w:rsid w:val="007D0A90"/>
    <w:rsid w:val="007D139A"/>
    <w:rsid w:val="007D191F"/>
    <w:rsid w:val="007D1B19"/>
    <w:rsid w:val="007D1D5D"/>
    <w:rsid w:val="007D21F3"/>
    <w:rsid w:val="007D22FE"/>
    <w:rsid w:val="007D2386"/>
    <w:rsid w:val="007D248B"/>
    <w:rsid w:val="007D275F"/>
    <w:rsid w:val="007D2924"/>
    <w:rsid w:val="007D2C0C"/>
    <w:rsid w:val="007D2C47"/>
    <w:rsid w:val="007D2E54"/>
    <w:rsid w:val="007D306B"/>
    <w:rsid w:val="007D3111"/>
    <w:rsid w:val="007D3141"/>
    <w:rsid w:val="007D3260"/>
    <w:rsid w:val="007D34A6"/>
    <w:rsid w:val="007D36A0"/>
    <w:rsid w:val="007D3CFF"/>
    <w:rsid w:val="007D3E28"/>
    <w:rsid w:val="007D3ECB"/>
    <w:rsid w:val="007D3ECE"/>
    <w:rsid w:val="007D4563"/>
    <w:rsid w:val="007D470E"/>
    <w:rsid w:val="007D4802"/>
    <w:rsid w:val="007D488D"/>
    <w:rsid w:val="007D48A5"/>
    <w:rsid w:val="007D492C"/>
    <w:rsid w:val="007D492E"/>
    <w:rsid w:val="007D4969"/>
    <w:rsid w:val="007D4E08"/>
    <w:rsid w:val="007D4F33"/>
    <w:rsid w:val="007D5452"/>
    <w:rsid w:val="007D55FE"/>
    <w:rsid w:val="007D564B"/>
    <w:rsid w:val="007D5CCD"/>
    <w:rsid w:val="007D65AF"/>
    <w:rsid w:val="007D6973"/>
    <w:rsid w:val="007D6ABA"/>
    <w:rsid w:val="007D6F46"/>
    <w:rsid w:val="007D7008"/>
    <w:rsid w:val="007D70D2"/>
    <w:rsid w:val="007D70D8"/>
    <w:rsid w:val="007D7291"/>
    <w:rsid w:val="007D735E"/>
    <w:rsid w:val="007D745F"/>
    <w:rsid w:val="007D746C"/>
    <w:rsid w:val="007D7561"/>
    <w:rsid w:val="007D7A72"/>
    <w:rsid w:val="007D7ACF"/>
    <w:rsid w:val="007D7C15"/>
    <w:rsid w:val="007E056C"/>
    <w:rsid w:val="007E090B"/>
    <w:rsid w:val="007E0BB3"/>
    <w:rsid w:val="007E0BDB"/>
    <w:rsid w:val="007E0CC9"/>
    <w:rsid w:val="007E0CCB"/>
    <w:rsid w:val="007E0D20"/>
    <w:rsid w:val="007E0DAE"/>
    <w:rsid w:val="007E1065"/>
    <w:rsid w:val="007E109E"/>
    <w:rsid w:val="007E1145"/>
    <w:rsid w:val="007E17ED"/>
    <w:rsid w:val="007E1818"/>
    <w:rsid w:val="007E18B6"/>
    <w:rsid w:val="007E18F9"/>
    <w:rsid w:val="007E1AB6"/>
    <w:rsid w:val="007E1C5F"/>
    <w:rsid w:val="007E1E0D"/>
    <w:rsid w:val="007E1E16"/>
    <w:rsid w:val="007E203D"/>
    <w:rsid w:val="007E2139"/>
    <w:rsid w:val="007E23C6"/>
    <w:rsid w:val="007E2487"/>
    <w:rsid w:val="007E2682"/>
    <w:rsid w:val="007E277D"/>
    <w:rsid w:val="007E2C0D"/>
    <w:rsid w:val="007E307A"/>
    <w:rsid w:val="007E30AE"/>
    <w:rsid w:val="007E30C4"/>
    <w:rsid w:val="007E379F"/>
    <w:rsid w:val="007E3901"/>
    <w:rsid w:val="007E3A38"/>
    <w:rsid w:val="007E3B30"/>
    <w:rsid w:val="007E4060"/>
    <w:rsid w:val="007E44E5"/>
    <w:rsid w:val="007E45D5"/>
    <w:rsid w:val="007E4859"/>
    <w:rsid w:val="007E4C1E"/>
    <w:rsid w:val="007E4D97"/>
    <w:rsid w:val="007E4D9E"/>
    <w:rsid w:val="007E5295"/>
    <w:rsid w:val="007E53D8"/>
    <w:rsid w:val="007E544E"/>
    <w:rsid w:val="007E5472"/>
    <w:rsid w:val="007E5918"/>
    <w:rsid w:val="007E5AB7"/>
    <w:rsid w:val="007E5B16"/>
    <w:rsid w:val="007E5B29"/>
    <w:rsid w:val="007E5B74"/>
    <w:rsid w:val="007E6045"/>
    <w:rsid w:val="007E60DB"/>
    <w:rsid w:val="007E68EC"/>
    <w:rsid w:val="007E69CB"/>
    <w:rsid w:val="007E6A29"/>
    <w:rsid w:val="007E6C74"/>
    <w:rsid w:val="007E6D13"/>
    <w:rsid w:val="007E6D77"/>
    <w:rsid w:val="007E6DD9"/>
    <w:rsid w:val="007E6DF6"/>
    <w:rsid w:val="007E6EA1"/>
    <w:rsid w:val="007E7340"/>
    <w:rsid w:val="007E750E"/>
    <w:rsid w:val="007E7761"/>
    <w:rsid w:val="007E7A86"/>
    <w:rsid w:val="007F03DC"/>
    <w:rsid w:val="007F03F4"/>
    <w:rsid w:val="007F0412"/>
    <w:rsid w:val="007F0449"/>
    <w:rsid w:val="007F07CF"/>
    <w:rsid w:val="007F07E8"/>
    <w:rsid w:val="007F0955"/>
    <w:rsid w:val="007F0AAD"/>
    <w:rsid w:val="007F0AC4"/>
    <w:rsid w:val="007F0E90"/>
    <w:rsid w:val="007F12E6"/>
    <w:rsid w:val="007F1433"/>
    <w:rsid w:val="007F14C9"/>
    <w:rsid w:val="007F165B"/>
    <w:rsid w:val="007F1B82"/>
    <w:rsid w:val="007F1CBC"/>
    <w:rsid w:val="007F1CCD"/>
    <w:rsid w:val="007F1E3E"/>
    <w:rsid w:val="007F1E97"/>
    <w:rsid w:val="007F216A"/>
    <w:rsid w:val="007F22CB"/>
    <w:rsid w:val="007F23B3"/>
    <w:rsid w:val="007F2428"/>
    <w:rsid w:val="007F244B"/>
    <w:rsid w:val="007F2558"/>
    <w:rsid w:val="007F268F"/>
    <w:rsid w:val="007F277E"/>
    <w:rsid w:val="007F291F"/>
    <w:rsid w:val="007F2B08"/>
    <w:rsid w:val="007F2CA6"/>
    <w:rsid w:val="007F2F10"/>
    <w:rsid w:val="007F2F3D"/>
    <w:rsid w:val="007F33EC"/>
    <w:rsid w:val="007F3420"/>
    <w:rsid w:val="007F3979"/>
    <w:rsid w:val="007F3A90"/>
    <w:rsid w:val="007F3AB1"/>
    <w:rsid w:val="007F3B62"/>
    <w:rsid w:val="007F3CA4"/>
    <w:rsid w:val="007F3FC7"/>
    <w:rsid w:val="007F3FD4"/>
    <w:rsid w:val="007F47E9"/>
    <w:rsid w:val="007F4C43"/>
    <w:rsid w:val="007F4C95"/>
    <w:rsid w:val="007F4D5A"/>
    <w:rsid w:val="007F4DCB"/>
    <w:rsid w:val="007F4E82"/>
    <w:rsid w:val="007F4F55"/>
    <w:rsid w:val="007F4F79"/>
    <w:rsid w:val="007F5044"/>
    <w:rsid w:val="007F5414"/>
    <w:rsid w:val="007F5520"/>
    <w:rsid w:val="007F554B"/>
    <w:rsid w:val="007F570F"/>
    <w:rsid w:val="007F59A2"/>
    <w:rsid w:val="007F5B5C"/>
    <w:rsid w:val="007F5D39"/>
    <w:rsid w:val="007F5D5F"/>
    <w:rsid w:val="007F5D62"/>
    <w:rsid w:val="007F5F06"/>
    <w:rsid w:val="007F62CB"/>
    <w:rsid w:val="007F634A"/>
    <w:rsid w:val="007F6528"/>
    <w:rsid w:val="007F6564"/>
    <w:rsid w:val="007F68E7"/>
    <w:rsid w:val="007F6A86"/>
    <w:rsid w:val="007F6BA6"/>
    <w:rsid w:val="007F6E07"/>
    <w:rsid w:val="007F6F2F"/>
    <w:rsid w:val="007F70C5"/>
    <w:rsid w:val="007F753E"/>
    <w:rsid w:val="007F7E0C"/>
    <w:rsid w:val="0080005A"/>
    <w:rsid w:val="0080009D"/>
    <w:rsid w:val="0080064D"/>
    <w:rsid w:val="0080085F"/>
    <w:rsid w:val="00800940"/>
    <w:rsid w:val="008009C6"/>
    <w:rsid w:val="00800B02"/>
    <w:rsid w:val="00800EE9"/>
    <w:rsid w:val="00801081"/>
    <w:rsid w:val="00801145"/>
    <w:rsid w:val="00801268"/>
    <w:rsid w:val="0080159D"/>
    <w:rsid w:val="00801852"/>
    <w:rsid w:val="0080186D"/>
    <w:rsid w:val="00801C8A"/>
    <w:rsid w:val="00801E07"/>
    <w:rsid w:val="0080220B"/>
    <w:rsid w:val="0080241B"/>
    <w:rsid w:val="00802642"/>
    <w:rsid w:val="008029BF"/>
    <w:rsid w:val="008029FE"/>
    <w:rsid w:val="00802E56"/>
    <w:rsid w:val="00802FD8"/>
    <w:rsid w:val="00802FF6"/>
    <w:rsid w:val="0080324C"/>
    <w:rsid w:val="00803316"/>
    <w:rsid w:val="00803592"/>
    <w:rsid w:val="00803669"/>
    <w:rsid w:val="008036AA"/>
    <w:rsid w:val="00803977"/>
    <w:rsid w:val="008039DA"/>
    <w:rsid w:val="00803C9A"/>
    <w:rsid w:val="00803D0E"/>
    <w:rsid w:val="00803EF1"/>
    <w:rsid w:val="0080405F"/>
    <w:rsid w:val="008040FB"/>
    <w:rsid w:val="008042B8"/>
    <w:rsid w:val="00804404"/>
    <w:rsid w:val="00804644"/>
    <w:rsid w:val="0080464A"/>
    <w:rsid w:val="00804713"/>
    <w:rsid w:val="008048A5"/>
    <w:rsid w:val="00804A37"/>
    <w:rsid w:val="00804BE3"/>
    <w:rsid w:val="00804C94"/>
    <w:rsid w:val="00804EA4"/>
    <w:rsid w:val="00805276"/>
    <w:rsid w:val="0080540F"/>
    <w:rsid w:val="00805647"/>
    <w:rsid w:val="00805A86"/>
    <w:rsid w:val="00805B96"/>
    <w:rsid w:val="00805BB7"/>
    <w:rsid w:val="00805D23"/>
    <w:rsid w:val="00805D33"/>
    <w:rsid w:val="00806081"/>
    <w:rsid w:val="008061BD"/>
    <w:rsid w:val="0080625D"/>
    <w:rsid w:val="008063DA"/>
    <w:rsid w:val="00806441"/>
    <w:rsid w:val="00806449"/>
    <w:rsid w:val="008064B5"/>
    <w:rsid w:val="00806931"/>
    <w:rsid w:val="00806AEC"/>
    <w:rsid w:val="00806C25"/>
    <w:rsid w:val="00807099"/>
    <w:rsid w:val="00807115"/>
    <w:rsid w:val="008071FD"/>
    <w:rsid w:val="008073F1"/>
    <w:rsid w:val="00807743"/>
    <w:rsid w:val="00807C26"/>
    <w:rsid w:val="00807EA8"/>
    <w:rsid w:val="00810133"/>
    <w:rsid w:val="0081018C"/>
    <w:rsid w:val="008101E4"/>
    <w:rsid w:val="0081041D"/>
    <w:rsid w:val="00810491"/>
    <w:rsid w:val="00810537"/>
    <w:rsid w:val="008107D7"/>
    <w:rsid w:val="00810828"/>
    <w:rsid w:val="008108CE"/>
    <w:rsid w:val="00810E33"/>
    <w:rsid w:val="008114C8"/>
    <w:rsid w:val="008115E2"/>
    <w:rsid w:val="008117AC"/>
    <w:rsid w:val="00811AC8"/>
    <w:rsid w:val="00811D43"/>
    <w:rsid w:val="00811DA1"/>
    <w:rsid w:val="00811E7B"/>
    <w:rsid w:val="0081220D"/>
    <w:rsid w:val="00812354"/>
    <w:rsid w:val="00812642"/>
    <w:rsid w:val="0081285B"/>
    <w:rsid w:val="0081288F"/>
    <w:rsid w:val="008129A3"/>
    <w:rsid w:val="00812CBB"/>
    <w:rsid w:val="00812D54"/>
    <w:rsid w:val="00812D64"/>
    <w:rsid w:val="00812E6E"/>
    <w:rsid w:val="00813595"/>
    <w:rsid w:val="008135F6"/>
    <w:rsid w:val="00813675"/>
    <w:rsid w:val="0081373F"/>
    <w:rsid w:val="008139C6"/>
    <w:rsid w:val="00813C37"/>
    <w:rsid w:val="00813F06"/>
    <w:rsid w:val="00814314"/>
    <w:rsid w:val="008143D7"/>
    <w:rsid w:val="008147CD"/>
    <w:rsid w:val="00814AFB"/>
    <w:rsid w:val="00814B32"/>
    <w:rsid w:val="00814BE9"/>
    <w:rsid w:val="00814CB1"/>
    <w:rsid w:val="00814DDC"/>
    <w:rsid w:val="00814E0D"/>
    <w:rsid w:val="00814E17"/>
    <w:rsid w:val="00814F9A"/>
    <w:rsid w:val="00815337"/>
    <w:rsid w:val="00815849"/>
    <w:rsid w:val="00815D61"/>
    <w:rsid w:val="00815F75"/>
    <w:rsid w:val="00816056"/>
    <w:rsid w:val="008160F9"/>
    <w:rsid w:val="008168A8"/>
    <w:rsid w:val="00816C86"/>
    <w:rsid w:val="00816E3E"/>
    <w:rsid w:val="00816FF3"/>
    <w:rsid w:val="008170C9"/>
    <w:rsid w:val="008173F6"/>
    <w:rsid w:val="008174CD"/>
    <w:rsid w:val="00817647"/>
    <w:rsid w:val="008179FE"/>
    <w:rsid w:val="00817A80"/>
    <w:rsid w:val="00817AF1"/>
    <w:rsid w:val="00817B19"/>
    <w:rsid w:val="00817C1E"/>
    <w:rsid w:val="00817D19"/>
    <w:rsid w:val="00820076"/>
    <w:rsid w:val="008201CA"/>
    <w:rsid w:val="0082076C"/>
    <w:rsid w:val="008207C6"/>
    <w:rsid w:val="00820A93"/>
    <w:rsid w:val="00820D7D"/>
    <w:rsid w:val="00821988"/>
    <w:rsid w:val="00821A95"/>
    <w:rsid w:val="00821C5F"/>
    <w:rsid w:val="00821CD4"/>
    <w:rsid w:val="00821F77"/>
    <w:rsid w:val="00821FB8"/>
    <w:rsid w:val="00821FD1"/>
    <w:rsid w:val="00821FE3"/>
    <w:rsid w:val="008222A0"/>
    <w:rsid w:val="008222FF"/>
    <w:rsid w:val="0082277D"/>
    <w:rsid w:val="00822797"/>
    <w:rsid w:val="008228C5"/>
    <w:rsid w:val="00822A12"/>
    <w:rsid w:val="00822AA2"/>
    <w:rsid w:val="00822ADF"/>
    <w:rsid w:val="00822C3D"/>
    <w:rsid w:val="00822C91"/>
    <w:rsid w:val="00822D53"/>
    <w:rsid w:val="00822EE6"/>
    <w:rsid w:val="00822F09"/>
    <w:rsid w:val="00822FFD"/>
    <w:rsid w:val="0082316F"/>
    <w:rsid w:val="0082329D"/>
    <w:rsid w:val="0082343A"/>
    <w:rsid w:val="00823769"/>
    <w:rsid w:val="00823A8D"/>
    <w:rsid w:val="00823B1A"/>
    <w:rsid w:val="00823CA7"/>
    <w:rsid w:val="00824179"/>
    <w:rsid w:val="00824426"/>
    <w:rsid w:val="008244FA"/>
    <w:rsid w:val="00824511"/>
    <w:rsid w:val="0082455A"/>
    <w:rsid w:val="00824570"/>
    <w:rsid w:val="0082475A"/>
    <w:rsid w:val="008247DE"/>
    <w:rsid w:val="00824A7B"/>
    <w:rsid w:val="00824BCA"/>
    <w:rsid w:val="00824C76"/>
    <w:rsid w:val="00824F0E"/>
    <w:rsid w:val="0082509E"/>
    <w:rsid w:val="00825410"/>
    <w:rsid w:val="00825478"/>
    <w:rsid w:val="00825684"/>
    <w:rsid w:val="00825993"/>
    <w:rsid w:val="00825A57"/>
    <w:rsid w:val="00825C3F"/>
    <w:rsid w:val="00825EF5"/>
    <w:rsid w:val="008262CE"/>
    <w:rsid w:val="008266DA"/>
    <w:rsid w:val="008267F3"/>
    <w:rsid w:val="00826808"/>
    <w:rsid w:val="00826880"/>
    <w:rsid w:val="00826C17"/>
    <w:rsid w:val="00826CA9"/>
    <w:rsid w:val="00826D51"/>
    <w:rsid w:val="00826DB3"/>
    <w:rsid w:val="00826ED7"/>
    <w:rsid w:val="0082717E"/>
    <w:rsid w:val="00827888"/>
    <w:rsid w:val="008278F1"/>
    <w:rsid w:val="00827B78"/>
    <w:rsid w:val="0083005D"/>
    <w:rsid w:val="0083038F"/>
    <w:rsid w:val="00830453"/>
    <w:rsid w:val="00830910"/>
    <w:rsid w:val="008309F4"/>
    <w:rsid w:val="00830C5F"/>
    <w:rsid w:val="00830E3C"/>
    <w:rsid w:val="00830F06"/>
    <w:rsid w:val="0083172F"/>
    <w:rsid w:val="00831795"/>
    <w:rsid w:val="0083189A"/>
    <w:rsid w:val="00831976"/>
    <w:rsid w:val="00832211"/>
    <w:rsid w:val="008323B7"/>
    <w:rsid w:val="00832440"/>
    <w:rsid w:val="008324DA"/>
    <w:rsid w:val="00832B53"/>
    <w:rsid w:val="00832DF4"/>
    <w:rsid w:val="00832EDD"/>
    <w:rsid w:val="00833135"/>
    <w:rsid w:val="008332AD"/>
    <w:rsid w:val="008333F8"/>
    <w:rsid w:val="00833614"/>
    <w:rsid w:val="00833616"/>
    <w:rsid w:val="00833D9B"/>
    <w:rsid w:val="00833F8D"/>
    <w:rsid w:val="00834082"/>
    <w:rsid w:val="008340FF"/>
    <w:rsid w:val="0083421D"/>
    <w:rsid w:val="00834544"/>
    <w:rsid w:val="00834746"/>
    <w:rsid w:val="00834B06"/>
    <w:rsid w:val="00834B3B"/>
    <w:rsid w:val="00834B6F"/>
    <w:rsid w:val="00834BF8"/>
    <w:rsid w:val="00834C5D"/>
    <w:rsid w:val="00835043"/>
    <w:rsid w:val="00835103"/>
    <w:rsid w:val="0083548F"/>
    <w:rsid w:val="008356D1"/>
    <w:rsid w:val="00835A76"/>
    <w:rsid w:val="00835A83"/>
    <w:rsid w:val="00835BFE"/>
    <w:rsid w:val="00835CF3"/>
    <w:rsid w:val="00835DA5"/>
    <w:rsid w:val="00835E27"/>
    <w:rsid w:val="00835EEC"/>
    <w:rsid w:val="008360D6"/>
    <w:rsid w:val="00836263"/>
    <w:rsid w:val="008362F5"/>
    <w:rsid w:val="008363FD"/>
    <w:rsid w:val="0083681B"/>
    <w:rsid w:val="0083687A"/>
    <w:rsid w:val="008368AD"/>
    <w:rsid w:val="00836913"/>
    <w:rsid w:val="0083695C"/>
    <w:rsid w:val="00836BA6"/>
    <w:rsid w:val="00836DC3"/>
    <w:rsid w:val="00836E1F"/>
    <w:rsid w:val="00837201"/>
    <w:rsid w:val="00837415"/>
    <w:rsid w:val="00837A0B"/>
    <w:rsid w:val="00837A95"/>
    <w:rsid w:val="00837BD6"/>
    <w:rsid w:val="00837BE8"/>
    <w:rsid w:val="00837BF7"/>
    <w:rsid w:val="00837D17"/>
    <w:rsid w:val="00837F8A"/>
    <w:rsid w:val="00837FF6"/>
    <w:rsid w:val="0084025E"/>
    <w:rsid w:val="008407CF"/>
    <w:rsid w:val="008408A9"/>
    <w:rsid w:val="00840CC1"/>
    <w:rsid w:val="00841034"/>
    <w:rsid w:val="0084103B"/>
    <w:rsid w:val="00841054"/>
    <w:rsid w:val="008412A2"/>
    <w:rsid w:val="008412A8"/>
    <w:rsid w:val="008413C1"/>
    <w:rsid w:val="00841597"/>
    <w:rsid w:val="008415B2"/>
    <w:rsid w:val="008415D4"/>
    <w:rsid w:val="0084162E"/>
    <w:rsid w:val="00841901"/>
    <w:rsid w:val="00841BB3"/>
    <w:rsid w:val="00841ECC"/>
    <w:rsid w:val="0084203B"/>
    <w:rsid w:val="00842081"/>
    <w:rsid w:val="0084214E"/>
    <w:rsid w:val="00842248"/>
    <w:rsid w:val="008422A2"/>
    <w:rsid w:val="008423AE"/>
    <w:rsid w:val="008429FA"/>
    <w:rsid w:val="00842B51"/>
    <w:rsid w:val="00842B61"/>
    <w:rsid w:val="0084312B"/>
    <w:rsid w:val="008432AB"/>
    <w:rsid w:val="00843339"/>
    <w:rsid w:val="008434C2"/>
    <w:rsid w:val="00843693"/>
    <w:rsid w:val="00843A39"/>
    <w:rsid w:val="00843F5B"/>
    <w:rsid w:val="008442E8"/>
    <w:rsid w:val="008444F0"/>
    <w:rsid w:val="00844552"/>
    <w:rsid w:val="008445F9"/>
    <w:rsid w:val="008446D3"/>
    <w:rsid w:val="00844703"/>
    <w:rsid w:val="008447B3"/>
    <w:rsid w:val="008448D7"/>
    <w:rsid w:val="00844A91"/>
    <w:rsid w:val="00844B71"/>
    <w:rsid w:val="00844EB3"/>
    <w:rsid w:val="00845083"/>
    <w:rsid w:val="0084518B"/>
    <w:rsid w:val="0084521F"/>
    <w:rsid w:val="0084549D"/>
    <w:rsid w:val="0084592C"/>
    <w:rsid w:val="008459AB"/>
    <w:rsid w:val="008459D5"/>
    <w:rsid w:val="00845B92"/>
    <w:rsid w:val="00845E6E"/>
    <w:rsid w:val="0084620E"/>
    <w:rsid w:val="00846385"/>
    <w:rsid w:val="00846499"/>
    <w:rsid w:val="0084664C"/>
    <w:rsid w:val="00846785"/>
    <w:rsid w:val="008468C5"/>
    <w:rsid w:val="00846D0E"/>
    <w:rsid w:val="00846DD6"/>
    <w:rsid w:val="008470B7"/>
    <w:rsid w:val="00847275"/>
    <w:rsid w:val="0084727C"/>
    <w:rsid w:val="0084755D"/>
    <w:rsid w:val="00847618"/>
    <w:rsid w:val="00847869"/>
    <w:rsid w:val="008478BB"/>
    <w:rsid w:val="00847B6E"/>
    <w:rsid w:val="00847B98"/>
    <w:rsid w:val="00847FF8"/>
    <w:rsid w:val="0085034D"/>
    <w:rsid w:val="008503E2"/>
    <w:rsid w:val="0085040A"/>
    <w:rsid w:val="008506FA"/>
    <w:rsid w:val="008507A5"/>
    <w:rsid w:val="00850A3E"/>
    <w:rsid w:val="00850A7F"/>
    <w:rsid w:val="00850B7D"/>
    <w:rsid w:val="00850E21"/>
    <w:rsid w:val="00850E2B"/>
    <w:rsid w:val="00850FC4"/>
    <w:rsid w:val="0085111F"/>
    <w:rsid w:val="008512B0"/>
    <w:rsid w:val="008512CA"/>
    <w:rsid w:val="0085139D"/>
    <w:rsid w:val="00851608"/>
    <w:rsid w:val="00851B22"/>
    <w:rsid w:val="00851EFD"/>
    <w:rsid w:val="00851FC1"/>
    <w:rsid w:val="00852095"/>
    <w:rsid w:val="0085221F"/>
    <w:rsid w:val="0085231E"/>
    <w:rsid w:val="00852371"/>
    <w:rsid w:val="0085257F"/>
    <w:rsid w:val="00852835"/>
    <w:rsid w:val="00852F05"/>
    <w:rsid w:val="008530D4"/>
    <w:rsid w:val="00853161"/>
    <w:rsid w:val="0085317E"/>
    <w:rsid w:val="00853223"/>
    <w:rsid w:val="0085332A"/>
    <w:rsid w:val="008535DB"/>
    <w:rsid w:val="008537B2"/>
    <w:rsid w:val="0085385D"/>
    <w:rsid w:val="008538D6"/>
    <w:rsid w:val="0085393C"/>
    <w:rsid w:val="00853AD4"/>
    <w:rsid w:val="00853B2E"/>
    <w:rsid w:val="00853B34"/>
    <w:rsid w:val="00853C3B"/>
    <w:rsid w:val="00853E7F"/>
    <w:rsid w:val="00853ED6"/>
    <w:rsid w:val="00853F17"/>
    <w:rsid w:val="00853F19"/>
    <w:rsid w:val="00853F36"/>
    <w:rsid w:val="00853FB1"/>
    <w:rsid w:val="0085405C"/>
    <w:rsid w:val="0085405F"/>
    <w:rsid w:val="0085443B"/>
    <w:rsid w:val="00854654"/>
    <w:rsid w:val="0085474F"/>
    <w:rsid w:val="0085492C"/>
    <w:rsid w:val="00854E5F"/>
    <w:rsid w:val="00855178"/>
    <w:rsid w:val="00855191"/>
    <w:rsid w:val="00855587"/>
    <w:rsid w:val="008555CF"/>
    <w:rsid w:val="008556A2"/>
    <w:rsid w:val="008557B4"/>
    <w:rsid w:val="008557C1"/>
    <w:rsid w:val="00855A4F"/>
    <w:rsid w:val="00855BB3"/>
    <w:rsid w:val="00855BC4"/>
    <w:rsid w:val="00855D5D"/>
    <w:rsid w:val="00855DEE"/>
    <w:rsid w:val="00855E26"/>
    <w:rsid w:val="0085601A"/>
    <w:rsid w:val="0085602A"/>
    <w:rsid w:val="00856166"/>
    <w:rsid w:val="008561F3"/>
    <w:rsid w:val="00856223"/>
    <w:rsid w:val="0085625A"/>
    <w:rsid w:val="0085639A"/>
    <w:rsid w:val="00856545"/>
    <w:rsid w:val="00856764"/>
    <w:rsid w:val="00856838"/>
    <w:rsid w:val="0085686C"/>
    <w:rsid w:val="00856A30"/>
    <w:rsid w:val="00856B54"/>
    <w:rsid w:val="00856BD8"/>
    <w:rsid w:val="00856D45"/>
    <w:rsid w:val="00856DA2"/>
    <w:rsid w:val="00856EF1"/>
    <w:rsid w:val="00857059"/>
    <w:rsid w:val="008570C6"/>
    <w:rsid w:val="008572A9"/>
    <w:rsid w:val="00857486"/>
    <w:rsid w:val="0085773B"/>
    <w:rsid w:val="00857959"/>
    <w:rsid w:val="0085799E"/>
    <w:rsid w:val="00857D73"/>
    <w:rsid w:val="00857EA6"/>
    <w:rsid w:val="008601ED"/>
    <w:rsid w:val="0086028F"/>
    <w:rsid w:val="00860360"/>
    <w:rsid w:val="00860370"/>
    <w:rsid w:val="00860571"/>
    <w:rsid w:val="008607E2"/>
    <w:rsid w:val="00860997"/>
    <w:rsid w:val="00860D6B"/>
    <w:rsid w:val="00860DC1"/>
    <w:rsid w:val="00861A85"/>
    <w:rsid w:val="00861B6C"/>
    <w:rsid w:val="00861C32"/>
    <w:rsid w:val="00861CC7"/>
    <w:rsid w:val="00862449"/>
    <w:rsid w:val="008624FC"/>
    <w:rsid w:val="00862522"/>
    <w:rsid w:val="008627B5"/>
    <w:rsid w:val="00862838"/>
    <w:rsid w:val="00862865"/>
    <w:rsid w:val="0086295E"/>
    <w:rsid w:val="00862A8F"/>
    <w:rsid w:val="00862B19"/>
    <w:rsid w:val="00862BD6"/>
    <w:rsid w:val="00862F7A"/>
    <w:rsid w:val="0086301E"/>
    <w:rsid w:val="008633FE"/>
    <w:rsid w:val="008637CA"/>
    <w:rsid w:val="008637D9"/>
    <w:rsid w:val="00863B3F"/>
    <w:rsid w:val="00863D64"/>
    <w:rsid w:val="00863E18"/>
    <w:rsid w:val="00863EAC"/>
    <w:rsid w:val="00863EDE"/>
    <w:rsid w:val="00863F56"/>
    <w:rsid w:val="0086415C"/>
    <w:rsid w:val="00864219"/>
    <w:rsid w:val="0086441E"/>
    <w:rsid w:val="008644A3"/>
    <w:rsid w:val="0086462E"/>
    <w:rsid w:val="00864779"/>
    <w:rsid w:val="008647B5"/>
    <w:rsid w:val="00864AD8"/>
    <w:rsid w:val="00864D89"/>
    <w:rsid w:val="00864E22"/>
    <w:rsid w:val="008651D5"/>
    <w:rsid w:val="00865681"/>
    <w:rsid w:val="008656B4"/>
    <w:rsid w:val="00865991"/>
    <w:rsid w:val="008659AF"/>
    <w:rsid w:val="00865A18"/>
    <w:rsid w:val="00865A8D"/>
    <w:rsid w:val="00865DE0"/>
    <w:rsid w:val="00865EEC"/>
    <w:rsid w:val="00865F7C"/>
    <w:rsid w:val="00865F88"/>
    <w:rsid w:val="008661F4"/>
    <w:rsid w:val="00866339"/>
    <w:rsid w:val="00866758"/>
    <w:rsid w:val="00866906"/>
    <w:rsid w:val="00866F47"/>
    <w:rsid w:val="00866FEF"/>
    <w:rsid w:val="0086736B"/>
    <w:rsid w:val="00867450"/>
    <w:rsid w:val="008676CD"/>
    <w:rsid w:val="0086776D"/>
    <w:rsid w:val="008678B0"/>
    <w:rsid w:val="00867916"/>
    <w:rsid w:val="00867928"/>
    <w:rsid w:val="00867D43"/>
    <w:rsid w:val="008700D4"/>
    <w:rsid w:val="00870221"/>
    <w:rsid w:val="008702C7"/>
    <w:rsid w:val="008705E3"/>
    <w:rsid w:val="00870777"/>
    <w:rsid w:val="00870A7B"/>
    <w:rsid w:val="00870B24"/>
    <w:rsid w:val="00870E5E"/>
    <w:rsid w:val="00870FB1"/>
    <w:rsid w:val="0087107A"/>
    <w:rsid w:val="00871198"/>
    <w:rsid w:val="0087163B"/>
    <w:rsid w:val="0087198B"/>
    <w:rsid w:val="00871B0C"/>
    <w:rsid w:val="00871CD0"/>
    <w:rsid w:val="00871DDA"/>
    <w:rsid w:val="00871DFB"/>
    <w:rsid w:val="00871E15"/>
    <w:rsid w:val="0087206E"/>
    <w:rsid w:val="00872245"/>
    <w:rsid w:val="0087241A"/>
    <w:rsid w:val="00872470"/>
    <w:rsid w:val="008724A4"/>
    <w:rsid w:val="0087251B"/>
    <w:rsid w:val="008725A6"/>
    <w:rsid w:val="008726DF"/>
    <w:rsid w:val="008729D8"/>
    <w:rsid w:val="00872BCB"/>
    <w:rsid w:val="00872C9E"/>
    <w:rsid w:val="00872D32"/>
    <w:rsid w:val="00872E59"/>
    <w:rsid w:val="00872E6F"/>
    <w:rsid w:val="00873146"/>
    <w:rsid w:val="00873237"/>
    <w:rsid w:val="00873428"/>
    <w:rsid w:val="00873452"/>
    <w:rsid w:val="00873676"/>
    <w:rsid w:val="0087376F"/>
    <w:rsid w:val="008737FB"/>
    <w:rsid w:val="0087383F"/>
    <w:rsid w:val="00873857"/>
    <w:rsid w:val="00873914"/>
    <w:rsid w:val="00873BAD"/>
    <w:rsid w:val="00873D4D"/>
    <w:rsid w:val="0087414D"/>
    <w:rsid w:val="008741F8"/>
    <w:rsid w:val="00874286"/>
    <w:rsid w:val="008742A4"/>
    <w:rsid w:val="008742FE"/>
    <w:rsid w:val="00874328"/>
    <w:rsid w:val="00874341"/>
    <w:rsid w:val="00874547"/>
    <w:rsid w:val="00874728"/>
    <w:rsid w:val="008747AB"/>
    <w:rsid w:val="00874843"/>
    <w:rsid w:val="008748A6"/>
    <w:rsid w:val="00874ACD"/>
    <w:rsid w:val="00874AD8"/>
    <w:rsid w:val="00874AEF"/>
    <w:rsid w:val="00874B92"/>
    <w:rsid w:val="00874D10"/>
    <w:rsid w:val="00874D7E"/>
    <w:rsid w:val="00874DFD"/>
    <w:rsid w:val="008750E3"/>
    <w:rsid w:val="00875290"/>
    <w:rsid w:val="008752A3"/>
    <w:rsid w:val="00875355"/>
    <w:rsid w:val="008753B3"/>
    <w:rsid w:val="0087557B"/>
    <w:rsid w:val="008756B2"/>
    <w:rsid w:val="0087570C"/>
    <w:rsid w:val="00875A22"/>
    <w:rsid w:val="00875C41"/>
    <w:rsid w:val="00875CC2"/>
    <w:rsid w:val="00875D48"/>
    <w:rsid w:val="00875DBB"/>
    <w:rsid w:val="00875DCF"/>
    <w:rsid w:val="00875F8C"/>
    <w:rsid w:val="00875FBC"/>
    <w:rsid w:val="0087603D"/>
    <w:rsid w:val="00876283"/>
    <w:rsid w:val="00876324"/>
    <w:rsid w:val="008764FE"/>
    <w:rsid w:val="0087658F"/>
    <w:rsid w:val="008766D9"/>
    <w:rsid w:val="008768FD"/>
    <w:rsid w:val="00876ACF"/>
    <w:rsid w:val="00876F70"/>
    <w:rsid w:val="0087717A"/>
    <w:rsid w:val="008774AB"/>
    <w:rsid w:val="008775A5"/>
    <w:rsid w:val="008776D1"/>
    <w:rsid w:val="0087780C"/>
    <w:rsid w:val="008778C8"/>
    <w:rsid w:val="00877981"/>
    <w:rsid w:val="00877B3D"/>
    <w:rsid w:val="00877D46"/>
    <w:rsid w:val="00877D87"/>
    <w:rsid w:val="008800C0"/>
    <w:rsid w:val="008801A2"/>
    <w:rsid w:val="0088022B"/>
    <w:rsid w:val="00880239"/>
    <w:rsid w:val="00880558"/>
    <w:rsid w:val="00880892"/>
    <w:rsid w:val="008809F3"/>
    <w:rsid w:val="00880A46"/>
    <w:rsid w:val="00880AF7"/>
    <w:rsid w:val="00880C02"/>
    <w:rsid w:val="00880C89"/>
    <w:rsid w:val="00880D6E"/>
    <w:rsid w:val="00880E15"/>
    <w:rsid w:val="008812B4"/>
    <w:rsid w:val="00881451"/>
    <w:rsid w:val="0088184A"/>
    <w:rsid w:val="00881BCD"/>
    <w:rsid w:val="00881D74"/>
    <w:rsid w:val="00881E96"/>
    <w:rsid w:val="00881E9C"/>
    <w:rsid w:val="008820E1"/>
    <w:rsid w:val="00882618"/>
    <w:rsid w:val="00882872"/>
    <w:rsid w:val="008829EE"/>
    <w:rsid w:val="00882E48"/>
    <w:rsid w:val="00882F0C"/>
    <w:rsid w:val="00883197"/>
    <w:rsid w:val="00883288"/>
    <w:rsid w:val="008833FE"/>
    <w:rsid w:val="0088343B"/>
    <w:rsid w:val="00883821"/>
    <w:rsid w:val="008838A4"/>
    <w:rsid w:val="00883AE3"/>
    <w:rsid w:val="00883AF7"/>
    <w:rsid w:val="00883BFF"/>
    <w:rsid w:val="00883D2F"/>
    <w:rsid w:val="00883E22"/>
    <w:rsid w:val="008840C6"/>
    <w:rsid w:val="008844CA"/>
    <w:rsid w:val="00884568"/>
    <w:rsid w:val="0088467F"/>
    <w:rsid w:val="00884954"/>
    <w:rsid w:val="00884A34"/>
    <w:rsid w:val="00884CB0"/>
    <w:rsid w:val="00885319"/>
    <w:rsid w:val="00885385"/>
    <w:rsid w:val="0088555A"/>
    <w:rsid w:val="00885D26"/>
    <w:rsid w:val="00885EA5"/>
    <w:rsid w:val="00886136"/>
    <w:rsid w:val="00886137"/>
    <w:rsid w:val="00886308"/>
    <w:rsid w:val="00886318"/>
    <w:rsid w:val="008863F9"/>
    <w:rsid w:val="00886896"/>
    <w:rsid w:val="00886A27"/>
    <w:rsid w:val="00886B32"/>
    <w:rsid w:val="00886F93"/>
    <w:rsid w:val="00886FBD"/>
    <w:rsid w:val="008877C4"/>
    <w:rsid w:val="008878F4"/>
    <w:rsid w:val="00887945"/>
    <w:rsid w:val="008879F5"/>
    <w:rsid w:val="00887B2D"/>
    <w:rsid w:val="00887C1F"/>
    <w:rsid w:val="00887DEC"/>
    <w:rsid w:val="00887F0D"/>
    <w:rsid w:val="00887FFE"/>
    <w:rsid w:val="00890253"/>
    <w:rsid w:val="008904E5"/>
    <w:rsid w:val="00890558"/>
    <w:rsid w:val="0089066E"/>
    <w:rsid w:val="00890914"/>
    <w:rsid w:val="00890C2E"/>
    <w:rsid w:val="00890E0B"/>
    <w:rsid w:val="00890EC8"/>
    <w:rsid w:val="00890F9A"/>
    <w:rsid w:val="0089122E"/>
    <w:rsid w:val="00891351"/>
    <w:rsid w:val="0089144D"/>
    <w:rsid w:val="008914B7"/>
    <w:rsid w:val="008915FB"/>
    <w:rsid w:val="008916DC"/>
    <w:rsid w:val="00891731"/>
    <w:rsid w:val="00891788"/>
    <w:rsid w:val="00891823"/>
    <w:rsid w:val="008919CE"/>
    <w:rsid w:val="008919F2"/>
    <w:rsid w:val="00891A15"/>
    <w:rsid w:val="00891B9B"/>
    <w:rsid w:val="00891C7A"/>
    <w:rsid w:val="00891D75"/>
    <w:rsid w:val="0089203C"/>
    <w:rsid w:val="0089220D"/>
    <w:rsid w:val="00892291"/>
    <w:rsid w:val="008923A0"/>
    <w:rsid w:val="0089264E"/>
    <w:rsid w:val="0089280D"/>
    <w:rsid w:val="00892837"/>
    <w:rsid w:val="00892A67"/>
    <w:rsid w:val="00892D18"/>
    <w:rsid w:val="00892D51"/>
    <w:rsid w:val="00892D67"/>
    <w:rsid w:val="00892DB0"/>
    <w:rsid w:val="00892E01"/>
    <w:rsid w:val="00892F23"/>
    <w:rsid w:val="00892FAA"/>
    <w:rsid w:val="00893146"/>
    <w:rsid w:val="008932E7"/>
    <w:rsid w:val="00893B51"/>
    <w:rsid w:val="00893FA8"/>
    <w:rsid w:val="00894449"/>
    <w:rsid w:val="00894542"/>
    <w:rsid w:val="0089477A"/>
    <w:rsid w:val="00894880"/>
    <w:rsid w:val="008949D0"/>
    <w:rsid w:val="00894B45"/>
    <w:rsid w:val="00894B67"/>
    <w:rsid w:val="00895307"/>
    <w:rsid w:val="00895406"/>
    <w:rsid w:val="008958E0"/>
    <w:rsid w:val="00895924"/>
    <w:rsid w:val="008960A4"/>
    <w:rsid w:val="0089618D"/>
    <w:rsid w:val="0089657D"/>
    <w:rsid w:val="0089659D"/>
    <w:rsid w:val="00896627"/>
    <w:rsid w:val="008966E6"/>
    <w:rsid w:val="00896764"/>
    <w:rsid w:val="0089684D"/>
    <w:rsid w:val="0089693C"/>
    <w:rsid w:val="00896C0D"/>
    <w:rsid w:val="00896ED9"/>
    <w:rsid w:val="00896F21"/>
    <w:rsid w:val="0089704C"/>
    <w:rsid w:val="0089712F"/>
    <w:rsid w:val="0089713E"/>
    <w:rsid w:val="008972B3"/>
    <w:rsid w:val="008972E4"/>
    <w:rsid w:val="00897388"/>
    <w:rsid w:val="0089767B"/>
    <w:rsid w:val="008976CE"/>
    <w:rsid w:val="008976DE"/>
    <w:rsid w:val="008977C2"/>
    <w:rsid w:val="008977E8"/>
    <w:rsid w:val="008979C8"/>
    <w:rsid w:val="00897DAF"/>
    <w:rsid w:val="008A0879"/>
    <w:rsid w:val="008A08B8"/>
    <w:rsid w:val="008A0D79"/>
    <w:rsid w:val="008A10CF"/>
    <w:rsid w:val="008A10EB"/>
    <w:rsid w:val="008A1117"/>
    <w:rsid w:val="008A1182"/>
    <w:rsid w:val="008A11F2"/>
    <w:rsid w:val="008A12AF"/>
    <w:rsid w:val="008A1399"/>
    <w:rsid w:val="008A152E"/>
    <w:rsid w:val="008A1909"/>
    <w:rsid w:val="008A1A27"/>
    <w:rsid w:val="008A1B8B"/>
    <w:rsid w:val="008A1BAE"/>
    <w:rsid w:val="008A1D4A"/>
    <w:rsid w:val="008A1E46"/>
    <w:rsid w:val="008A1F21"/>
    <w:rsid w:val="008A21DB"/>
    <w:rsid w:val="008A22A9"/>
    <w:rsid w:val="008A23B4"/>
    <w:rsid w:val="008A25F1"/>
    <w:rsid w:val="008A26E1"/>
    <w:rsid w:val="008A283A"/>
    <w:rsid w:val="008A29E4"/>
    <w:rsid w:val="008A2DBD"/>
    <w:rsid w:val="008A312F"/>
    <w:rsid w:val="008A328E"/>
    <w:rsid w:val="008A3413"/>
    <w:rsid w:val="008A380B"/>
    <w:rsid w:val="008A3D28"/>
    <w:rsid w:val="008A4084"/>
    <w:rsid w:val="008A4088"/>
    <w:rsid w:val="008A418B"/>
    <w:rsid w:val="008A4207"/>
    <w:rsid w:val="008A431E"/>
    <w:rsid w:val="008A456D"/>
    <w:rsid w:val="008A478E"/>
    <w:rsid w:val="008A47D9"/>
    <w:rsid w:val="008A490B"/>
    <w:rsid w:val="008A4939"/>
    <w:rsid w:val="008A4A17"/>
    <w:rsid w:val="008A4E90"/>
    <w:rsid w:val="008A500B"/>
    <w:rsid w:val="008A51A0"/>
    <w:rsid w:val="008A596E"/>
    <w:rsid w:val="008A5C2F"/>
    <w:rsid w:val="008A5CAA"/>
    <w:rsid w:val="008A5D6C"/>
    <w:rsid w:val="008A5EC6"/>
    <w:rsid w:val="008A606C"/>
    <w:rsid w:val="008A613E"/>
    <w:rsid w:val="008A6241"/>
    <w:rsid w:val="008A64A5"/>
    <w:rsid w:val="008A652B"/>
    <w:rsid w:val="008A6A69"/>
    <w:rsid w:val="008A6B1A"/>
    <w:rsid w:val="008A6D9E"/>
    <w:rsid w:val="008A6F5C"/>
    <w:rsid w:val="008A7028"/>
    <w:rsid w:val="008A7318"/>
    <w:rsid w:val="008A7427"/>
    <w:rsid w:val="008A746D"/>
    <w:rsid w:val="008A768F"/>
    <w:rsid w:val="008A76FE"/>
    <w:rsid w:val="008A7729"/>
    <w:rsid w:val="008A784A"/>
    <w:rsid w:val="008A7B2A"/>
    <w:rsid w:val="008A7C7D"/>
    <w:rsid w:val="008A7F92"/>
    <w:rsid w:val="008B0124"/>
    <w:rsid w:val="008B05AC"/>
    <w:rsid w:val="008B05B3"/>
    <w:rsid w:val="008B0612"/>
    <w:rsid w:val="008B061C"/>
    <w:rsid w:val="008B07D9"/>
    <w:rsid w:val="008B0B4B"/>
    <w:rsid w:val="008B0CC0"/>
    <w:rsid w:val="008B1038"/>
    <w:rsid w:val="008B1343"/>
    <w:rsid w:val="008B141E"/>
    <w:rsid w:val="008B14E4"/>
    <w:rsid w:val="008B16A3"/>
    <w:rsid w:val="008B17B8"/>
    <w:rsid w:val="008B1960"/>
    <w:rsid w:val="008B1ABA"/>
    <w:rsid w:val="008B1BCD"/>
    <w:rsid w:val="008B1D3B"/>
    <w:rsid w:val="008B1DB2"/>
    <w:rsid w:val="008B20B2"/>
    <w:rsid w:val="008B2266"/>
    <w:rsid w:val="008B2419"/>
    <w:rsid w:val="008B24A4"/>
    <w:rsid w:val="008B2631"/>
    <w:rsid w:val="008B2873"/>
    <w:rsid w:val="008B29A2"/>
    <w:rsid w:val="008B29F8"/>
    <w:rsid w:val="008B2A7E"/>
    <w:rsid w:val="008B2B27"/>
    <w:rsid w:val="008B3025"/>
    <w:rsid w:val="008B33A0"/>
    <w:rsid w:val="008B33E1"/>
    <w:rsid w:val="008B33F9"/>
    <w:rsid w:val="008B34A4"/>
    <w:rsid w:val="008B378C"/>
    <w:rsid w:val="008B3881"/>
    <w:rsid w:val="008B3A0E"/>
    <w:rsid w:val="008B3A34"/>
    <w:rsid w:val="008B3AA1"/>
    <w:rsid w:val="008B3BC0"/>
    <w:rsid w:val="008B3C8E"/>
    <w:rsid w:val="008B3F62"/>
    <w:rsid w:val="008B3FD1"/>
    <w:rsid w:val="008B4145"/>
    <w:rsid w:val="008B445F"/>
    <w:rsid w:val="008B4960"/>
    <w:rsid w:val="008B4999"/>
    <w:rsid w:val="008B4A56"/>
    <w:rsid w:val="008B4AB3"/>
    <w:rsid w:val="008B4C18"/>
    <w:rsid w:val="008B4D5A"/>
    <w:rsid w:val="008B4E35"/>
    <w:rsid w:val="008B4EE3"/>
    <w:rsid w:val="008B4F06"/>
    <w:rsid w:val="008B4F45"/>
    <w:rsid w:val="008B50C0"/>
    <w:rsid w:val="008B50E0"/>
    <w:rsid w:val="008B5501"/>
    <w:rsid w:val="008B5B53"/>
    <w:rsid w:val="008B5C09"/>
    <w:rsid w:val="008B61B4"/>
    <w:rsid w:val="008B61D2"/>
    <w:rsid w:val="008B6245"/>
    <w:rsid w:val="008B63CE"/>
    <w:rsid w:val="008B63E1"/>
    <w:rsid w:val="008B6507"/>
    <w:rsid w:val="008B67F9"/>
    <w:rsid w:val="008B67FF"/>
    <w:rsid w:val="008B6ACC"/>
    <w:rsid w:val="008B6D66"/>
    <w:rsid w:val="008B6D9D"/>
    <w:rsid w:val="008B6DED"/>
    <w:rsid w:val="008B6FA4"/>
    <w:rsid w:val="008B7017"/>
    <w:rsid w:val="008B7138"/>
    <w:rsid w:val="008B73FB"/>
    <w:rsid w:val="008B7583"/>
    <w:rsid w:val="008B762A"/>
    <w:rsid w:val="008B7A48"/>
    <w:rsid w:val="008B7B6B"/>
    <w:rsid w:val="008B7BE8"/>
    <w:rsid w:val="008B7D7B"/>
    <w:rsid w:val="008B7D82"/>
    <w:rsid w:val="008B7E15"/>
    <w:rsid w:val="008C011F"/>
    <w:rsid w:val="008C0436"/>
    <w:rsid w:val="008C047C"/>
    <w:rsid w:val="008C0669"/>
    <w:rsid w:val="008C0682"/>
    <w:rsid w:val="008C06B1"/>
    <w:rsid w:val="008C090E"/>
    <w:rsid w:val="008C091C"/>
    <w:rsid w:val="008C0952"/>
    <w:rsid w:val="008C13E3"/>
    <w:rsid w:val="008C1972"/>
    <w:rsid w:val="008C2162"/>
    <w:rsid w:val="008C23CB"/>
    <w:rsid w:val="008C26A2"/>
    <w:rsid w:val="008C2A46"/>
    <w:rsid w:val="008C2ED3"/>
    <w:rsid w:val="008C3004"/>
    <w:rsid w:val="008C308C"/>
    <w:rsid w:val="008C3262"/>
    <w:rsid w:val="008C32CF"/>
    <w:rsid w:val="008C353C"/>
    <w:rsid w:val="008C37B4"/>
    <w:rsid w:val="008C382A"/>
    <w:rsid w:val="008C3854"/>
    <w:rsid w:val="008C38FD"/>
    <w:rsid w:val="008C3903"/>
    <w:rsid w:val="008C3BAE"/>
    <w:rsid w:val="008C3BC3"/>
    <w:rsid w:val="008C3BC8"/>
    <w:rsid w:val="008C3BF3"/>
    <w:rsid w:val="008C3C09"/>
    <w:rsid w:val="008C4673"/>
    <w:rsid w:val="008C46E8"/>
    <w:rsid w:val="008C47F2"/>
    <w:rsid w:val="008C49D7"/>
    <w:rsid w:val="008C4C4B"/>
    <w:rsid w:val="008C53BC"/>
    <w:rsid w:val="008C53E6"/>
    <w:rsid w:val="008C583C"/>
    <w:rsid w:val="008C5930"/>
    <w:rsid w:val="008C5A9D"/>
    <w:rsid w:val="008C5D0A"/>
    <w:rsid w:val="008C5E9A"/>
    <w:rsid w:val="008C5EB4"/>
    <w:rsid w:val="008C6081"/>
    <w:rsid w:val="008C614F"/>
    <w:rsid w:val="008C61C8"/>
    <w:rsid w:val="008C6207"/>
    <w:rsid w:val="008C626D"/>
    <w:rsid w:val="008C6273"/>
    <w:rsid w:val="008C64F5"/>
    <w:rsid w:val="008C6637"/>
    <w:rsid w:val="008C6C21"/>
    <w:rsid w:val="008C6FC6"/>
    <w:rsid w:val="008C72E1"/>
    <w:rsid w:val="008C759A"/>
    <w:rsid w:val="008C77F1"/>
    <w:rsid w:val="008C78EC"/>
    <w:rsid w:val="008C7996"/>
    <w:rsid w:val="008C7A8F"/>
    <w:rsid w:val="008C7ABE"/>
    <w:rsid w:val="008C7B8A"/>
    <w:rsid w:val="008C7D8F"/>
    <w:rsid w:val="008C7DF3"/>
    <w:rsid w:val="008C7E64"/>
    <w:rsid w:val="008D0149"/>
    <w:rsid w:val="008D0386"/>
    <w:rsid w:val="008D0B71"/>
    <w:rsid w:val="008D0DAB"/>
    <w:rsid w:val="008D0E21"/>
    <w:rsid w:val="008D0E29"/>
    <w:rsid w:val="008D0F1C"/>
    <w:rsid w:val="008D0FAD"/>
    <w:rsid w:val="008D11CC"/>
    <w:rsid w:val="008D11D0"/>
    <w:rsid w:val="008D133E"/>
    <w:rsid w:val="008D1558"/>
    <w:rsid w:val="008D1580"/>
    <w:rsid w:val="008D16C9"/>
    <w:rsid w:val="008D17C5"/>
    <w:rsid w:val="008D18C6"/>
    <w:rsid w:val="008D1942"/>
    <w:rsid w:val="008D1CA6"/>
    <w:rsid w:val="008D1D35"/>
    <w:rsid w:val="008D1F90"/>
    <w:rsid w:val="008D207C"/>
    <w:rsid w:val="008D2085"/>
    <w:rsid w:val="008D2140"/>
    <w:rsid w:val="008D217B"/>
    <w:rsid w:val="008D2570"/>
    <w:rsid w:val="008D29F2"/>
    <w:rsid w:val="008D2AC2"/>
    <w:rsid w:val="008D2D5F"/>
    <w:rsid w:val="008D2FB2"/>
    <w:rsid w:val="008D3055"/>
    <w:rsid w:val="008D31ED"/>
    <w:rsid w:val="008D327F"/>
    <w:rsid w:val="008D34E0"/>
    <w:rsid w:val="008D3560"/>
    <w:rsid w:val="008D35F5"/>
    <w:rsid w:val="008D35FB"/>
    <w:rsid w:val="008D3B34"/>
    <w:rsid w:val="008D3B5B"/>
    <w:rsid w:val="008D3BCC"/>
    <w:rsid w:val="008D3C22"/>
    <w:rsid w:val="008D3C34"/>
    <w:rsid w:val="008D3D33"/>
    <w:rsid w:val="008D3F7C"/>
    <w:rsid w:val="008D3F80"/>
    <w:rsid w:val="008D401E"/>
    <w:rsid w:val="008D4337"/>
    <w:rsid w:val="008D4629"/>
    <w:rsid w:val="008D4BDD"/>
    <w:rsid w:val="008D4DFB"/>
    <w:rsid w:val="008D4F31"/>
    <w:rsid w:val="008D5086"/>
    <w:rsid w:val="008D52A6"/>
    <w:rsid w:val="008D52BD"/>
    <w:rsid w:val="008D5382"/>
    <w:rsid w:val="008D538E"/>
    <w:rsid w:val="008D5420"/>
    <w:rsid w:val="008D5519"/>
    <w:rsid w:val="008D560E"/>
    <w:rsid w:val="008D5849"/>
    <w:rsid w:val="008D603B"/>
    <w:rsid w:val="008D6106"/>
    <w:rsid w:val="008D61BE"/>
    <w:rsid w:val="008D6256"/>
    <w:rsid w:val="008D625D"/>
    <w:rsid w:val="008D62D3"/>
    <w:rsid w:val="008D65D2"/>
    <w:rsid w:val="008D6735"/>
    <w:rsid w:val="008D6857"/>
    <w:rsid w:val="008D6B64"/>
    <w:rsid w:val="008D6F2F"/>
    <w:rsid w:val="008D71F0"/>
    <w:rsid w:val="008D7412"/>
    <w:rsid w:val="008D75D0"/>
    <w:rsid w:val="008D7684"/>
    <w:rsid w:val="008D78BE"/>
    <w:rsid w:val="008D7A69"/>
    <w:rsid w:val="008D7A9E"/>
    <w:rsid w:val="008D7AE1"/>
    <w:rsid w:val="008E007F"/>
    <w:rsid w:val="008E008B"/>
    <w:rsid w:val="008E0158"/>
    <w:rsid w:val="008E0190"/>
    <w:rsid w:val="008E080B"/>
    <w:rsid w:val="008E0898"/>
    <w:rsid w:val="008E09F6"/>
    <w:rsid w:val="008E0A54"/>
    <w:rsid w:val="008E0C77"/>
    <w:rsid w:val="008E115D"/>
    <w:rsid w:val="008E1538"/>
    <w:rsid w:val="008E1614"/>
    <w:rsid w:val="008E16FB"/>
    <w:rsid w:val="008E19D4"/>
    <w:rsid w:val="008E1DBB"/>
    <w:rsid w:val="008E1F29"/>
    <w:rsid w:val="008E1F77"/>
    <w:rsid w:val="008E2118"/>
    <w:rsid w:val="008E25C2"/>
    <w:rsid w:val="008E29AF"/>
    <w:rsid w:val="008E2A21"/>
    <w:rsid w:val="008E2B8B"/>
    <w:rsid w:val="008E2D7A"/>
    <w:rsid w:val="008E2E68"/>
    <w:rsid w:val="008E2FED"/>
    <w:rsid w:val="008E32E5"/>
    <w:rsid w:val="008E3326"/>
    <w:rsid w:val="008E33B8"/>
    <w:rsid w:val="008E33FD"/>
    <w:rsid w:val="008E37A9"/>
    <w:rsid w:val="008E37EE"/>
    <w:rsid w:val="008E385C"/>
    <w:rsid w:val="008E38E6"/>
    <w:rsid w:val="008E3AAF"/>
    <w:rsid w:val="008E3B73"/>
    <w:rsid w:val="008E3C75"/>
    <w:rsid w:val="008E3E26"/>
    <w:rsid w:val="008E3F5E"/>
    <w:rsid w:val="008E3FB0"/>
    <w:rsid w:val="008E4043"/>
    <w:rsid w:val="008E4259"/>
    <w:rsid w:val="008E47EE"/>
    <w:rsid w:val="008E4BB3"/>
    <w:rsid w:val="008E4F15"/>
    <w:rsid w:val="008E4F2F"/>
    <w:rsid w:val="008E501C"/>
    <w:rsid w:val="008E5278"/>
    <w:rsid w:val="008E56F7"/>
    <w:rsid w:val="008E5845"/>
    <w:rsid w:val="008E58A1"/>
    <w:rsid w:val="008E5C7B"/>
    <w:rsid w:val="008E5FFD"/>
    <w:rsid w:val="008E606E"/>
    <w:rsid w:val="008E60EE"/>
    <w:rsid w:val="008E64BF"/>
    <w:rsid w:val="008E65EA"/>
    <w:rsid w:val="008E6635"/>
    <w:rsid w:val="008E6BF5"/>
    <w:rsid w:val="008E6DC5"/>
    <w:rsid w:val="008E7092"/>
    <w:rsid w:val="008E7486"/>
    <w:rsid w:val="008E78F8"/>
    <w:rsid w:val="008E7A45"/>
    <w:rsid w:val="008E7B78"/>
    <w:rsid w:val="008E7DC0"/>
    <w:rsid w:val="008F0122"/>
    <w:rsid w:val="008F04E2"/>
    <w:rsid w:val="008F0707"/>
    <w:rsid w:val="008F0777"/>
    <w:rsid w:val="008F07BB"/>
    <w:rsid w:val="008F0E02"/>
    <w:rsid w:val="008F0F3A"/>
    <w:rsid w:val="008F0FDD"/>
    <w:rsid w:val="008F11A5"/>
    <w:rsid w:val="008F1302"/>
    <w:rsid w:val="008F13A8"/>
    <w:rsid w:val="008F13C2"/>
    <w:rsid w:val="008F140E"/>
    <w:rsid w:val="008F15FE"/>
    <w:rsid w:val="008F16C8"/>
    <w:rsid w:val="008F176B"/>
    <w:rsid w:val="008F1A44"/>
    <w:rsid w:val="008F1B08"/>
    <w:rsid w:val="008F1D28"/>
    <w:rsid w:val="008F2233"/>
    <w:rsid w:val="008F226D"/>
    <w:rsid w:val="008F2510"/>
    <w:rsid w:val="008F2A40"/>
    <w:rsid w:val="008F2CC9"/>
    <w:rsid w:val="008F2F84"/>
    <w:rsid w:val="008F30E5"/>
    <w:rsid w:val="008F3196"/>
    <w:rsid w:val="008F326C"/>
    <w:rsid w:val="008F32C9"/>
    <w:rsid w:val="008F3463"/>
    <w:rsid w:val="008F35C7"/>
    <w:rsid w:val="008F35F8"/>
    <w:rsid w:val="008F375C"/>
    <w:rsid w:val="008F375F"/>
    <w:rsid w:val="008F37F1"/>
    <w:rsid w:val="008F3836"/>
    <w:rsid w:val="008F3877"/>
    <w:rsid w:val="008F3AE6"/>
    <w:rsid w:val="008F3B5D"/>
    <w:rsid w:val="008F41DE"/>
    <w:rsid w:val="008F4384"/>
    <w:rsid w:val="008F43E4"/>
    <w:rsid w:val="008F465C"/>
    <w:rsid w:val="008F4793"/>
    <w:rsid w:val="008F4820"/>
    <w:rsid w:val="008F495F"/>
    <w:rsid w:val="008F4AE9"/>
    <w:rsid w:val="008F4B8D"/>
    <w:rsid w:val="008F4C68"/>
    <w:rsid w:val="008F4E8C"/>
    <w:rsid w:val="008F4F9A"/>
    <w:rsid w:val="008F4FD5"/>
    <w:rsid w:val="008F53E7"/>
    <w:rsid w:val="008F558E"/>
    <w:rsid w:val="008F55C7"/>
    <w:rsid w:val="008F55E6"/>
    <w:rsid w:val="008F5C01"/>
    <w:rsid w:val="008F5ECE"/>
    <w:rsid w:val="008F5ECF"/>
    <w:rsid w:val="008F5F22"/>
    <w:rsid w:val="008F64A0"/>
    <w:rsid w:val="008F64BD"/>
    <w:rsid w:val="008F6513"/>
    <w:rsid w:val="008F696C"/>
    <w:rsid w:val="008F6A2E"/>
    <w:rsid w:val="008F7068"/>
    <w:rsid w:val="008F736D"/>
    <w:rsid w:val="008F7436"/>
    <w:rsid w:val="008F750C"/>
    <w:rsid w:val="008F7694"/>
    <w:rsid w:val="008F774D"/>
    <w:rsid w:val="008F7C97"/>
    <w:rsid w:val="008F7F96"/>
    <w:rsid w:val="0090012B"/>
    <w:rsid w:val="0090058C"/>
    <w:rsid w:val="009006BA"/>
    <w:rsid w:val="0090087F"/>
    <w:rsid w:val="00900981"/>
    <w:rsid w:val="00900BDD"/>
    <w:rsid w:val="00900C39"/>
    <w:rsid w:val="00900D1A"/>
    <w:rsid w:val="00900F6E"/>
    <w:rsid w:val="00901351"/>
    <w:rsid w:val="009013E0"/>
    <w:rsid w:val="0090157E"/>
    <w:rsid w:val="00901BD7"/>
    <w:rsid w:val="00901D05"/>
    <w:rsid w:val="00901D08"/>
    <w:rsid w:val="00901E73"/>
    <w:rsid w:val="00901FCF"/>
    <w:rsid w:val="009020D4"/>
    <w:rsid w:val="00902384"/>
    <w:rsid w:val="009029B0"/>
    <w:rsid w:val="00902C43"/>
    <w:rsid w:val="00902C84"/>
    <w:rsid w:val="00902DD4"/>
    <w:rsid w:val="0090316F"/>
    <w:rsid w:val="009031AB"/>
    <w:rsid w:val="009031F7"/>
    <w:rsid w:val="00903491"/>
    <w:rsid w:val="00903697"/>
    <w:rsid w:val="009036E0"/>
    <w:rsid w:val="0090372D"/>
    <w:rsid w:val="0090376C"/>
    <w:rsid w:val="009038BB"/>
    <w:rsid w:val="00903BA2"/>
    <w:rsid w:val="00903BC7"/>
    <w:rsid w:val="00903CFC"/>
    <w:rsid w:val="00903EEA"/>
    <w:rsid w:val="00903F82"/>
    <w:rsid w:val="00903FA9"/>
    <w:rsid w:val="00903FD7"/>
    <w:rsid w:val="00904395"/>
    <w:rsid w:val="009047C2"/>
    <w:rsid w:val="00904924"/>
    <w:rsid w:val="00904C60"/>
    <w:rsid w:val="0090526E"/>
    <w:rsid w:val="00905303"/>
    <w:rsid w:val="00905453"/>
    <w:rsid w:val="00905539"/>
    <w:rsid w:val="009055ED"/>
    <w:rsid w:val="00905C42"/>
    <w:rsid w:val="00905DA5"/>
    <w:rsid w:val="00905F3E"/>
    <w:rsid w:val="0090629C"/>
    <w:rsid w:val="009063B8"/>
    <w:rsid w:val="009063D6"/>
    <w:rsid w:val="00906475"/>
    <w:rsid w:val="00906530"/>
    <w:rsid w:val="00906544"/>
    <w:rsid w:val="009066DA"/>
    <w:rsid w:val="00906792"/>
    <w:rsid w:val="00906951"/>
    <w:rsid w:val="009069D1"/>
    <w:rsid w:val="00906BD3"/>
    <w:rsid w:val="00906D25"/>
    <w:rsid w:val="00906E24"/>
    <w:rsid w:val="00906E83"/>
    <w:rsid w:val="00906ED5"/>
    <w:rsid w:val="00906F40"/>
    <w:rsid w:val="00906F4D"/>
    <w:rsid w:val="009073F4"/>
    <w:rsid w:val="009074EB"/>
    <w:rsid w:val="00907795"/>
    <w:rsid w:val="009077E2"/>
    <w:rsid w:val="00907997"/>
    <w:rsid w:val="00907AAF"/>
    <w:rsid w:val="00910028"/>
    <w:rsid w:val="00910110"/>
    <w:rsid w:val="00910129"/>
    <w:rsid w:val="00910222"/>
    <w:rsid w:val="0091051F"/>
    <w:rsid w:val="0091062E"/>
    <w:rsid w:val="009107BD"/>
    <w:rsid w:val="0091082E"/>
    <w:rsid w:val="00910C47"/>
    <w:rsid w:val="009110DC"/>
    <w:rsid w:val="0091144C"/>
    <w:rsid w:val="009115AD"/>
    <w:rsid w:val="00911790"/>
    <w:rsid w:val="00911DAD"/>
    <w:rsid w:val="00911E47"/>
    <w:rsid w:val="00911FA6"/>
    <w:rsid w:val="00912068"/>
    <w:rsid w:val="009123A0"/>
    <w:rsid w:val="009123EB"/>
    <w:rsid w:val="00912676"/>
    <w:rsid w:val="00912853"/>
    <w:rsid w:val="00912A72"/>
    <w:rsid w:val="00912A94"/>
    <w:rsid w:val="00912B3E"/>
    <w:rsid w:val="00912BC7"/>
    <w:rsid w:val="00912E6E"/>
    <w:rsid w:val="00912E77"/>
    <w:rsid w:val="00912FE9"/>
    <w:rsid w:val="00913268"/>
    <w:rsid w:val="009134BA"/>
    <w:rsid w:val="009135E6"/>
    <w:rsid w:val="00913863"/>
    <w:rsid w:val="0091395D"/>
    <w:rsid w:val="009139BA"/>
    <w:rsid w:val="00913A71"/>
    <w:rsid w:val="00913C1E"/>
    <w:rsid w:val="00913CCD"/>
    <w:rsid w:val="00913EFE"/>
    <w:rsid w:val="00914233"/>
    <w:rsid w:val="00914266"/>
    <w:rsid w:val="0091451A"/>
    <w:rsid w:val="0091465D"/>
    <w:rsid w:val="00914BAF"/>
    <w:rsid w:val="00914CB3"/>
    <w:rsid w:val="00914FA3"/>
    <w:rsid w:val="00915009"/>
    <w:rsid w:val="00915182"/>
    <w:rsid w:val="00915271"/>
    <w:rsid w:val="009155BC"/>
    <w:rsid w:val="00915755"/>
    <w:rsid w:val="00915A8D"/>
    <w:rsid w:val="00915AE3"/>
    <w:rsid w:val="00915E4E"/>
    <w:rsid w:val="00915F36"/>
    <w:rsid w:val="00916187"/>
    <w:rsid w:val="00916343"/>
    <w:rsid w:val="009163B5"/>
    <w:rsid w:val="00916878"/>
    <w:rsid w:val="00916B3E"/>
    <w:rsid w:val="00916DD7"/>
    <w:rsid w:val="00917128"/>
    <w:rsid w:val="00917427"/>
    <w:rsid w:val="0091746A"/>
    <w:rsid w:val="009174A9"/>
    <w:rsid w:val="009174DF"/>
    <w:rsid w:val="00917615"/>
    <w:rsid w:val="00917916"/>
    <w:rsid w:val="00917DFF"/>
    <w:rsid w:val="00920037"/>
    <w:rsid w:val="00920056"/>
    <w:rsid w:val="0092008A"/>
    <w:rsid w:val="009204F6"/>
    <w:rsid w:val="00920965"/>
    <w:rsid w:val="00920979"/>
    <w:rsid w:val="00920C33"/>
    <w:rsid w:val="00920CB6"/>
    <w:rsid w:val="00920F10"/>
    <w:rsid w:val="00920FC9"/>
    <w:rsid w:val="00921131"/>
    <w:rsid w:val="009211EE"/>
    <w:rsid w:val="00921261"/>
    <w:rsid w:val="009213C7"/>
    <w:rsid w:val="00921822"/>
    <w:rsid w:val="00921973"/>
    <w:rsid w:val="009219D1"/>
    <w:rsid w:val="00921BAF"/>
    <w:rsid w:val="00921C97"/>
    <w:rsid w:val="00921D9D"/>
    <w:rsid w:val="00921E72"/>
    <w:rsid w:val="009220BB"/>
    <w:rsid w:val="009220BC"/>
    <w:rsid w:val="00922492"/>
    <w:rsid w:val="009224B4"/>
    <w:rsid w:val="00922595"/>
    <w:rsid w:val="009226B1"/>
    <w:rsid w:val="0092294A"/>
    <w:rsid w:val="009229A5"/>
    <w:rsid w:val="0092302D"/>
    <w:rsid w:val="00923396"/>
    <w:rsid w:val="009235F4"/>
    <w:rsid w:val="009236AC"/>
    <w:rsid w:val="009238AF"/>
    <w:rsid w:val="00923CDA"/>
    <w:rsid w:val="00923F3D"/>
    <w:rsid w:val="00923F48"/>
    <w:rsid w:val="00924338"/>
    <w:rsid w:val="009243BF"/>
    <w:rsid w:val="00924470"/>
    <w:rsid w:val="009244A0"/>
    <w:rsid w:val="00924732"/>
    <w:rsid w:val="00924860"/>
    <w:rsid w:val="009248CC"/>
    <w:rsid w:val="009248D4"/>
    <w:rsid w:val="009249B1"/>
    <w:rsid w:val="00924AD7"/>
    <w:rsid w:val="00924FB2"/>
    <w:rsid w:val="00925222"/>
    <w:rsid w:val="0092527A"/>
    <w:rsid w:val="0092534A"/>
    <w:rsid w:val="00925657"/>
    <w:rsid w:val="009256E2"/>
    <w:rsid w:val="009262FB"/>
    <w:rsid w:val="00926352"/>
    <w:rsid w:val="0092648E"/>
    <w:rsid w:val="009264B0"/>
    <w:rsid w:val="00926503"/>
    <w:rsid w:val="009265AD"/>
    <w:rsid w:val="009265CB"/>
    <w:rsid w:val="00926614"/>
    <w:rsid w:val="00926639"/>
    <w:rsid w:val="00926762"/>
    <w:rsid w:val="00926B76"/>
    <w:rsid w:val="00926E31"/>
    <w:rsid w:val="00926F43"/>
    <w:rsid w:val="009270CB"/>
    <w:rsid w:val="00927103"/>
    <w:rsid w:val="009271E1"/>
    <w:rsid w:val="0092732B"/>
    <w:rsid w:val="009274B5"/>
    <w:rsid w:val="0092778C"/>
    <w:rsid w:val="009278DA"/>
    <w:rsid w:val="009279B3"/>
    <w:rsid w:val="00927B31"/>
    <w:rsid w:val="00927B45"/>
    <w:rsid w:val="00927C5B"/>
    <w:rsid w:val="00927C7E"/>
    <w:rsid w:val="00927D58"/>
    <w:rsid w:val="00927F7B"/>
    <w:rsid w:val="009301D9"/>
    <w:rsid w:val="00930494"/>
    <w:rsid w:val="0093053E"/>
    <w:rsid w:val="00930572"/>
    <w:rsid w:val="00930996"/>
    <w:rsid w:val="00930BB2"/>
    <w:rsid w:val="00930E13"/>
    <w:rsid w:val="00930F88"/>
    <w:rsid w:val="009310BE"/>
    <w:rsid w:val="009310FF"/>
    <w:rsid w:val="009311ED"/>
    <w:rsid w:val="0093137F"/>
    <w:rsid w:val="00931416"/>
    <w:rsid w:val="0093148C"/>
    <w:rsid w:val="0093155B"/>
    <w:rsid w:val="009317E9"/>
    <w:rsid w:val="0093196D"/>
    <w:rsid w:val="009319AA"/>
    <w:rsid w:val="00931A2C"/>
    <w:rsid w:val="00931BE7"/>
    <w:rsid w:val="00931C2F"/>
    <w:rsid w:val="00931EFE"/>
    <w:rsid w:val="00931F51"/>
    <w:rsid w:val="00932025"/>
    <w:rsid w:val="009321B3"/>
    <w:rsid w:val="00932444"/>
    <w:rsid w:val="009324A9"/>
    <w:rsid w:val="00932658"/>
    <w:rsid w:val="00932679"/>
    <w:rsid w:val="00932682"/>
    <w:rsid w:val="009326F4"/>
    <w:rsid w:val="009327D9"/>
    <w:rsid w:val="0093285E"/>
    <w:rsid w:val="009329E1"/>
    <w:rsid w:val="00932AE3"/>
    <w:rsid w:val="00932BF5"/>
    <w:rsid w:val="00932C5A"/>
    <w:rsid w:val="00932DB6"/>
    <w:rsid w:val="00932DEA"/>
    <w:rsid w:val="00932E2D"/>
    <w:rsid w:val="00932EA4"/>
    <w:rsid w:val="00933034"/>
    <w:rsid w:val="00933049"/>
    <w:rsid w:val="0093304E"/>
    <w:rsid w:val="00933380"/>
    <w:rsid w:val="00933764"/>
    <w:rsid w:val="009338FD"/>
    <w:rsid w:val="00933AD2"/>
    <w:rsid w:val="00933F46"/>
    <w:rsid w:val="009340ED"/>
    <w:rsid w:val="0093421F"/>
    <w:rsid w:val="0093429A"/>
    <w:rsid w:val="0093434D"/>
    <w:rsid w:val="0093465E"/>
    <w:rsid w:val="0093482A"/>
    <w:rsid w:val="00934979"/>
    <w:rsid w:val="00934AE0"/>
    <w:rsid w:val="00934B18"/>
    <w:rsid w:val="00934D25"/>
    <w:rsid w:val="00934E8A"/>
    <w:rsid w:val="009350CB"/>
    <w:rsid w:val="009351BD"/>
    <w:rsid w:val="0093531A"/>
    <w:rsid w:val="00935387"/>
    <w:rsid w:val="00935560"/>
    <w:rsid w:val="009357E2"/>
    <w:rsid w:val="00935875"/>
    <w:rsid w:val="00935918"/>
    <w:rsid w:val="00935A6F"/>
    <w:rsid w:val="00935ABF"/>
    <w:rsid w:val="00935AD3"/>
    <w:rsid w:val="00935BE1"/>
    <w:rsid w:val="00935C10"/>
    <w:rsid w:val="0093616D"/>
    <w:rsid w:val="009362D4"/>
    <w:rsid w:val="00936370"/>
    <w:rsid w:val="009363B4"/>
    <w:rsid w:val="00936655"/>
    <w:rsid w:val="009366C9"/>
    <w:rsid w:val="00936B5D"/>
    <w:rsid w:val="00937056"/>
    <w:rsid w:val="009370E5"/>
    <w:rsid w:val="00937188"/>
    <w:rsid w:val="009373D1"/>
    <w:rsid w:val="00937825"/>
    <w:rsid w:val="00937887"/>
    <w:rsid w:val="00937BC5"/>
    <w:rsid w:val="00937F92"/>
    <w:rsid w:val="0094002E"/>
    <w:rsid w:val="0094092A"/>
    <w:rsid w:val="00940B42"/>
    <w:rsid w:val="009414EB"/>
    <w:rsid w:val="009415B2"/>
    <w:rsid w:val="0094174E"/>
    <w:rsid w:val="00941D44"/>
    <w:rsid w:val="00941DF1"/>
    <w:rsid w:val="00941E25"/>
    <w:rsid w:val="00941E52"/>
    <w:rsid w:val="00941EFA"/>
    <w:rsid w:val="00942189"/>
    <w:rsid w:val="0094245C"/>
    <w:rsid w:val="009424EC"/>
    <w:rsid w:val="00942522"/>
    <w:rsid w:val="00942622"/>
    <w:rsid w:val="00942887"/>
    <w:rsid w:val="00942D5B"/>
    <w:rsid w:val="00942F3A"/>
    <w:rsid w:val="009431D1"/>
    <w:rsid w:val="0094320D"/>
    <w:rsid w:val="009432AD"/>
    <w:rsid w:val="009432B3"/>
    <w:rsid w:val="009432F5"/>
    <w:rsid w:val="00943308"/>
    <w:rsid w:val="009433D9"/>
    <w:rsid w:val="009435B3"/>
    <w:rsid w:val="00943713"/>
    <w:rsid w:val="009438D1"/>
    <w:rsid w:val="00943AFB"/>
    <w:rsid w:val="00943F12"/>
    <w:rsid w:val="00943F54"/>
    <w:rsid w:val="00944153"/>
    <w:rsid w:val="009441B2"/>
    <w:rsid w:val="009442BC"/>
    <w:rsid w:val="009442DC"/>
    <w:rsid w:val="009443D2"/>
    <w:rsid w:val="009444F7"/>
    <w:rsid w:val="00944512"/>
    <w:rsid w:val="00944537"/>
    <w:rsid w:val="009445AA"/>
    <w:rsid w:val="00944CF2"/>
    <w:rsid w:val="00944D1B"/>
    <w:rsid w:val="00944E07"/>
    <w:rsid w:val="00944FCE"/>
    <w:rsid w:val="0094506F"/>
    <w:rsid w:val="009457B4"/>
    <w:rsid w:val="00945805"/>
    <w:rsid w:val="009458F8"/>
    <w:rsid w:val="009459EF"/>
    <w:rsid w:val="009459FC"/>
    <w:rsid w:val="00945A37"/>
    <w:rsid w:val="00945D2E"/>
    <w:rsid w:val="00945D70"/>
    <w:rsid w:val="00946170"/>
    <w:rsid w:val="00946268"/>
    <w:rsid w:val="00946291"/>
    <w:rsid w:val="009462F3"/>
    <w:rsid w:val="00946385"/>
    <w:rsid w:val="009464B8"/>
    <w:rsid w:val="00946521"/>
    <w:rsid w:val="00946559"/>
    <w:rsid w:val="009465BD"/>
    <w:rsid w:val="009467F4"/>
    <w:rsid w:val="00946C53"/>
    <w:rsid w:val="009472D3"/>
    <w:rsid w:val="00947537"/>
    <w:rsid w:val="00947543"/>
    <w:rsid w:val="0094797B"/>
    <w:rsid w:val="00947ABD"/>
    <w:rsid w:val="00947B7E"/>
    <w:rsid w:val="00947B95"/>
    <w:rsid w:val="00947E2F"/>
    <w:rsid w:val="00950167"/>
    <w:rsid w:val="00950694"/>
    <w:rsid w:val="00950AA0"/>
    <w:rsid w:val="00950B76"/>
    <w:rsid w:val="00950CD5"/>
    <w:rsid w:val="00950D96"/>
    <w:rsid w:val="00950F7F"/>
    <w:rsid w:val="00951014"/>
    <w:rsid w:val="009511AF"/>
    <w:rsid w:val="00951313"/>
    <w:rsid w:val="00951424"/>
    <w:rsid w:val="0095179A"/>
    <w:rsid w:val="009518AD"/>
    <w:rsid w:val="0095194D"/>
    <w:rsid w:val="00951ADC"/>
    <w:rsid w:val="00951B4D"/>
    <w:rsid w:val="00951EFC"/>
    <w:rsid w:val="00952221"/>
    <w:rsid w:val="0095277D"/>
    <w:rsid w:val="009527C3"/>
    <w:rsid w:val="00952814"/>
    <w:rsid w:val="00952A55"/>
    <w:rsid w:val="00952BB3"/>
    <w:rsid w:val="00952F01"/>
    <w:rsid w:val="0095329A"/>
    <w:rsid w:val="0095340A"/>
    <w:rsid w:val="00953496"/>
    <w:rsid w:val="00953564"/>
    <w:rsid w:val="00953603"/>
    <w:rsid w:val="0095363D"/>
    <w:rsid w:val="009538B7"/>
    <w:rsid w:val="009538ED"/>
    <w:rsid w:val="00953DD7"/>
    <w:rsid w:val="00953E9A"/>
    <w:rsid w:val="0095457C"/>
    <w:rsid w:val="009545AA"/>
    <w:rsid w:val="00954634"/>
    <w:rsid w:val="009546D0"/>
    <w:rsid w:val="0095473F"/>
    <w:rsid w:val="009548B0"/>
    <w:rsid w:val="009548C2"/>
    <w:rsid w:val="009549BE"/>
    <w:rsid w:val="00954A12"/>
    <w:rsid w:val="00954B70"/>
    <w:rsid w:val="00954D9F"/>
    <w:rsid w:val="00954E3A"/>
    <w:rsid w:val="00954FB0"/>
    <w:rsid w:val="00954FF3"/>
    <w:rsid w:val="00955126"/>
    <w:rsid w:val="00955435"/>
    <w:rsid w:val="0095568E"/>
    <w:rsid w:val="00955781"/>
    <w:rsid w:val="00955927"/>
    <w:rsid w:val="00955BB3"/>
    <w:rsid w:val="00955C29"/>
    <w:rsid w:val="00956044"/>
    <w:rsid w:val="009560A1"/>
    <w:rsid w:val="009560CD"/>
    <w:rsid w:val="009561FD"/>
    <w:rsid w:val="009562E1"/>
    <w:rsid w:val="00956459"/>
    <w:rsid w:val="009564A3"/>
    <w:rsid w:val="00956524"/>
    <w:rsid w:val="009566F0"/>
    <w:rsid w:val="00956807"/>
    <w:rsid w:val="00956B4E"/>
    <w:rsid w:val="00956B95"/>
    <w:rsid w:val="00956D25"/>
    <w:rsid w:val="00956E61"/>
    <w:rsid w:val="009570F0"/>
    <w:rsid w:val="009570FF"/>
    <w:rsid w:val="009571CA"/>
    <w:rsid w:val="0095725E"/>
    <w:rsid w:val="00957263"/>
    <w:rsid w:val="00957287"/>
    <w:rsid w:val="009572FE"/>
    <w:rsid w:val="0095739E"/>
    <w:rsid w:val="009573A5"/>
    <w:rsid w:val="00957443"/>
    <w:rsid w:val="00957599"/>
    <w:rsid w:val="00957B02"/>
    <w:rsid w:val="00957BFE"/>
    <w:rsid w:val="00957CD5"/>
    <w:rsid w:val="00957F9C"/>
    <w:rsid w:val="009600BD"/>
    <w:rsid w:val="00960685"/>
    <w:rsid w:val="00960929"/>
    <w:rsid w:val="00960A3E"/>
    <w:rsid w:val="00960BAA"/>
    <w:rsid w:val="00960C9B"/>
    <w:rsid w:val="00961079"/>
    <w:rsid w:val="009610F4"/>
    <w:rsid w:val="00961211"/>
    <w:rsid w:val="00961333"/>
    <w:rsid w:val="009616A0"/>
    <w:rsid w:val="009616B9"/>
    <w:rsid w:val="009618FD"/>
    <w:rsid w:val="00961A68"/>
    <w:rsid w:val="00961B9B"/>
    <w:rsid w:val="009620D3"/>
    <w:rsid w:val="00962325"/>
    <w:rsid w:val="0096234A"/>
    <w:rsid w:val="00962481"/>
    <w:rsid w:val="009624A0"/>
    <w:rsid w:val="00962996"/>
    <w:rsid w:val="00962B07"/>
    <w:rsid w:val="00962B7E"/>
    <w:rsid w:val="00962D7D"/>
    <w:rsid w:val="009634FC"/>
    <w:rsid w:val="0096360A"/>
    <w:rsid w:val="0096363D"/>
    <w:rsid w:val="009636E8"/>
    <w:rsid w:val="00963779"/>
    <w:rsid w:val="0096378F"/>
    <w:rsid w:val="00963A22"/>
    <w:rsid w:val="00963C1E"/>
    <w:rsid w:val="00963EDF"/>
    <w:rsid w:val="00964075"/>
    <w:rsid w:val="009641AC"/>
    <w:rsid w:val="009641DD"/>
    <w:rsid w:val="00964442"/>
    <w:rsid w:val="009644BE"/>
    <w:rsid w:val="00964600"/>
    <w:rsid w:val="00964601"/>
    <w:rsid w:val="009646B7"/>
    <w:rsid w:val="00964814"/>
    <w:rsid w:val="00964834"/>
    <w:rsid w:val="00964ACB"/>
    <w:rsid w:val="00964B98"/>
    <w:rsid w:val="00964CBC"/>
    <w:rsid w:val="00964EAA"/>
    <w:rsid w:val="0096502C"/>
    <w:rsid w:val="009654E2"/>
    <w:rsid w:val="0096593F"/>
    <w:rsid w:val="00965FCB"/>
    <w:rsid w:val="009660EF"/>
    <w:rsid w:val="0096610C"/>
    <w:rsid w:val="009667AB"/>
    <w:rsid w:val="0096688F"/>
    <w:rsid w:val="009668A4"/>
    <w:rsid w:val="009669A1"/>
    <w:rsid w:val="00966A04"/>
    <w:rsid w:val="00966BD9"/>
    <w:rsid w:val="00966E38"/>
    <w:rsid w:val="00966FB1"/>
    <w:rsid w:val="009671C1"/>
    <w:rsid w:val="009671C7"/>
    <w:rsid w:val="009673EA"/>
    <w:rsid w:val="0096740D"/>
    <w:rsid w:val="00967458"/>
    <w:rsid w:val="009676CB"/>
    <w:rsid w:val="009678A8"/>
    <w:rsid w:val="00967A36"/>
    <w:rsid w:val="00967A57"/>
    <w:rsid w:val="00967E62"/>
    <w:rsid w:val="00967F1D"/>
    <w:rsid w:val="00970005"/>
    <w:rsid w:val="00970035"/>
    <w:rsid w:val="009701E1"/>
    <w:rsid w:val="00970443"/>
    <w:rsid w:val="00970681"/>
    <w:rsid w:val="00970700"/>
    <w:rsid w:val="00970997"/>
    <w:rsid w:val="00970B85"/>
    <w:rsid w:val="00970C60"/>
    <w:rsid w:val="00970DF8"/>
    <w:rsid w:val="00970F01"/>
    <w:rsid w:val="00970F9A"/>
    <w:rsid w:val="0097104F"/>
    <w:rsid w:val="00971146"/>
    <w:rsid w:val="00971334"/>
    <w:rsid w:val="009714A5"/>
    <w:rsid w:val="0097155D"/>
    <w:rsid w:val="009716EF"/>
    <w:rsid w:val="009718D5"/>
    <w:rsid w:val="00972000"/>
    <w:rsid w:val="00972034"/>
    <w:rsid w:val="00972068"/>
    <w:rsid w:val="009721FA"/>
    <w:rsid w:val="00972244"/>
    <w:rsid w:val="009724BD"/>
    <w:rsid w:val="0097266A"/>
    <w:rsid w:val="009728F1"/>
    <w:rsid w:val="009729E2"/>
    <w:rsid w:val="00972B3B"/>
    <w:rsid w:val="00972B8C"/>
    <w:rsid w:val="00972C63"/>
    <w:rsid w:val="00972E13"/>
    <w:rsid w:val="00973065"/>
    <w:rsid w:val="00973288"/>
    <w:rsid w:val="009733D3"/>
    <w:rsid w:val="0097349A"/>
    <w:rsid w:val="0097361A"/>
    <w:rsid w:val="0097364F"/>
    <w:rsid w:val="009738C9"/>
    <w:rsid w:val="00973913"/>
    <w:rsid w:val="00973990"/>
    <w:rsid w:val="00973AC1"/>
    <w:rsid w:val="00973ACA"/>
    <w:rsid w:val="00973BD6"/>
    <w:rsid w:val="00974117"/>
    <w:rsid w:val="009741A8"/>
    <w:rsid w:val="00974404"/>
    <w:rsid w:val="0097455B"/>
    <w:rsid w:val="00974586"/>
    <w:rsid w:val="0097470D"/>
    <w:rsid w:val="00974798"/>
    <w:rsid w:val="009747BA"/>
    <w:rsid w:val="00974A55"/>
    <w:rsid w:val="00974A63"/>
    <w:rsid w:val="00974ADC"/>
    <w:rsid w:val="00974B45"/>
    <w:rsid w:val="009750E7"/>
    <w:rsid w:val="009751E5"/>
    <w:rsid w:val="0097530D"/>
    <w:rsid w:val="0097545C"/>
    <w:rsid w:val="00975780"/>
    <w:rsid w:val="009757D7"/>
    <w:rsid w:val="00975967"/>
    <w:rsid w:val="00975999"/>
    <w:rsid w:val="009759C6"/>
    <w:rsid w:val="00975AFF"/>
    <w:rsid w:val="00975C80"/>
    <w:rsid w:val="00976142"/>
    <w:rsid w:val="0097621E"/>
    <w:rsid w:val="009764C9"/>
    <w:rsid w:val="0097679E"/>
    <w:rsid w:val="00976850"/>
    <w:rsid w:val="0097696A"/>
    <w:rsid w:val="00976C5C"/>
    <w:rsid w:val="00976CC9"/>
    <w:rsid w:val="00976FDE"/>
    <w:rsid w:val="009771C3"/>
    <w:rsid w:val="009772A6"/>
    <w:rsid w:val="00977371"/>
    <w:rsid w:val="00977661"/>
    <w:rsid w:val="00977692"/>
    <w:rsid w:val="009776B2"/>
    <w:rsid w:val="00977762"/>
    <w:rsid w:val="009778A5"/>
    <w:rsid w:val="00977940"/>
    <w:rsid w:val="00977A33"/>
    <w:rsid w:val="00977A3F"/>
    <w:rsid w:val="00977AFA"/>
    <w:rsid w:val="00977B75"/>
    <w:rsid w:val="00977C1C"/>
    <w:rsid w:val="00977E11"/>
    <w:rsid w:val="00980016"/>
    <w:rsid w:val="009801E2"/>
    <w:rsid w:val="009806D8"/>
    <w:rsid w:val="00980933"/>
    <w:rsid w:val="00980944"/>
    <w:rsid w:val="00981125"/>
    <w:rsid w:val="00981174"/>
    <w:rsid w:val="0098129B"/>
    <w:rsid w:val="009813C2"/>
    <w:rsid w:val="00981537"/>
    <w:rsid w:val="00981631"/>
    <w:rsid w:val="0098190A"/>
    <w:rsid w:val="0098191B"/>
    <w:rsid w:val="00981B26"/>
    <w:rsid w:val="00981DB3"/>
    <w:rsid w:val="00981E3A"/>
    <w:rsid w:val="00981E64"/>
    <w:rsid w:val="00981EB3"/>
    <w:rsid w:val="00982457"/>
    <w:rsid w:val="009824D8"/>
    <w:rsid w:val="00982565"/>
    <w:rsid w:val="00982637"/>
    <w:rsid w:val="009828CE"/>
    <w:rsid w:val="009828FC"/>
    <w:rsid w:val="00982DC3"/>
    <w:rsid w:val="00983031"/>
    <w:rsid w:val="009830B5"/>
    <w:rsid w:val="0098319B"/>
    <w:rsid w:val="009831A7"/>
    <w:rsid w:val="009832ED"/>
    <w:rsid w:val="0098334D"/>
    <w:rsid w:val="00983647"/>
    <w:rsid w:val="009837F2"/>
    <w:rsid w:val="00983C03"/>
    <w:rsid w:val="00983D6F"/>
    <w:rsid w:val="00983E0B"/>
    <w:rsid w:val="009842A1"/>
    <w:rsid w:val="00984458"/>
    <w:rsid w:val="00984527"/>
    <w:rsid w:val="00984A17"/>
    <w:rsid w:val="00984EE8"/>
    <w:rsid w:val="00984FDE"/>
    <w:rsid w:val="00985682"/>
    <w:rsid w:val="00985AFE"/>
    <w:rsid w:val="00985EB2"/>
    <w:rsid w:val="0098624B"/>
    <w:rsid w:val="009864F4"/>
    <w:rsid w:val="0098656C"/>
    <w:rsid w:val="0098669D"/>
    <w:rsid w:val="0098685E"/>
    <w:rsid w:val="00986B1F"/>
    <w:rsid w:val="00986C60"/>
    <w:rsid w:val="00986E3A"/>
    <w:rsid w:val="00987044"/>
    <w:rsid w:val="009871B0"/>
    <w:rsid w:val="00987489"/>
    <w:rsid w:val="0098749B"/>
    <w:rsid w:val="0098761A"/>
    <w:rsid w:val="009876B4"/>
    <w:rsid w:val="009876E0"/>
    <w:rsid w:val="00987762"/>
    <w:rsid w:val="00987C00"/>
    <w:rsid w:val="00987C14"/>
    <w:rsid w:val="0099000B"/>
    <w:rsid w:val="00990214"/>
    <w:rsid w:val="009903BB"/>
    <w:rsid w:val="009905C9"/>
    <w:rsid w:val="0099098C"/>
    <w:rsid w:val="00990A4C"/>
    <w:rsid w:val="00990B7C"/>
    <w:rsid w:val="00990BB3"/>
    <w:rsid w:val="00990D85"/>
    <w:rsid w:val="009910A7"/>
    <w:rsid w:val="009912A4"/>
    <w:rsid w:val="009914A6"/>
    <w:rsid w:val="009915E4"/>
    <w:rsid w:val="0099172E"/>
    <w:rsid w:val="00991C6C"/>
    <w:rsid w:val="00991EC3"/>
    <w:rsid w:val="00992382"/>
    <w:rsid w:val="009923C9"/>
    <w:rsid w:val="00992527"/>
    <w:rsid w:val="009925A5"/>
    <w:rsid w:val="00992758"/>
    <w:rsid w:val="00992A28"/>
    <w:rsid w:val="00992DDE"/>
    <w:rsid w:val="009932B8"/>
    <w:rsid w:val="00993780"/>
    <w:rsid w:val="00993E3C"/>
    <w:rsid w:val="00993FF4"/>
    <w:rsid w:val="009940F9"/>
    <w:rsid w:val="00994286"/>
    <w:rsid w:val="009943EE"/>
    <w:rsid w:val="0099452B"/>
    <w:rsid w:val="0099455C"/>
    <w:rsid w:val="009946D6"/>
    <w:rsid w:val="009949D7"/>
    <w:rsid w:val="00994AFE"/>
    <w:rsid w:val="00994C16"/>
    <w:rsid w:val="00994EA5"/>
    <w:rsid w:val="00994F11"/>
    <w:rsid w:val="009951BD"/>
    <w:rsid w:val="009954A6"/>
    <w:rsid w:val="00995543"/>
    <w:rsid w:val="009956F2"/>
    <w:rsid w:val="00995763"/>
    <w:rsid w:val="0099590D"/>
    <w:rsid w:val="00995B13"/>
    <w:rsid w:val="00995BE9"/>
    <w:rsid w:val="00995D72"/>
    <w:rsid w:val="00995F04"/>
    <w:rsid w:val="00995F84"/>
    <w:rsid w:val="00996323"/>
    <w:rsid w:val="00996330"/>
    <w:rsid w:val="0099676D"/>
    <w:rsid w:val="0099692D"/>
    <w:rsid w:val="00996B0C"/>
    <w:rsid w:val="00996B5D"/>
    <w:rsid w:val="00996C0B"/>
    <w:rsid w:val="00996F8D"/>
    <w:rsid w:val="0099707E"/>
    <w:rsid w:val="0099739D"/>
    <w:rsid w:val="00997490"/>
    <w:rsid w:val="009974EF"/>
    <w:rsid w:val="00997609"/>
    <w:rsid w:val="00997D62"/>
    <w:rsid w:val="00997EC7"/>
    <w:rsid w:val="00997FA6"/>
    <w:rsid w:val="009A0057"/>
    <w:rsid w:val="009A0289"/>
    <w:rsid w:val="009A036D"/>
    <w:rsid w:val="009A08B9"/>
    <w:rsid w:val="009A09CF"/>
    <w:rsid w:val="009A0A62"/>
    <w:rsid w:val="009A0C17"/>
    <w:rsid w:val="009A0C28"/>
    <w:rsid w:val="009A10E7"/>
    <w:rsid w:val="009A11A0"/>
    <w:rsid w:val="009A1269"/>
    <w:rsid w:val="009A130D"/>
    <w:rsid w:val="009A1597"/>
    <w:rsid w:val="009A15C6"/>
    <w:rsid w:val="009A1778"/>
    <w:rsid w:val="009A17EC"/>
    <w:rsid w:val="009A18C1"/>
    <w:rsid w:val="009A1BE0"/>
    <w:rsid w:val="009A1C20"/>
    <w:rsid w:val="009A1C7E"/>
    <w:rsid w:val="009A1CF1"/>
    <w:rsid w:val="009A1FB7"/>
    <w:rsid w:val="009A218A"/>
    <w:rsid w:val="009A2267"/>
    <w:rsid w:val="009A24A9"/>
    <w:rsid w:val="009A2532"/>
    <w:rsid w:val="009A29D0"/>
    <w:rsid w:val="009A2ADA"/>
    <w:rsid w:val="009A2C07"/>
    <w:rsid w:val="009A2C4B"/>
    <w:rsid w:val="009A2D8F"/>
    <w:rsid w:val="009A3073"/>
    <w:rsid w:val="009A3080"/>
    <w:rsid w:val="009A3223"/>
    <w:rsid w:val="009A349C"/>
    <w:rsid w:val="009A3577"/>
    <w:rsid w:val="009A3668"/>
    <w:rsid w:val="009A37CF"/>
    <w:rsid w:val="009A393B"/>
    <w:rsid w:val="009A39DB"/>
    <w:rsid w:val="009A3AED"/>
    <w:rsid w:val="009A3B98"/>
    <w:rsid w:val="009A3EB4"/>
    <w:rsid w:val="009A4228"/>
    <w:rsid w:val="009A447B"/>
    <w:rsid w:val="009A4626"/>
    <w:rsid w:val="009A46A6"/>
    <w:rsid w:val="009A4818"/>
    <w:rsid w:val="009A4875"/>
    <w:rsid w:val="009A4C11"/>
    <w:rsid w:val="009A4C83"/>
    <w:rsid w:val="009A4F5F"/>
    <w:rsid w:val="009A5141"/>
    <w:rsid w:val="009A53EA"/>
    <w:rsid w:val="009A559C"/>
    <w:rsid w:val="009A578E"/>
    <w:rsid w:val="009A59F3"/>
    <w:rsid w:val="009A5DE6"/>
    <w:rsid w:val="009A5E41"/>
    <w:rsid w:val="009A62BB"/>
    <w:rsid w:val="009A6328"/>
    <w:rsid w:val="009A6406"/>
    <w:rsid w:val="009A66E7"/>
    <w:rsid w:val="009A685C"/>
    <w:rsid w:val="009A6C93"/>
    <w:rsid w:val="009A6CBC"/>
    <w:rsid w:val="009A6CEE"/>
    <w:rsid w:val="009A6D29"/>
    <w:rsid w:val="009A6D42"/>
    <w:rsid w:val="009A7288"/>
    <w:rsid w:val="009A7420"/>
    <w:rsid w:val="009A74F2"/>
    <w:rsid w:val="009A785B"/>
    <w:rsid w:val="009A792A"/>
    <w:rsid w:val="009A79AF"/>
    <w:rsid w:val="009A7A9F"/>
    <w:rsid w:val="009A7B1F"/>
    <w:rsid w:val="009A7CAC"/>
    <w:rsid w:val="009A7E04"/>
    <w:rsid w:val="009A7EED"/>
    <w:rsid w:val="009B00C6"/>
    <w:rsid w:val="009B01B9"/>
    <w:rsid w:val="009B0204"/>
    <w:rsid w:val="009B033D"/>
    <w:rsid w:val="009B087E"/>
    <w:rsid w:val="009B0AD4"/>
    <w:rsid w:val="009B0ADE"/>
    <w:rsid w:val="009B0B56"/>
    <w:rsid w:val="009B0C03"/>
    <w:rsid w:val="009B0D43"/>
    <w:rsid w:val="009B0E37"/>
    <w:rsid w:val="009B0F7E"/>
    <w:rsid w:val="009B13FD"/>
    <w:rsid w:val="009B14B3"/>
    <w:rsid w:val="009B1546"/>
    <w:rsid w:val="009B1578"/>
    <w:rsid w:val="009B15D5"/>
    <w:rsid w:val="009B15D6"/>
    <w:rsid w:val="009B17D2"/>
    <w:rsid w:val="009B1847"/>
    <w:rsid w:val="009B1A43"/>
    <w:rsid w:val="009B1D9B"/>
    <w:rsid w:val="009B1DF1"/>
    <w:rsid w:val="009B203D"/>
    <w:rsid w:val="009B21B3"/>
    <w:rsid w:val="009B235C"/>
    <w:rsid w:val="009B237A"/>
    <w:rsid w:val="009B248A"/>
    <w:rsid w:val="009B248E"/>
    <w:rsid w:val="009B26A4"/>
    <w:rsid w:val="009B2B8F"/>
    <w:rsid w:val="009B2EED"/>
    <w:rsid w:val="009B303A"/>
    <w:rsid w:val="009B3161"/>
    <w:rsid w:val="009B33EE"/>
    <w:rsid w:val="009B35BA"/>
    <w:rsid w:val="009B38AA"/>
    <w:rsid w:val="009B4284"/>
    <w:rsid w:val="009B4494"/>
    <w:rsid w:val="009B45A9"/>
    <w:rsid w:val="009B461F"/>
    <w:rsid w:val="009B48E1"/>
    <w:rsid w:val="009B4B58"/>
    <w:rsid w:val="009B4BED"/>
    <w:rsid w:val="009B4C91"/>
    <w:rsid w:val="009B4CA0"/>
    <w:rsid w:val="009B4D45"/>
    <w:rsid w:val="009B501C"/>
    <w:rsid w:val="009B5162"/>
    <w:rsid w:val="009B5316"/>
    <w:rsid w:val="009B53C2"/>
    <w:rsid w:val="009B55DC"/>
    <w:rsid w:val="009B5742"/>
    <w:rsid w:val="009B57C0"/>
    <w:rsid w:val="009B57D2"/>
    <w:rsid w:val="009B585A"/>
    <w:rsid w:val="009B5973"/>
    <w:rsid w:val="009B5C15"/>
    <w:rsid w:val="009B5C6D"/>
    <w:rsid w:val="009B6541"/>
    <w:rsid w:val="009B6569"/>
    <w:rsid w:val="009B683F"/>
    <w:rsid w:val="009B69EB"/>
    <w:rsid w:val="009B6AE5"/>
    <w:rsid w:val="009B6BD9"/>
    <w:rsid w:val="009B6C5D"/>
    <w:rsid w:val="009B6C84"/>
    <w:rsid w:val="009B6EB2"/>
    <w:rsid w:val="009B7260"/>
    <w:rsid w:val="009B7399"/>
    <w:rsid w:val="009B7534"/>
    <w:rsid w:val="009B754D"/>
    <w:rsid w:val="009B75F7"/>
    <w:rsid w:val="009B75FB"/>
    <w:rsid w:val="009B77DE"/>
    <w:rsid w:val="009B7966"/>
    <w:rsid w:val="009B7DCF"/>
    <w:rsid w:val="009B7F06"/>
    <w:rsid w:val="009C0067"/>
    <w:rsid w:val="009C01D0"/>
    <w:rsid w:val="009C02A7"/>
    <w:rsid w:val="009C037F"/>
    <w:rsid w:val="009C0533"/>
    <w:rsid w:val="009C0568"/>
    <w:rsid w:val="009C05A0"/>
    <w:rsid w:val="009C05EC"/>
    <w:rsid w:val="009C0855"/>
    <w:rsid w:val="009C0AAA"/>
    <w:rsid w:val="009C0B1C"/>
    <w:rsid w:val="009C0B42"/>
    <w:rsid w:val="009C0B97"/>
    <w:rsid w:val="009C0CCB"/>
    <w:rsid w:val="009C0DB3"/>
    <w:rsid w:val="009C0DF7"/>
    <w:rsid w:val="009C108F"/>
    <w:rsid w:val="009C1322"/>
    <w:rsid w:val="009C1569"/>
    <w:rsid w:val="009C1596"/>
    <w:rsid w:val="009C160D"/>
    <w:rsid w:val="009C1772"/>
    <w:rsid w:val="009C1839"/>
    <w:rsid w:val="009C1983"/>
    <w:rsid w:val="009C1B51"/>
    <w:rsid w:val="009C1DC1"/>
    <w:rsid w:val="009C2086"/>
    <w:rsid w:val="009C2348"/>
    <w:rsid w:val="009C267B"/>
    <w:rsid w:val="009C2947"/>
    <w:rsid w:val="009C2ACB"/>
    <w:rsid w:val="009C2E02"/>
    <w:rsid w:val="009C2E5B"/>
    <w:rsid w:val="009C326C"/>
    <w:rsid w:val="009C32F2"/>
    <w:rsid w:val="009C335C"/>
    <w:rsid w:val="009C3395"/>
    <w:rsid w:val="009C3588"/>
    <w:rsid w:val="009C36ED"/>
    <w:rsid w:val="009C3736"/>
    <w:rsid w:val="009C37B5"/>
    <w:rsid w:val="009C37DF"/>
    <w:rsid w:val="009C3866"/>
    <w:rsid w:val="009C38A2"/>
    <w:rsid w:val="009C38C9"/>
    <w:rsid w:val="009C3A4B"/>
    <w:rsid w:val="009C3D14"/>
    <w:rsid w:val="009C3E4F"/>
    <w:rsid w:val="009C3FE5"/>
    <w:rsid w:val="009C4296"/>
    <w:rsid w:val="009C44AC"/>
    <w:rsid w:val="009C45B4"/>
    <w:rsid w:val="009C4B30"/>
    <w:rsid w:val="009C4BD7"/>
    <w:rsid w:val="009C50DC"/>
    <w:rsid w:val="009C50EB"/>
    <w:rsid w:val="009C51B2"/>
    <w:rsid w:val="009C5499"/>
    <w:rsid w:val="009C54BE"/>
    <w:rsid w:val="009C558B"/>
    <w:rsid w:val="009C575A"/>
    <w:rsid w:val="009C5762"/>
    <w:rsid w:val="009C57A5"/>
    <w:rsid w:val="009C57E2"/>
    <w:rsid w:val="009C59A0"/>
    <w:rsid w:val="009C5C54"/>
    <w:rsid w:val="009C5CBB"/>
    <w:rsid w:val="009C621D"/>
    <w:rsid w:val="009C6370"/>
    <w:rsid w:val="009C6649"/>
    <w:rsid w:val="009C6946"/>
    <w:rsid w:val="009C6AE6"/>
    <w:rsid w:val="009C6F07"/>
    <w:rsid w:val="009C712C"/>
    <w:rsid w:val="009C7155"/>
    <w:rsid w:val="009C7169"/>
    <w:rsid w:val="009C741F"/>
    <w:rsid w:val="009C7666"/>
    <w:rsid w:val="009C7734"/>
    <w:rsid w:val="009C79B9"/>
    <w:rsid w:val="009C7E4E"/>
    <w:rsid w:val="009C7EBB"/>
    <w:rsid w:val="009D0236"/>
    <w:rsid w:val="009D05AC"/>
    <w:rsid w:val="009D05D2"/>
    <w:rsid w:val="009D0A05"/>
    <w:rsid w:val="009D0B0A"/>
    <w:rsid w:val="009D0B99"/>
    <w:rsid w:val="009D0DC0"/>
    <w:rsid w:val="009D0E30"/>
    <w:rsid w:val="009D1198"/>
    <w:rsid w:val="009D1419"/>
    <w:rsid w:val="009D16A4"/>
    <w:rsid w:val="009D17B3"/>
    <w:rsid w:val="009D1868"/>
    <w:rsid w:val="009D1A29"/>
    <w:rsid w:val="009D1AC2"/>
    <w:rsid w:val="009D1AD6"/>
    <w:rsid w:val="009D1D2B"/>
    <w:rsid w:val="009D218C"/>
    <w:rsid w:val="009D22A7"/>
    <w:rsid w:val="009D25E4"/>
    <w:rsid w:val="009D265A"/>
    <w:rsid w:val="009D2783"/>
    <w:rsid w:val="009D280D"/>
    <w:rsid w:val="009D2892"/>
    <w:rsid w:val="009D29BB"/>
    <w:rsid w:val="009D2CFC"/>
    <w:rsid w:val="009D303A"/>
    <w:rsid w:val="009D3130"/>
    <w:rsid w:val="009D32D6"/>
    <w:rsid w:val="009D332D"/>
    <w:rsid w:val="009D334A"/>
    <w:rsid w:val="009D34D5"/>
    <w:rsid w:val="009D3724"/>
    <w:rsid w:val="009D3789"/>
    <w:rsid w:val="009D3A5B"/>
    <w:rsid w:val="009D3B1F"/>
    <w:rsid w:val="009D3C4C"/>
    <w:rsid w:val="009D3D95"/>
    <w:rsid w:val="009D3DB2"/>
    <w:rsid w:val="009D3DC9"/>
    <w:rsid w:val="009D405B"/>
    <w:rsid w:val="009D41F7"/>
    <w:rsid w:val="009D426D"/>
    <w:rsid w:val="009D434A"/>
    <w:rsid w:val="009D43F6"/>
    <w:rsid w:val="009D4680"/>
    <w:rsid w:val="009D4B78"/>
    <w:rsid w:val="009D4DCD"/>
    <w:rsid w:val="009D4F2E"/>
    <w:rsid w:val="009D5080"/>
    <w:rsid w:val="009D539C"/>
    <w:rsid w:val="009D54A9"/>
    <w:rsid w:val="009D58C1"/>
    <w:rsid w:val="009D5F01"/>
    <w:rsid w:val="009D6024"/>
    <w:rsid w:val="009D6518"/>
    <w:rsid w:val="009D67F5"/>
    <w:rsid w:val="009D6866"/>
    <w:rsid w:val="009D6A0E"/>
    <w:rsid w:val="009D6A13"/>
    <w:rsid w:val="009D6BD1"/>
    <w:rsid w:val="009D6F8E"/>
    <w:rsid w:val="009D707F"/>
    <w:rsid w:val="009D708D"/>
    <w:rsid w:val="009D719E"/>
    <w:rsid w:val="009D723C"/>
    <w:rsid w:val="009D7387"/>
    <w:rsid w:val="009D7510"/>
    <w:rsid w:val="009D76F9"/>
    <w:rsid w:val="009D78CF"/>
    <w:rsid w:val="009D78F0"/>
    <w:rsid w:val="009D7B04"/>
    <w:rsid w:val="009D7F3E"/>
    <w:rsid w:val="009D7FBD"/>
    <w:rsid w:val="009E0301"/>
    <w:rsid w:val="009E03C2"/>
    <w:rsid w:val="009E0542"/>
    <w:rsid w:val="009E05D8"/>
    <w:rsid w:val="009E0789"/>
    <w:rsid w:val="009E079A"/>
    <w:rsid w:val="009E08D4"/>
    <w:rsid w:val="009E09E0"/>
    <w:rsid w:val="009E0D31"/>
    <w:rsid w:val="009E0EA6"/>
    <w:rsid w:val="009E0ED4"/>
    <w:rsid w:val="009E0FE1"/>
    <w:rsid w:val="009E10EE"/>
    <w:rsid w:val="009E11B5"/>
    <w:rsid w:val="009E13EA"/>
    <w:rsid w:val="009E14B0"/>
    <w:rsid w:val="009E15BD"/>
    <w:rsid w:val="009E162F"/>
    <w:rsid w:val="009E17FE"/>
    <w:rsid w:val="009E1848"/>
    <w:rsid w:val="009E1859"/>
    <w:rsid w:val="009E1A21"/>
    <w:rsid w:val="009E1AA7"/>
    <w:rsid w:val="009E1ABB"/>
    <w:rsid w:val="009E1BA1"/>
    <w:rsid w:val="009E1CC0"/>
    <w:rsid w:val="009E1D6D"/>
    <w:rsid w:val="009E1F2A"/>
    <w:rsid w:val="009E1FE1"/>
    <w:rsid w:val="009E230F"/>
    <w:rsid w:val="009E24E6"/>
    <w:rsid w:val="009E2569"/>
    <w:rsid w:val="009E25DF"/>
    <w:rsid w:val="009E27BB"/>
    <w:rsid w:val="009E285E"/>
    <w:rsid w:val="009E2C91"/>
    <w:rsid w:val="009E2E0E"/>
    <w:rsid w:val="009E2EFA"/>
    <w:rsid w:val="009E2FC8"/>
    <w:rsid w:val="009E3061"/>
    <w:rsid w:val="009E341A"/>
    <w:rsid w:val="009E3739"/>
    <w:rsid w:val="009E384F"/>
    <w:rsid w:val="009E387B"/>
    <w:rsid w:val="009E3A84"/>
    <w:rsid w:val="009E3B83"/>
    <w:rsid w:val="009E3BA0"/>
    <w:rsid w:val="009E40F8"/>
    <w:rsid w:val="009E421C"/>
    <w:rsid w:val="009E4371"/>
    <w:rsid w:val="009E451C"/>
    <w:rsid w:val="009E4537"/>
    <w:rsid w:val="009E4847"/>
    <w:rsid w:val="009E4967"/>
    <w:rsid w:val="009E4A0F"/>
    <w:rsid w:val="009E4A78"/>
    <w:rsid w:val="009E4E0F"/>
    <w:rsid w:val="009E4F55"/>
    <w:rsid w:val="009E4FA0"/>
    <w:rsid w:val="009E53B2"/>
    <w:rsid w:val="009E577E"/>
    <w:rsid w:val="009E5BEA"/>
    <w:rsid w:val="009E5F82"/>
    <w:rsid w:val="009E606B"/>
    <w:rsid w:val="009E60B3"/>
    <w:rsid w:val="009E6276"/>
    <w:rsid w:val="009E6293"/>
    <w:rsid w:val="009E65D6"/>
    <w:rsid w:val="009E6A25"/>
    <w:rsid w:val="009E6B1B"/>
    <w:rsid w:val="009E6B28"/>
    <w:rsid w:val="009E6C9D"/>
    <w:rsid w:val="009E6E7F"/>
    <w:rsid w:val="009E6EA1"/>
    <w:rsid w:val="009E7031"/>
    <w:rsid w:val="009E70D5"/>
    <w:rsid w:val="009E749D"/>
    <w:rsid w:val="009E7BFA"/>
    <w:rsid w:val="009E7C01"/>
    <w:rsid w:val="009E7C7C"/>
    <w:rsid w:val="009E7D00"/>
    <w:rsid w:val="009E7D2F"/>
    <w:rsid w:val="009E7F9C"/>
    <w:rsid w:val="009F0108"/>
    <w:rsid w:val="009F015C"/>
    <w:rsid w:val="009F0210"/>
    <w:rsid w:val="009F0435"/>
    <w:rsid w:val="009F0B8E"/>
    <w:rsid w:val="009F12C4"/>
    <w:rsid w:val="009F14D7"/>
    <w:rsid w:val="009F153B"/>
    <w:rsid w:val="009F1548"/>
    <w:rsid w:val="009F16F7"/>
    <w:rsid w:val="009F1826"/>
    <w:rsid w:val="009F1CF5"/>
    <w:rsid w:val="009F1CFE"/>
    <w:rsid w:val="009F1DD5"/>
    <w:rsid w:val="009F1DF0"/>
    <w:rsid w:val="009F1FF0"/>
    <w:rsid w:val="009F20D4"/>
    <w:rsid w:val="009F2328"/>
    <w:rsid w:val="009F2464"/>
    <w:rsid w:val="009F2483"/>
    <w:rsid w:val="009F2656"/>
    <w:rsid w:val="009F283C"/>
    <w:rsid w:val="009F2A5A"/>
    <w:rsid w:val="009F2ABB"/>
    <w:rsid w:val="009F2CF3"/>
    <w:rsid w:val="009F2E95"/>
    <w:rsid w:val="009F2EFE"/>
    <w:rsid w:val="009F2FE9"/>
    <w:rsid w:val="009F2FFC"/>
    <w:rsid w:val="009F3032"/>
    <w:rsid w:val="009F36B5"/>
    <w:rsid w:val="009F3B13"/>
    <w:rsid w:val="009F3CFF"/>
    <w:rsid w:val="009F3DDA"/>
    <w:rsid w:val="009F3F50"/>
    <w:rsid w:val="009F4301"/>
    <w:rsid w:val="009F4489"/>
    <w:rsid w:val="009F483F"/>
    <w:rsid w:val="009F488A"/>
    <w:rsid w:val="009F4978"/>
    <w:rsid w:val="009F497E"/>
    <w:rsid w:val="009F4BF1"/>
    <w:rsid w:val="009F4CFE"/>
    <w:rsid w:val="009F4DA3"/>
    <w:rsid w:val="009F5046"/>
    <w:rsid w:val="009F535B"/>
    <w:rsid w:val="009F536D"/>
    <w:rsid w:val="009F552D"/>
    <w:rsid w:val="009F565B"/>
    <w:rsid w:val="009F5800"/>
    <w:rsid w:val="009F58D7"/>
    <w:rsid w:val="009F5B51"/>
    <w:rsid w:val="009F5DCB"/>
    <w:rsid w:val="009F5EBB"/>
    <w:rsid w:val="009F602C"/>
    <w:rsid w:val="009F629A"/>
    <w:rsid w:val="009F62B0"/>
    <w:rsid w:val="009F651D"/>
    <w:rsid w:val="009F68EC"/>
    <w:rsid w:val="009F691E"/>
    <w:rsid w:val="009F6B79"/>
    <w:rsid w:val="009F6C77"/>
    <w:rsid w:val="009F6DE2"/>
    <w:rsid w:val="009F6ED6"/>
    <w:rsid w:val="009F6F97"/>
    <w:rsid w:val="009F706B"/>
    <w:rsid w:val="009F71DB"/>
    <w:rsid w:val="009F721F"/>
    <w:rsid w:val="009F7371"/>
    <w:rsid w:val="009F7423"/>
    <w:rsid w:val="009F74A2"/>
    <w:rsid w:val="009F7654"/>
    <w:rsid w:val="009F7736"/>
    <w:rsid w:val="009F78BB"/>
    <w:rsid w:val="009F7A07"/>
    <w:rsid w:val="009F7AE5"/>
    <w:rsid w:val="009F7B18"/>
    <w:rsid w:val="009F7C32"/>
    <w:rsid w:val="009F7DAC"/>
    <w:rsid w:val="009F7EBD"/>
    <w:rsid w:val="00A001E6"/>
    <w:rsid w:val="00A0021B"/>
    <w:rsid w:val="00A0043D"/>
    <w:rsid w:val="00A005F1"/>
    <w:rsid w:val="00A006F8"/>
    <w:rsid w:val="00A0070D"/>
    <w:rsid w:val="00A008D7"/>
    <w:rsid w:val="00A008DB"/>
    <w:rsid w:val="00A00E66"/>
    <w:rsid w:val="00A00FCE"/>
    <w:rsid w:val="00A017DC"/>
    <w:rsid w:val="00A0183E"/>
    <w:rsid w:val="00A018C6"/>
    <w:rsid w:val="00A01924"/>
    <w:rsid w:val="00A0198A"/>
    <w:rsid w:val="00A019FA"/>
    <w:rsid w:val="00A01BCB"/>
    <w:rsid w:val="00A01E49"/>
    <w:rsid w:val="00A01EC3"/>
    <w:rsid w:val="00A01FBE"/>
    <w:rsid w:val="00A02215"/>
    <w:rsid w:val="00A0238D"/>
    <w:rsid w:val="00A02540"/>
    <w:rsid w:val="00A02985"/>
    <w:rsid w:val="00A02A43"/>
    <w:rsid w:val="00A02A5C"/>
    <w:rsid w:val="00A02DBD"/>
    <w:rsid w:val="00A02EA3"/>
    <w:rsid w:val="00A03014"/>
    <w:rsid w:val="00A030F1"/>
    <w:rsid w:val="00A0347B"/>
    <w:rsid w:val="00A03A23"/>
    <w:rsid w:val="00A03A8F"/>
    <w:rsid w:val="00A03C22"/>
    <w:rsid w:val="00A0412A"/>
    <w:rsid w:val="00A0428A"/>
    <w:rsid w:val="00A043DA"/>
    <w:rsid w:val="00A0442F"/>
    <w:rsid w:val="00A0455B"/>
    <w:rsid w:val="00A049FB"/>
    <w:rsid w:val="00A04D28"/>
    <w:rsid w:val="00A04F11"/>
    <w:rsid w:val="00A051C4"/>
    <w:rsid w:val="00A0533D"/>
    <w:rsid w:val="00A053AC"/>
    <w:rsid w:val="00A053F3"/>
    <w:rsid w:val="00A055CE"/>
    <w:rsid w:val="00A056D2"/>
    <w:rsid w:val="00A05740"/>
    <w:rsid w:val="00A057DF"/>
    <w:rsid w:val="00A059CE"/>
    <w:rsid w:val="00A05A1E"/>
    <w:rsid w:val="00A05C59"/>
    <w:rsid w:val="00A05CAA"/>
    <w:rsid w:val="00A0602A"/>
    <w:rsid w:val="00A0617C"/>
    <w:rsid w:val="00A06191"/>
    <w:rsid w:val="00A062B8"/>
    <w:rsid w:val="00A067F1"/>
    <w:rsid w:val="00A0682E"/>
    <w:rsid w:val="00A06A28"/>
    <w:rsid w:val="00A06FAF"/>
    <w:rsid w:val="00A0708B"/>
    <w:rsid w:val="00A070AF"/>
    <w:rsid w:val="00A073B3"/>
    <w:rsid w:val="00A0742B"/>
    <w:rsid w:val="00A07832"/>
    <w:rsid w:val="00A07BA4"/>
    <w:rsid w:val="00A07C47"/>
    <w:rsid w:val="00A07E54"/>
    <w:rsid w:val="00A07ECE"/>
    <w:rsid w:val="00A10130"/>
    <w:rsid w:val="00A1025D"/>
    <w:rsid w:val="00A102A1"/>
    <w:rsid w:val="00A102AB"/>
    <w:rsid w:val="00A1030F"/>
    <w:rsid w:val="00A10495"/>
    <w:rsid w:val="00A1085B"/>
    <w:rsid w:val="00A109E9"/>
    <w:rsid w:val="00A10CA8"/>
    <w:rsid w:val="00A10D10"/>
    <w:rsid w:val="00A10D8F"/>
    <w:rsid w:val="00A10FB9"/>
    <w:rsid w:val="00A110FF"/>
    <w:rsid w:val="00A1137C"/>
    <w:rsid w:val="00A11583"/>
    <w:rsid w:val="00A11657"/>
    <w:rsid w:val="00A116E9"/>
    <w:rsid w:val="00A1186E"/>
    <w:rsid w:val="00A119AE"/>
    <w:rsid w:val="00A11ABB"/>
    <w:rsid w:val="00A11C4D"/>
    <w:rsid w:val="00A11E7E"/>
    <w:rsid w:val="00A1201B"/>
    <w:rsid w:val="00A1205A"/>
    <w:rsid w:val="00A120A3"/>
    <w:rsid w:val="00A12171"/>
    <w:rsid w:val="00A121B7"/>
    <w:rsid w:val="00A124F0"/>
    <w:rsid w:val="00A12964"/>
    <w:rsid w:val="00A12970"/>
    <w:rsid w:val="00A129C8"/>
    <w:rsid w:val="00A12F0D"/>
    <w:rsid w:val="00A12FBD"/>
    <w:rsid w:val="00A131C4"/>
    <w:rsid w:val="00A133C1"/>
    <w:rsid w:val="00A13439"/>
    <w:rsid w:val="00A13545"/>
    <w:rsid w:val="00A13896"/>
    <w:rsid w:val="00A13C0F"/>
    <w:rsid w:val="00A13E32"/>
    <w:rsid w:val="00A14121"/>
    <w:rsid w:val="00A14293"/>
    <w:rsid w:val="00A1431D"/>
    <w:rsid w:val="00A14385"/>
    <w:rsid w:val="00A143B2"/>
    <w:rsid w:val="00A14424"/>
    <w:rsid w:val="00A1456E"/>
    <w:rsid w:val="00A14687"/>
    <w:rsid w:val="00A14CBC"/>
    <w:rsid w:val="00A14D41"/>
    <w:rsid w:val="00A14FE4"/>
    <w:rsid w:val="00A15147"/>
    <w:rsid w:val="00A1593A"/>
    <w:rsid w:val="00A159D8"/>
    <w:rsid w:val="00A15CAE"/>
    <w:rsid w:val="00A16110"/>
    <w:rsid w:val="00A162B6"/>
    <w:rsid w:val="00A1648D"/>
    <w:rsid w:val="00A1654A"/>
    <w:rsid w:val="00A16926"/>
    <w:rsid w:val="00A16E36"/>
    <w:rsid w:val="00A16ED8"/>
    <w:rsid w:val="00A16F03"/>
    <w:rsid w:val="00A16F08"/>
    <w:rsid w:val="00A16F2C"/>
    <w:rsid w:val="00A178D7"/>
    <w:rsid w:val="00A17C3B"/>
    <w:rsid w:val="00A17DDF"/>
    <w:rsid w:val="00A201FE"/>
    <w:rsid w:val="00A20382"/>
    <w:rsid w:val="00A209F5"/>
    <w:rsid w:val="00A20A3E"/>
    <w:rsid w:val="00A20C27"/>
    <w:rsid w:val="00A20C5A"/>
    <w:rsid w:val="00A20CBD"/>
    <w:rsid w:val="00A20F5B"/>
    <w:rsid w:val="00A2106A"/>
    <w:rsid w:val="00A211B1"/>
    <w:rsid w:val="00A2126C"/>
    <w:rsid w:val="00A21430"/>
    <w:rsid w:val="00A21443"/>
    <w:rsid w:val="00A21A2C"/>
    <w:rsid w:val="00A21A3E"/>
    <w:rsid w:val="00A21ADF"/>
    <w:rsid w:val="00A21DF3"/>
    <w:rsid w:val="00A21F30"/>
    <w:rsid w:val="00A21FE8"/>
    <w:rsid w:val="00A222E6"/>
    <w:rsid w:val="00A2248A"/>
    <w:rsid w:val="00A226E2"/>
    <w:rsid w:val="00A22B19"/>
    <w:rsid w:val="00A22C73"/>
    <w:rsid w:val="00A22C8A"/>
    <w:rsid w:val="00A22E7F"/>
    <w:rsid w:val="00A23067"/>
    <w:rsid w:val="00A23091"/>
    <w:rsid w:val="00A23366"/>
    <w:rsid w:val="00A23420"/>
    <w:rsid w:val="00A2354F"/>
    <w:rsid w:val="00A236B3"/>
    <w:rsid w:val="00A23852"/>
    <w:rsid w:val="00A239D8"/>
    <w:rsid w:val="00A23A15"/>
    <w:rsid w:val="00A23DBE"/>
    <w:rsid w:val="00A24176"/>
    <w:rsid w:val="00A24297"/>
    <w:rsid w:val="00A246E8"/>
    <w:rsid w:val="00A24718"/>
    <w:rsid w:val="00A2471D"/>
    <w:rsid w:val="00A247EE"/>
    <w:rsid w:val="00A24974"/>
    <w:rsid w:val="00A24B94"/>
    <w:rsid w:val="00A24C07"/>
    <w:rsid w:val="00A24FA6"/>
    <w:rsid w:val="00A25250"/>
    <w:rsid w:val="00A25526"/>
    <w:rsid w:val="00A255D5"/>
    <w:rsid w:val="00A255D8"/>
    <w:rsid w:val="00A255FA"/>
    <w:rsid w:val="00A256A4"/>
    <w:rsid w:val="00A256AB"/>
    <w:rsid w:val="00A25784"/>
    <w:rsid w:val="00A259C5"/>
    <w:rsid w:val="00A25ACF"/>
    <w:rsid w:val="00A25B93"/>
    <w:rsid w:val="00A25BEB"/>
    <w:rsid w:val="00A25CB5"/>
    <w:rsid w:val="00A25CFF"/>
    <w:rsid w:val="00A25D9C"/>
    <w:rsid w:val="00A25EC9"/>
    <w:rsid w:val="00A26033"/>
    <w:rsid w:val="00A26207"/>
    <w:rsid w:val="00A26440"/>
    <w:rsid w:val="00A26488"/>
    <w:rsid w:val="00A267E4"/>
    <w:rsid w:val="00A26DBC"/>
    <w:rsid w:val="00A26E49"/>
    <w:rsid w:val="00A26ED6"/>
    <w:rsid w:val="00A26F27"/>
    <w:rsid w:val="00A26F79"/>
    <w:rsid w:val="00A2701F"/>
    <w:rsid w:val="00A2705B"/>
    <w:rsid w:val="00A271FE"/>
    <w:rsid w:val="00A274DD"/>
    <w:rsid w:val="00A27900"/>
    <w:rsid w:val="00A27990"/>
    <w:rsid w:val="00A27996"/>
    <w:rsid w:val="00A27A48"/>
    <w:rsid w:val="00A27BE6"/>
    <w:rsid w:val="00A27E89"/>
    <w:rsid w:val="00A27F7D"/>
    <w:rsid w:val="00A3031B"/>
    <w:rsid w:val="00A306C3"/>
    <w:rsid w:val="00A30780"/>
    <w:rsid w:val="00A307EC"/>
    <w:rsid w:val="00A309F4"/>
    <w:rsid w:val="00A30CAF"/>
    <w:rsid w:val="00A30D62"/>
    <w:rsid w:val="00A30D9B"/>
    <w:rsid w:val="00A30F26"/>
    <w:rsid w:val="00A30F8C"/>
    <w:rsid w:val="00A311EB"/>
    <w:rsid w:val="00A3138A"/>
    <w:rsid w:val="00A31785"/>
    <w:rsid w:val="00A31A97"/>
    <w:rsid w:val="00A31CFA"/>
    <w:rsid w:val="00A31FDA"/>
    <w:rsid w:val="00A3215B"/>
    <w:rsid w:val="00A3221B"/>
    <w:rsid w:val="00A324F6"/>
    <w:rsid w:val="00A3266B"/>
    <w:rsid w:val="00A32A21"/>
    <w:rsid w:val="00A32E1B"/>
    <w:rsid w:val="00A330E5"/>
    <w:rsid w:val="00A3320D"/>
    <w:rsid w:val="00A33452"/>
    <w:rsid w:val="00A33506"/>
    <w:rsid w:val="00A3389D"/>
    <w:rsid w:val="00A338CE"/>
    <w:rsid w:val="00A3392F"/>
    <w:rsid w:val="00A33EAF"/>
    <w:rsid w:val="00A342ED"/>
    <w:rsid w:val="00A34673"/>
    <w:rsid w:val="00A347B9"/>
    <w:rsid w:val="00A34ABE"/>
    <w:rsid w:val="00A34D66"/>
    <w:rsid w:val="00A34EBF"/>
    <w:rsid w:val="00A3502D"/>
    <w:rsid w:val="00A35142"/>
    <w:rsid w:val="00A351A8"/>
    <w:rsid w:val="00A35232"/>
    <w:rsid w:val="00A35242"/>
    <w:rsid w:val="00A353F0"/>
    <w:rsid w:val="00A355D4"/>
    <w:rsid w:val="00A355ED"/>
    <w:rsid w:val="00A35613"/>
    <w:rsid w:val="00A3566A"/>
    <w:rsid w:val="00A35866"/>
    <w:rsid w:val="00A35C64"/>
    <w:rsid w:val="00A35D45"/>
    <w:rsid w:val="00A361DD"/>
    <w:rsid w:val="00A3624D"/>
    <w:rsid w:val="00A36265"/>
    <w:rsid w:val="00A36332"/>
    <w:rsid w:val="00A364CC"/>
    <w:rsid w:val="00A365B2"/>
    <w:rsid w:val="00A3667A"/>
    <w:rsid w:val="00A36698"/>
    <w:rsid w:val="00A367E8"/>
    <w:rsid w:val="00A368AA"/>
    <w:rsid w:val="00A36916"/>
    <w:rsid w:val="00A36988"/>
    <w:rsid w:val="00A36A36"/>
    <w:rsid w:val="00A36AC4"/>
    <w:rsid w:val="00A3711F"/>
    <w:rsid w:val="00A3713B"/>
    <w:rsid w:val="00A372C7"/>
    <w:rsid w:val="00A37318"/>
    <w:rsid w:val="00A377CE"/>
    <w:rsid w:val="00A37B1C"/>
    <w:rsid w:val="00A37C3C"/>
    <w:rsid w:val="00A37D66"/>
    <w:rsid w:val="00A37E55"/>
    <w:rsid w:val="00A37EB9"/>
    <w:rsid w:val="00A40158"/>
    <w:rsid w:val="00A40225"/>
    <w:rsid w:val="00A4048D"/>
    <w:rsid w:val="00A4093B"/>
    <w:rsid w:val="00A40AEF"/>
    <w:rsid w:val="00A40EF8"/>
    <w:rsid w:val="00A413FB"/>
    <w:rsid w:val="00A41813"/>
    <w:rsid w:val="00A418F1"/>
    <w:rsid w:val="00A41E41"/>
    <w:rsid w:val="00A41F2F"/>
    <w:rsid w:val="00A420B9"/>
    <w:rsid w:val="00A420D6"/>
    <w:rsid w:val="00A42184"/>
    <w:rsid w:val="00A421A2"/>
    <w:rsid w:val="00A421C5"/>
    <w:rsid w:val="00A42569"/>
    <w:rsid w:val="00A427EF"/>
    <w:rsid w:val="00A42822"/>
    <w:rsid w:val="00A42BB1"/>
    <w:rsid w:val="00A42E5C"/>
    <w:rsid w:val="00A42F90"/>
    <w:rsid w:val="00A42FC7"/>
    <w:rsid w:val="00A430B3"/>
    <w:rsid w:val="00A430D5"/>
    <w:rsid w:val="00A433DE"/>
    <w:rsid w:val="00A4364A"/>
    <w:rsid w:val="00A43660"/>
    <w:rsid w:val="00A437BC"/>
    <w:rsid w:val="00A43A6C"/>
    <w:rsid w:val="00A43ABB"/>
    <w:rsid w:val="00A43ACD"/>
    <w:rsid w:val="00A43C1F"/>
    <w:rsid w:val="00A43DBD"/>
    <w:rsid w:val="00A43EB5"/>
    <w:rsid w:val="00A4403D"/>
    <w:rsid w:val="00A444AC"/>
    <w:rsid w:val="00A44609"/>
    <w:rsid w:val="00A4461F"/>
    <w:rsid w:val="00A44700"/>
    <w:rsid w:val="00A447A1"/>
    <w:rsid w:val="00A449CD"/>
    <w:rsid w:val="00A44A17"/>
    <w:rsid w:val="00A44ED0"/>
    <w:rsid w:val="00A44F6B"/>
    <w:rsid w:val="00A45143"/>
    <w:rsid w:val="00A454D1"/>
    <w:rsid w:val="00A457DC"/>
    <w:rsid w:val="00A458C1"/>
    <w:rsid w:val="00A4593E"/>
    <w:rsid w:val="00A45A84"/>
    <w:rsid w:val="00A4629D"/>
    <w:rsid w:val="00A4643A"/>
    <w:rsid w:val="00A469F2"/>
    <w:rsid w:val="00A46B00"/>
    <w:rsid w:val="00A46B88"/>
    <w:rsid w:val="00A46B8E"/>
    <w:rsid w:val="00A46C87"/>
    <w:rsid w:val="00A46D63"/>
    <w:rsid w:val="00A46F5E"/>
    <w:rsid w:val="00A4726F"/>
    <w:rsid w:val="00A475A5"/>
    <w:rsid w:val="00A475EB"/>
    <w:rsid w:val="00A478FB"/>
    <w:rsid w:val="00A47AA1"/>
    <w:rsid w:val="00A47E56"/>
    <w:rsid w:val="00A47E61"/>
    <w:rsid w:val="00A47EEC"/>
    <w:rsid w:val="00A50387"/>
    <w:rsid w:val="00A507A0"/>
    <w:rsid w:val="00A5128F"/>
    <w:rsid w:val="00A51742"/>
    <w:rsid w:val="00A51834"/>
    <w:rsid w:val="00A51A41"/>
    <w:rsid w:val="00A51C4B"/>
    <w:rsid w:val="00A52002"/>
    <w:rsid w:val="00A520A2"/>
    <w:rsid w:val="00A52326"/>
    <w:rsid w:val="00A52487"/>
    <w:rsid w:val="00A52529"/>
    <w:rsid w:val="00A52547"/>
    <w:rsid w:val="00A5255B"/>
    <w:rsid w:val="00A5260A"/>
    <w:rsid w:val="00A528E0"/>
    <w:rsid w:val="00A52900"/>
    <w:rsid w:val="00A52B07"/>
    <w:rsid w:val="00A52B81"/>
    <w:rsid w:val="00A52D14"/>
    <w:rsid w:val="00A52F38"/>
    <w:rsid w:val="00A530BC"/>
    <w:rsid w:val="00A531E3"/>
    <w:rsid w:val="00A5342F"/>
    <w:rsid w:val="00A5349E"/>
    <w:rsid w:val="00A5360F"/>
    <w:rsid w:val="00A536A2"/>
    <w:rsid w:val="00A536CC"/>
    <w:rsid w:val="00A537E2"/>
    <w:rsid w:val="00A53875"/>
    <w:rsid w:val="00A53C2A"/>
    <w:rsid w:val="00A53D84"/>
    <w:rsid w:val="00A53E1A"/>
    <w:rsid w:val="00A53EB1"/>
    <w:rsid w:val="00A53ECD"/>
    <w:rsid w:val="00A5405B"/>
    <w:rsid w:val="00A5430E"/>
    <w:rsid w:val="00A5433E"/>
    <w:rsid w:val="00A5447A"/>
    <w:rsid w:val="00A54748"/>
    <w:rsid w:val="00A547AF"/>
    <w:rsid w:val="00A54922"/>
    <w:rsid w:val="00A54C86"/>
    <w:rsid w:val="00A54CEA"/>
    <w:rsid w:val="00A55065"/>
    <w:rsid w:val="00A5583A"/>
    <w:rsid w:val="00A55994"/>
    <w:rsid w:val="00A55CDD"/>
    <w:rsid w:val="00A55E0D"/>
    <w:rsid w:val="00A55F11"/>
    <w:rsid w:val="00A5601C"/>
    <w:rsid w:val="00A56426"/>
    <w:rsid w:val="00A564F1"/>
    <w:rsid w:val="00A565EC"/>
    <w:rsid w:val="00A5671F"/>
    <w:rsid w:val="00A56758"/>
    <w:rsid w:val="00A567BA"/>
    <w:rsid w:val="00A56BAE"/>
    <w:rsid w:val="00A56DFC"/>
    <w:rsid w:val="00A56E09"/>
    <w:rsid w:val="00A56EC6"/>
    <w:rsid w:val="00A570AD"/>
    <w:rsid w:val="00A57180"/>
    <w:rsid w:val="00A57296"/>
    <w:rsid w:val="00A574C9"/>
    <w:rsid w:val="00A574D8"/>
    <w:rsid w:val="00A57A07"/>
    <w:rsid w:val="00A60163"/>
    <w:rsid w:val="00A6032A"/>
    <w:rsid w:val="00A603DF"/>
    <w:rsid w:val="00A604D2"/>
    <w:rsid w:val="00A6051F"/>
    <w:rsid w:val="00A60668"/>
    <w:rsid w:val="00A60B48"/>
    <w:rsid w:val="00A60D45"/>
    <w:rsid w:val="00A61117"/>
    <w:rsid w:val="00A611F3"/>
    <w:rsid w:val="00A6120C"/>
    <w:rsid w:val="00A618B0"/>
    <w:rsid w:val="00A61A4B"/>
    <w:rsid w:val="00A61A83"/>
    <w:rsid w:val="00A61B4B"/>
    <w:rsid w:val="00A61B77"/>
    <w:rsid w:val="00A61E03"/>
    <w:rsid w:val="00A61EE8"/>
    <w:rsid w:val="00A620F9"/>
    <w:rsid w:val="00A621ED"/>
    <w:rsid w:val="00A62222"/>
    <w:rsid w:val="00A62430"/>
    <w:rsid w:val="00A626B6"/>
    <w:rsid w:val="00A626BB"/>
    <w:rsid w:val="00A6293D"/>
    <w:rsid w:val="00A62C6C"/>
    <w:rsid w:val="00A62D3D"/>
    <w:rsid w:val="00A62D81"/>
    <w:rsid w:val="00A62E43"/>
    <w:rsid w:val="00A6335A"/>
    <w:rsid w:val="00A6346D"/>
    <w:rsid w:val="00A63CE3"/>
    <w:rsid w:val="00A63EE9"/>
    <w:rsid w:val="00A63F3C"/>
    <w:rsid w:val="00A6407A"/>
    <w:rsid w:val="00A64096"/>
    <w:rsid w:val="00A641D1"/>
    <w:rsid w:val="00A64291"/>
    <w:rsid w:val="00A643BD"/>
    <w:rsid w:val="00A649A3"/>
    <w:rsid w:val="00A64DAC"/>
    <w:rsid w:val="00A6517B"/>
    <w:rsid w:val="00A65497"/>
    <w:rsid w:val="00A656F1"/>
    <w:rsid w:val="00A65764"/>
    <w:rsid w:val="00A65B33"/>
    <w:rsid w:val="00A65D5B"/>
    <w:rsid w:val="00A65DAD"/>
    <w:rsid w:val="00A663F7"/>
    <w:rsid w:val="00A667C6"/>
    <w:rsid w:val="00A66807"/>
    <w:rsid w:val="00A66BB2"/>
    <w:rsid w:val="00A66F03"/>
    <w:rsid w:val="00A66F16"/>
    <w:rsid w:val="00A66FB7"/>
    <w:rsid w:val="00A672E3"/>
    <w:rsid w:val="00A675E1"/>
    <w:rsid w:val="00A67AF4"/>
    <w:rsid w:val="00A67AFE"/>
    <w:rsid w:val="00A67B25"/>
    <w:rsid w:val="00A67BAB"/>
    <w:rsid w:val="00A70829"/>
    <w:rsid w:val="00A708FD"/>
    <w:rsid w:val="00A70A47"/>
    <w:rsid w:val="00A70FC3"/>
    <w:rsid w:val="00A713A1"/>
    <w:rsid w:val="00A715F6"/>
    <w:rsid w:val="00A71636"/>
    <w:rsid w:val="00A71743"/>
    <w:rsid w:val="00A718AA"/>
    <w:rsid w:val="00A718DE"/>
    <w:rsid w:val="00A71900"/>
    <w:rsid w:val="00A71992"/>
    <w:rsid w:val="00A7199A"/>
    <w:rsid w:val="00A71AC4"/>
    <w:rsid w:val="00A71CEF"/>
    <w:rsid w:val="00A71D7D"/>
    <w:rsid w:val="00A71F3B"/>
    <w:rsid w:val="00A7232D"/>
    <w:rsid w:val="00A724D7"/>
    <w:rsid w:val="00A726CB"/>
    <w:rsid w:val="00A72839"/>
    <w:rsid w:val="00A72858"/>
    <w:rsid w:val="00A72A19"/>
    <w:rsid w:val="00A72A26"/>
    <w:rsid w:val="00A72C95"/>
    <w:rsid w:val="00A73054"/>
    <w:rsid w:val="00A7326D"/>
    <w:rsid w:val="00A73405"/>
    <w:rsid w:val="00A73474"/>
    <w:rsid w:val="00A734A9"/>
    <w:rsid w:val="00A734E6"/>
    <w:rsid w:val="00A7369C"/>
    <w:rsid w:val="00A7372E"/>
    <w:rsid w:val="00A73ADE"/>
    <w:rsid w:val="00A73C65"/>
    <w:rsid w:val="00A73D1D"/>
    <w:rsid w:val="00A73DEC"/>
    <w:rsid w:val="00A73EC5"/>
    <w:rsid w:val="00A741D0"/>
    <w:rsid w:val="00A74340"/>
    <w:rsid w:val="00A7448A"/>
    <w:rsid w:val="00A745F7"/>
    <w:rsid w:val="00A7472B"/>
    <w:rsid w:val="00A74760"/>
    <w:rsid w:val="00A7476D"/>
    <w:rsid w:val="00A74A6B"/>
    <w:rsid w:val="00A74AFC"/>
    <w:rsid w:val="00A74D4B"/>
    <w:rsid w:val="00A75042"/>
    <w:rsid w:val="00A751B3"/>
    <w:rsid w:val="00A7522C"/>
    <w:rsid w:val="00A7579D"/>
    <w:rsid w:val="00A759FB"/>
    <w:rsid w:val="00A75C3D"/>
    <w:rsid w:val="00A75CD4"/>
    <w:rsid w:val="00A75CDB"/>
    <w:rsid w:val="00A75E56"/>
    <w:rsid w:val="00A75E6B"/>
    <w:rsid w:val="00A76023"/>
    <w:rsid w:val="00A7625A"/>
    <w:rsid w:val="00A7641A"/>
    <w:rsid w:val="00A764A7"/>
    <w:rsid w:val="00A7662E"/>
    <w:rsid w:val="00A76663"/>
    <w:rsid w:val="00A76676"/>
    <w:rsid w:val="00A7685B"/>
    <w:rsid w:val="00A76CC7"/>
    <w:rsid w:val="00A76E6C"/>
    <w:rsid w:val="00A76ED1"/>
    <w:rsid w:val="00A76F0D"/>
    <w:rsid w:val="00A77012"/>
    <w:rsid w:val="00A77177"/>
    <w:rsid w:val="00A779DC"/>
    <w:rsid w:val="00A77ECC"/>
    <w:rsid w:val="00A77EEF"/>
    <w:rsid w:val="00A77F7A"/>
    <w:rsid w:val="00A80077"/>
    <w:rsid w:val="00A8036A"/>
    <w:rsid w:val="00A80AB7"/>
    <w:rsid w:val="00A80AEB"/>
    <w:rsid w:val="00A80C2D"/>
    <w:rsid w:val="00A80D8A"/>
    <w:rsid w:val="00A80DC9"/>
    <w:rsid w:val="00A81097"/>
    <w:rsid w:val="00A8111F"/>
    <w:rsid w:val="00A81319"/>
    <w:rsid w:val="00A81351"/>
    <w:rsid w:val="00A81563"/>
    <w:rsid w:val="00A816B7"/>
    <w:rsid w:val="00A819F9"/>
    <w:rsid w:val="00A81A0D"/>
    <w:rsid w:val="00A81CBC"/>
    <w:rsid w:val="00A81EA6"/>
    <w:rsid w:val="00A8213E"/>
    <w:rsid w:val="00A82157"/>
    <w:rsid w:val="00A822A5"/>
    <w:rsid w:val="00A82D04"/>
    <w:rsid w:val="00A82D6E"/>
    <w:rsid w:val="00A82E9E"/>
    <w:rsid w:val="00A82F21"/>
    <w:rsid w:val="00A831F5"/>
    <w:rsid w:val="00A833E5"/>
    <w:rsid w:val="00A83507"/>
    <w:rsid w:val="00A8356D"/>
    <w:rsid w:val="00A835F7"/>
    <w:rsid w:val="00A8365A"/>
    <w:rsid w:val="00A837B5"/>
    <w:rsid w:val="00A838E7"/>
    <w:rsid w:val="00A83901"/>
    <w:rsid w:val="00A83CB8"/>
    <w:rsid w:val="00A83D2F"/>
    <w:rsid w:val="00A83D6F"/>
    <w:rsid w:val="00A83EB2"/>
    <w:rsid w:val="00A83EE1"/>
    <w:rsid w:val="00A8408B"/>
    <w:rsid w:val="00A84389"/>
    <w:rsid w:val="00A846B9"/>
    <w:rsid w:val="00A84734"/>
    <w:rsid w:val="00A84760"/>
    <w:rsid w:val="00A84899"/>
    <w:rsid w:val="00A84AC5"/>
    <w:rsid w:val="00A84BCE"/>
    <w:rsid w:val="00A84DFC"/>
    <w:rsid w:val="00A84E7A"/>
    <w:rsid w:val="00A84E83"/>
    <w:rsid w:val="00A84F7F"/>
    <w:rsid w:val="00A852C1"/>
    <w:rsid w:val="00A855C0"/>
    <w:rsid w:val="00A85AC2"/>
    <w:rsid w:val="00A861A0"/>
    <w:rsid w:val="00A8624C"/>
    <w:rsid w:val="00A864B7"/>
    <w:rsid w:val="00A86A14"/>
    <w:rsid w:val="00A86A53"/>
    <w:rsid w:val="00A86C9D"/>
    <w:rsid w:val="00A86D8D"/>
    <w:rsid w:val="00A86DC6"/>
    <w:rsid w:val="00A86DD8"/>
    <w:rsid w:val="00A86E21"/>
    <w:rsid w:val="00A86EE6"/>
    <w:rsid w:val="00A86FA0"/>
    <w:rsid w:val="00A873C4"/>
    <w:rsid w:val="00A874C4"/>
    <w:rsid w:val="00A877EB"/>
    <w:rsid w:val="00A8790E"/>
    <w:rsid w:val="00A87934"/>
    <w:rsid w:val="00A87978"/>
    <w:rsid w:val="00A879D9"/>
    <w:rsid w:val="00A87A5E"/>
    <w:rsid w:val="00A87E9F"/>
    <w:rsid w:val="00A905DD"/>
    <w:rsid w:val="00A9063F"/>
    <w:rsid w:val="00A906D1"/>
    <w:rsid w:val="00A90819"/>
    <w:rsid w:val="00A90D51"/>
    <w:rsid w:val="00A91060"/>
    <w:rsid w:val="00A9133E"/>
    <w:rsid w:val="00A91559"/>
    <w:rsid w:val="00A91662"/>
    <w:rsid w:val="00A9179F"/>
    <w:rsid w:val="00A91816"/>
    <w:rsid w:val="00A919F9"/>
    <w:rsid w:val="00A91A9F"/>
    <w:rsid w:val="00A91C84"/>
    <w:rsid w:val="00A91F17"/>
    <w:rsid w:val="00A91F92"/>
    <w:rsid w:val="00A926DF"/>
    <w:rsid w:val="00A92703"/>
    <w:rsid w:val="00A9295C"/>
    <w:rsid w:val="00A9299F"/>
    <w:rsid w:val="00A92D42"/>
    <w:rsid w:val="00A93407"/>
    <w:rsid w:val="00A93544"/>
    <w:rsid w:val="00A93788"/>
    <w:rsid w:val="00A937AF"/>
    <w:rsid w:val="00A93972"/>
    <w:rsid w:val="00A93ACC"/>
    <w:rsid w:val="00A93F1E"/>
    <w:rsid w:val="00A94231"/>
    <w:rsid w:val="00A942A3"/>
    <w:rsid w:val="00A94746"/>
    <w:rsid w:val="00A94CA9"/>
    <w:rsid w:val="00A94D30"/>
    <w:rsid w:val="00A9567C"/>
    <w:rsid w:val="00A95823"/>
    <w:rsid w:val="00A96131"/>
    <w:rsid w:val="00A962B0"/>
    <w:rsid w:val="00A96355"/>
    <w:rsid w:val="00A96363"/>
    <w:rsid w:val="00A966AF"/>
    <w:rsid w:val="00A967F0"/>
    <w:rsid w:val="00A9680F"/>
    <w:rsid w:val="00A96AF5"/>
    <w:rsid w:val="00A96D46"/>
    <w:rsid w:val="00A96F53"/>
    <w:rsid w:val="00A96F5A"/>
    <w:rsid w:val="00A97009"/>
    <w:rsid w:val="00A97165"/>
    <w:rsid w:val="00A97215"/>
    <w:rsid w:val="00A97270"/>
    <w:rsid w:val="00A9749D"/>
    <w:rsid w:val="00A97669"/>
    <w:rsid w:val="00A976B1"/>
    <w:rsid w:val="00A97910"/>
    <w:rsid w:val="00A979B7"/>
    <w:rsid w:val="00A97B37"/>
    <w:rsid w:val="00AA01C4"/>
    <w:rsid w:val="00AA0282"/>
    <w:rsid w:val="00AA03B4"/>
    <w:rsid w:val="00AA048F"/>
    <w:rsid w:val="00AA060B"/>
    <w:rsid w:val="00AA086A"/>
    <w:rsid w:val="00AA0875"/>
    <w:rsid w:val="00AA0B04"/>
    <w:rsid w:val="00AA0DFA"/>
    <w:rsid w:val="00AA107A"/>
    <w:rsid w:val="00AA1101"/>
    <w:rsid w:val="00AA12AE"/>
    <w:rsid w:val="00AA1532"/>
    <w:rsid w:val="00AA17E5"/>
    <w:rsid w:val="00AA17FC"/>
    <w:rsid w:val="00AA19BD"/>
    <w:rsid w:val="00AA1AC3"/>
    <w:rsid w:val="00AA1C65"/>
    <w:rsid w:val="00AA1CA2"/>
    <w:rsid w:val="00AA1E31"/>
    <w:rsid w:val="00AA2180"/>
    <w:rsid w:val="00AA232C"/>
    <w:rsid w:val="00AA2392"/>
    <w:rsid w:val="00AA23C7"/>
    <w:rsid w:val="00AA25C7"/>
    <w:rsid w:val="00AA2604"/>
    <w:rsid w:val="00AA2702"/>
    <w:rsid w:val="00AA2C8A"/>
    <w:rsid w:val="00AA2CBE"/>
    <w:rsid w:val="00AA2D4A"/>
    <w:rsid w:val="00AA2F90"/>
    <w:rsid w:val="00AA2FAC"/>
    <w:rsid w:val="00AA3150"/>
    <w:rsid w:val="00AA319C"/>
    <w:rsid w:val="00AA3239"/>
    <w:rsid w:val="00AA331E"/>
    <w:rsid w:val="00AA343F"/>
    <w:rsid w:val="00AA3984"/>
    <w:rsid w:val="00AA3B6E"/>
    <w:rsid w:val="00AA3BE6"/>
    <w:rsid w:val="00AA3CCC"/>
    <w:rsid w:val="00AA3CD9"/>
    <w:rsid w:val="00AA3DDF"/>
    <w:rsid w:val="00AA41AD"/>
    <w:rsid w:val="00AA42BD"/>
    <w:rsid w:val="00AA49F6"/>
    <w:rsid w:val="00AA4A90"/>
    <w:rsid w:val="00AA4C6D"/>
    <w:rsid w:val="00AA4EED"/>
    <w:rsid w:val="00AA5022"/>
    <w:rsid w:val="00AA50D2"/>
    <w:rsid w:val="00AA5171"/>
    <w:rsid w:val="00AA522E"/>
    <w:rsid w:val="00AA533A"/>
    <w:rsid w:val="00AA536E"/>
    <w:rsid w:val="00AA5410"/>
    <w:rsid w:val="00AA54B1"/>
    <w:rsid w:val="00AA56ED"/>
    <w:rsid w:val="00AA58A9"/>
    <w:rsid w:val="00AA5B24"/>
    <w:rsid w:val="00AA5F2E"/>
    <w:rsid w:val="00AA5FCA"/>
    <w:rsid w:val="00AA60BC"/>
    <w:rsid w:val="00AA60E4"/>
    <w:rsid w:val="00AA61E7"/>
    <w:rsid w:val="00AA6301"/>
    <w:rsid w:val="00AA632A"/>
    <w:rsid w:val="00AA6334"/>
    <w:rsid w:val="00AA65D7"/>
    <w:rsid w:val="00AA66F2"/>
    <w:rsid w:val="00AA6775"/>
    <w:rsid w:val="00AA692C"/>
    <w:rsid w:val="00AA6AD2"/>
    <w:rsid w:val="00AA6B57"/>
    <w:rsid w:val="00AA6B6E"/>
    <w:rsid w:val="00AA6C0E"/>
    <w:rsid w:val="00AA6F98"/>
    <w:rsid w:val="00AA7699"/>
    <w:rsid w:val="00AA769E"/>
    <w:rsid w:val="00AA7751"/>
    <w:rsid w:val="00AA7A8D"/>
    <w:rsid w:val="00AA7B27"/>
    <w:rsid w:val="00AA7D9C"/>
    <w:rsid w:val="00AA7DDD"/>
    <w:rsid w:val="00AB0000"/>
    <w:rsid w:val="00AB0106"/>
    <w:rsid w:val="00AB0286"/>
    <w:rsid w:val="00AB02B1"/>
    <w:rsid w:val="00AB0320"/>
    <w:rsid w:val="00AB0641"/>
    <w:rsid w:val="00AB064B"/>
    <w:rsid w:val="00AB068C"/>
    <w:rsid w:val="00AB098A"/>
    <w:rsid w:val="00AB0B02"/>
    <w:rsid w:val="00AB0B64"/>
    <w:rsid w:val="00AB0CC0"/>
    <w:rsid w:val="00AB1143"/>
    <w:rsid w:val="00AB11C1"/>
    <w:rsid w:val="00AB125F"/>
    <w:rsid w:val="00AB12AE"/>
    <w:rsid w:val="00AB1377"/>
    <w:rsid w:val="00AB13C0"/>
    <w:rsid w:val="00AB1591"/>
    <w:rsid w:val="00AB17B7"/>
    <w:rsid w:val="00AB18C8"/>
    <w:rsid w:val="00AB1942"/>
    <w:rsid w:val="00AB19A5"/>
    <w:rsid w:val="00AB1F45"/>
    <w:rsid w:val="00AB1FA5"/>
    <w:rsid w:val="00AB20E2"/>
    <w:rsid w:val="00AB22B6"/>
    <w:rsid w:val="00AB230E"/>
    <w:rsid w:val="00AB2317"/>
    <w:rsid w:val="00AB23EA"/>
    <w:rsid w:val="00AB24EA"/>
    <w:rsid w:val="00AB2679"/>
    <w:rsid w:val="00AB270B"/>
    <w:rsid w:val="00AB2B16"/>
    <w:rsid w:val="00AB2B36"/>
    <w:rsid w:val="00AB2DAE"/>
    <w:rsid w:val="00AB2F95"/>
    <w:rsid w:val="00AB30D3"/>
    <w:rsid w:val="00AB3297"/>
    <w:rsid w:val="00AB3353"/>
    <w:rsid w:val="00AB34EE"/>
    <w:rsid w:val="00AB37A0"/>
    <w:rsid w:val="00AB39C2"/>
    <w:rsid w:val="00AB39C3"/>
    <w:rsid w:val="00AB3BD4"/>
    <w:rsid w:val="00AB3BEF"/>
    <w:rsid w:val="00AB3DE5"/>
    <w:rsid w:val="00AB3E03"/>
    <w:rsid w:val="00AB437F"/>
    <w:rsid w:val="00AB4414"/>
    <w:rsid w:val="00AB44B6"/>
    <w:rsid w:val="00AB47DC"/>
    <w:rsid w:val="00AB4802"/>
    <w:rsid w:val="00AB4A6E"/>
    <w:rsid w:val="00AB4A9F"/>
    <w:rsid w:val="00AB4B05"/>
    <w:rsid w:val="00AB4B0E"/>
    <w:rsid w:val="00AB4BC4"/>
    <w:rsid w:val="00AB4C42"/>
    <w:rsid w:val="00AB4E45"/>
    <w:rsid w:val="00AB54EA"/>
    <w:rsid w:val="00AB557B"/>
    <w:rsid w:val="00AB5853"/>
    <w:rsid w:val="00AB58DC"/>
    <w:rsid w:val="00AB5AC3"/>
    <w:rsid w:val="00AB5E95"/>
    <w:rsid w:val="00AB5F3A"/>
    <w:rsid w:val="00AB6004"/>
    <w:rsid w:val="00AB6013"/>
    <w:rsid w:val="00AB6063"/>
    <w:rsid w:val="00AB607E"/>
    <w:rsid w:val="00AB607F"/>
    <w:rsid w:val="00AB63B1"/>
    <w:rsid w:val="00AB654D"/>
    <w:rsid w:val="00AB65D5"/>
    <w:rsid w:val="00AB6983"/>
    <w:rsid w:val="00AB69D8"/>
    <w:rsid w:val="00AB6EE7"/>
    <w:rsid w:val="00AB6F1C"/>
    <w:rsid w:val="00AB708F"/>
    <w:rsid w:val="00AB7734"/>
    <w:rsid w:val="00AB779D"/>
    <w:rsid w:val="00AB7E99"/>
    <w:rsid w:val="00AC0287"/>
    <w:rsid w:val="00AC02AC"/>
    <w:rsid w:val="00AC0341"/>
    <w:rsid w:val="00AC04C4"/>
    <w:rsid w:val="00AC07AD"/>
    <w:rsid w:val="00AC0814"/>
    <w:rsid w:val="00AC0826"/>
    <w:rsid w:val="00AC0886"/>
    <w:rsid w:val="00AC089A"/>
    <w:rsid w:val="00AC0A11"/>
    <w:rsid w:val="00AC0A2A"/>
    <w:rsid w:val="00AC0AA4"/>
    <w:rsid w:val="00AC0C3D"/>
    <w:rsid w:val="00AC0E79"/>
    <w:rsid w:val="00AC113F"/>
    <w:rsid w:val="00AC14E9"/>
    <w:rsid w:val="00AC1A6E"/>
    <w:rsid w:val="00AC1AD8"/>
    <w:rsid w:val="00AC1B5A"/>
    <w:rsid w:val="00AC1BDB"/>
    <w:rsid w:val="00AC1DEF"/>
    <w:rsid w:val="00AC1EAB"/>
    <w:rsid w:val="00AC215C"/>
    <w:rsid w:val="00AC229E"/>
    <w:rsid w:val="00AC2652"/>
    <w:rsid w:val="00AC2715"/>
    <w:rsid w:val="00AC2905"/>
    <w:rsid w:val="00AC290E"/>
    <w:rsid w:val="00AC29FF"/>
    <w:rsid w:val="00AC2A88"/>
    <w:rsid w:val="00AC2C4F"/>
    <w:rsid w:val="00AC2D9A"/>
    <w:rsid w:val="00AC2E51"/>
    <w:rsid w:val="00AC2EFD"/>
    <w:rsid w:val="00AC2F93"/>
    <w:rsid w:val="00AC3408"/>
    <w:rsid w:val="00AC346E"/>
    <w:rsid w:val="00AC34DD"/>
    <w:rsid w:val="00AC3564"/>
    <w:rsid w:val="00AC357D"/>
    <w:rsid w:val="00AC3D26"/>
    <w:rsid w:val="00AC3ED9"/>
    <w:rsid w:val="00AC3EE4"/>
    <w:rsid w:val="00AC4334"/>
    <w:rsid w:val="00AC4407"/>
    <w:rsid w:val="00AC45FB"/>
    <w:rsid w:val="00AC4818"/>
    <w:rsid w:val="00AC4C8B"/>
    <w:rsid w:val="00AC4D57"/>
    <w:rsid w:val="00AC4E9C"/>
    <w:rsid w:val="00AC4EDC"/>
    <w:rsid w:val="00AC51F9"/>
    <w:rsid w:val="00AC52EE"/>
    <w:rsid w:val="00AC5890"/>
    <w:rsid w:val="00AC58C7"/>
    <w:rsid w:val="00AC5969"/>
    <w:rsid w:val="00AC59E5"/>
    <w:rsid w:val="00AC5A7B"/>
    <w:rsid w:val="00AC5BB8"/>
    <w:rsid w:val="00AC5BD9"/>
    <w:rsid w:val="00AC5D74"/>
    <w:rsid w:val="00AC5F05"/>
    <w:rsid w:val="00AC6189"/>
    <w:rsid w:val="00AC6254"/>
    <w:rsid w:val="00AC668B"/>
    <w:rsid w:val="00AC6741"/>
    <w:rsid w:val="00AC69C0"/>
    <w:rsid w:val="00AC6DF6"/>
    <w:rsid w:val="00AC6E1B"/>
    <w:rsid w:val="00AC7073"/>
    <w:rsid w:val="00AC7478"/>
    <w:rsid w:val="00AC7694"/>
    <w:rsid w:val="00AC76D4"/>
    <w:rsid w:val="00AC790C"/>
    <w:rsid w:val="00AC7F58"/>
    <w:rsid w:val="00AD026E"/>
    <w:rsid w:val="00AD0462"/>
    <w:rsid w:val="00AD0694"/>
    <w:rsid w:val="00AD0698"/>
    <w:rsid w:val="00AD07CA"/>
    <w:rsid w:val="00AD094C"/>
    <w:rsid w:val="00AD096A"/>
    <w:rsid w:val="00AD0983"/>
    <w:rsid w:val="00AD0B1D"/>
    <w:rsid w:val="00AD0C4F"/>
    <w:rsid w:val="00AD0E2F"/>
    <w:rsid w:val="00AD14D1"/>
    <w:rsid w:val="00AD19BD"/>
    <w:rsid w:val="00AD1AF1"/>
    <w:rsid w:val="00AD1D1E"/>
    <w:rsid w:val="00AD251E"/>
    <w:rsid w:val="00AD2815"/>
    <w:rsid w:val="00AD2A53"/>
    <w:rsid w:val="00AD2E49"/>
    <w:rsid w:val="00AD2ED4"/>
    <w:rsid w:val="00AD3063"/>
    <w:rsid w:val="00AD313C"/>
    <w:rsid w:val="00AD35BA"/>
    <w:rsid w:val="00AD36FB"/>
    <w:rsid w:val="00AD3816"/>
    <w:rsid w:val="00AD383C"/>
    <w:rsid w:val="00AD3983"/>
    <w:rsid w:val="00AD3F4D"/>
    <w:rsid w:val="00AD4011"/>
    <w:rsid w:val="00AD42FE"/>
    <w:rsid w:val="00AD43A7"/>
    <w:rsid w:val="00AD457D"/>
    <w:rsid w:val="00AD4A35"/>
    <w:rsid w:val="00AD4B83"/>
    <w:rsid w:val="00AD4B94"/>
    <w:rsid w:val="00AD4BE2"/>
    <w:rsid w:val="00AD4ECF"/>
    <w:rsid w:val="00AD529F"/>
    <w:rsid w:val="00AD53CF"/>
    <w:rsid w:val="00AD546B"/>
    <w:rsid w:val="00AD5686"/>
    <w:rsid w:val="00AD5758"/>
    <w:rsid w:val="00AD57C3"/>
    <w:rsid w:val="00AD5ADE"/>
    <w:rsid w:val="00AD5AF7"/>
    <w:rsid w:val="00AD5D02"/>
    <w:rsid w:val="00AD5D72"/>
    <w:rsid w:val="00AD5EFD"/>
    <w:rsid w:val="00AD5F33"/>
    <w:rsid w:val="00AD5FBD"/>
    <w:rsid w:val="00AD603E"/>
    <w:rsid w:val="00AD627A"/>
    <w:rsid w:val="00AD627B"/>
    <w:rsid w:val="00AD63F3"/>
    <w:rsid w:val="00AD6558"/>
    <w:rsid w:val="00AD6559"/>
    <w:rsid w:val="00AD669E"/>
    <w:rsid w:val="00AD6832"/>
    <w:rsid w:val="00AD698F"/>
    <w:rsid w:val="00AD6D05"/>
    <w:rsid w:val="00AD6DC1"/>
    <w:rsid w:val="00AD6E31"/>
    <w:rsid w:val="00AD6F22"/>
    <w:rsid w:val="00AD7150"/>
    <w:rsid w:val="00AD7199"/>
    <w:rsid w:val="00AD750C"/>
    <w:rsid w:val="00AD7826"/>
    <w:rsid w:val="00AD7A7B"/>
    <w:rsid w:val="00AD7B52"/>
    <w:rsid w:val="00AD7C81"/>
    <w:rsid w:val="00AD7D84"/>
    <w:rsid w:val="00AD7E21"/>
    <w:rsid w:val="00AE054C"/>
    <w:rsid w:val="00AE0856"/>
    <w:rsid w:val="00AE0991"/>
    <w:rsid w:val="00AE0ACE"/>
    <w:rsid w:val="00AE0DD9"/>
    <w:rsid w:val="00AE0E27"/>
    <w:rsid w:val="00AE0E7F"/>
    <w:rsid w:val="00AE0FD6"/>
    <w:rsid w:val="00AE1030"/>
    <w:rsid w:val="00AE1281"/>
    <w:rsid w:val="00AE1576"/>
    <w:rsid w:val="00AE17B1"/>
    <w:rsid w:val="00AE1A99"/>
    <w:rsid w:val="00AE1F9D"/>
    <w:rsid w:val="00AE225F"/>
    <w:rsid w:val="00AE2288"/>
    <w:rsid w:val="00AE26EA"/>
    <w:rsid w:val="00AE2D45"/>
    <w:rsid w:val="00AE30C4"/>
    <w:rsid w:val="00AE315F"/>
    <w:rsid w:val="00AE3172"/>
    <w:rsid w:val="00AE326C"/>
    <w:rsid w:val="00AE3782"/>
    <w:rsid w:val="00AE38E6"/>
    <w:rsid w:val="00AE3BB3"/>
    <w:rsid w:val="00AE3F22"/>
    <w:rsid w:val="00AE3FF8"/>
    <w:rsid w:val="00AE40A3"/>
    <w:rsid w:val="00AE4259"/>
    <w:rsid w:val="00AE45CD"/>
    <w:rsid w:val="00AE4603"/>
    <w:rsid w:val="00AE4662"/>
    <w:rsid w:val="00AE498F"/>
    <w:rsid w:val="00AE4CB9"/>
    <w:rsid w:val="00AE4CEE"/>
    <w:rsid w:val="00AE4D1E"/>
    <w:rsid w:val="00AE4DA1"/>
    <w:rsid w:val="00AE53BD"/>
    <w:rsid w:val="00AE56BD"/>
    <w:rsid w:val="00AE57B6"/>
    <w:rsid w:val="00AE57E7"/>
    <w:rsid w:val="00AE5873"/>
    <w:rsid w:val="00AE59E4"/>
    <w:rsid w:val="00AE5A86"/>
    <w:rsid w:val="00AE5AA0"/>
    <w:rsid w:val="00AE5C0E"/>
    <w:rsid w:val="00AE5D2C"/>
    <w:rsid w:val="00AE5D79"/>
    <w:rsid w:val="00AE5F12"/>
    <w:rsid w:val="00AE5F83"/>
    <w:rsid w:val="00AE6154"/>
    <w:rsid w:val="00AE6189"/>
    <w:rsid w:val="00AE624F"/>
    <w:rsid w:val="00AE634D"/>
    <w:rsid w:val="00AE6417"/>
    <w:rsid w:val="00AE6819"/>
    <w:rsid w:val="00AE6840"/>
    <w:rsid w:val="00AE6843"/>
    <w:rsid w:val="00AE6CD1"/>
    <w:rsid w:val="00AE73C0"/>
    <w:rsid w:val="00AE7401"/>
    <w:rsid w:val="00AE7A4B"/>
    <w:rsid w:val="00AF0158"/>
    <w:rsid w:val="00AF02AA"/>
    <w:rsid w:val="00AF0775"/>
    <w:rsid w:val="00AF0ED8"/>
    <w:rsid w:val="00AF0EF9"/>
    <w:rsid w:val="00AF0FD4"/>
    <w:rsid w:val="00AF12E1"/>
    <w:rsid w:val="00AF1404"/>
    <w:rsid w:val="00AF14C7"/>
    <w:rsid w:val="00AF14D5"/>
    <w:rsid w:val="00AF157C"/>
    <w:rsid w:val="00AF1659"/>
    <w:rsid w:val="00AF169C"/>
    <w:rsid w:val="00AF1821"/>
    <w:rsid w:val="00AF1D01"/>
    <w:rsid w:val="00AF20B2"/>
    <w:rsid w:val="00AF24FD"/>
    <w:rsid w:val="00AF25A9"/>
    <w:rsid w:val="00AF2640"/>
    <w:rsid w:val="00AF27B4"/>
    <w:rsid w:val="00AF28C5"/>
    <w:rsid w:val="00AF29CF"/>
    <w:rsid w:val="00AF2AF6"/>
    <w:rsid w:val="00AF2AF9"/>
    <w:rsid w:val="00AF2B87"/>
    <w:rsid w:val="00AF2C2A"/>
    <w:rsid w:val="00AF2FB6"/>
    <w:rsid w:val="00AF331B"/>
    <w:rsid w:val="00AF3533"/>
    <w:rsid w:val="00AF36DB"/>
    <w:rsid w:val="00AF3708"/>
    <w:rsid w:val="00AF3800"/>
    <w:rsid w:val="00AF39EE"/>
    <w:rsid w:val="00AF4025"/>
    <w:rsid w:val="00AF42BE"/>
    <w:rsid w:val="00AF44D9"/>
    <w:rsid w:val="00AF4A98"/>
    <w:rsid w:val="00AF4C43"/>
    <w:rsid w:val="00AF4C47"/>
    <w:rsid w:val="00AF4C5C"/>
    <w:rsid w:val="00AF4E26"/>
    <w:rsid w:val="00AF5247"/>
    <w:rsid w:val="00AF539C"/>
    <w:rsid w:val="00AF53EC"/>
    <w:rsid w:val="00AF55F3"/>
    <w:rsid w:val="00AF591C"/>
    <w:rsid w:val="00AF5A89"/>
    <w:rsid w:val="00AF5C62"/>
    <w:rsid w:val="00AF5F51"/>
    <w:rsid w:val="00AF615F"/>
    <w:rsid w:val="00AF62DD"/>
    <w:rsid w:val="00AF6346"/>
    <w:rsid w:val="00AF6A73"/>
    <w:rsid w:val="00AF6A96"/>
    <w:rsid w:val="00AF6B80"/>
    <w:rsid w:val="00AF6B8C"/>
    <w:rsid w:val="00AF6DD6"/>
    <w:rsid w:val="00AF6E45"/>
    <w:rsid w:val="00AF6E76"/>
    <w:rsid w:val="00AF6F01"/>
    <w:rsid w:val="00AF70B0"/>
    <w:rsid w:val="00AF74A8"/>
    <w:rsid w:val="00AF74E5"/>
    <w:rsid w:val="00AF76FF"/>
    <w:rsid w:val="00AF7735"/>
    <w:rsid w:val="00AF77FC"/>
    <w:rsid w:val="00AF788A"/>
    <w:rsid w:val="00AF79A8"/>
    <w:rsid w:val="00AF7AC7"/>
    <w:rsid w:val="00AF7C70"/>
    <w:rsid w:val="00AF7CA7"/>
    <w:rsid w:val="00B00053"/>
    <w:rsid w:val="00B00499"/>
    <w:rsid w:val="00B004A1"/>
    <w:rsid w:val="00B005CB"/>
    <w:rsid w:val="00B0069F"/>
    <w:rsid w:val="00B0074A"/>
    <w:rsid w:val="00B00783"/>
    <w:rsid w:val="00B008A3"/>
    <w:rsid w:val="00B00C3F"/>
    <w:rsid w:val="00B01097"/>
    <w:rsid w:val="00B012A3"/>
    <w:rsid w:val="00B012D3"/>
    <w:rsid w:val="00B01970"/>
    <w:rsid w:val="00B01AFF"/>
    <w:rsid w:val="00B01C10"/>
    <w:rsid w:val="00B01F5D"/>
    <w:rsid w:val="00B01F95"/>
    <w:rsid w:val="00B02017"/>
    <w:rsid w:val="00B02381"/>
    <w:rsid w:val="00B02410"/>
    <w:rsid w:val="00B02602"/>
    <w:rsid w:val="00B027E7"/>
    <w:rsid w:val="00B02873"/>
    <w:rsid w:val="00B02D3C"/>
    <w:rsid w:val="00B02DA3"/>
    <w:rsid w:val="00B02E03"/>
    <w:rsid w:val="00B02EB3"/>
    <w:rsid w:val="00B02FF5"/>
    <w:rsid w:val="00B0300D"/>
    <w:rsid w:val="00B0321C"/>
    <w:rsid w:val="00B0332B"/>
    <w:rsid w:val="00B03729"/>
    <w:rsid w:val="00B038EB"/>
    <w:rsid w:val="00B03ACC"/>
    <w:rsid w:val="00B03C50"/>
    <w:rsid w:val="00B03CD5"/>
    <w:rsid w:val="00B03ECB"/>
    <w:rsid w:val="00B03F30"/>
    <w:rsid w:val="00B04589"/>
    <w:rsid w:val="00B04A0C"/>
    <w:rsid w:val="00B04B27"/>
    <w:rsid w:val="00B04D12"/>
    <w:rsid w:val="00B04EDF"/>
    <w:rsid w:val="00B04F3A"/>
    <w:rsid w:val="00B05064"/>
    <w:rsid w:val="00B050A2"/>
    <w:rsid w:val="00B05138"/>
    <w:rsid w:val="00B055A7"/>
    <w:rsid w:val="00B058B2"/>
    <w:rsid w:val="00B059E4"/>
    <w:rsid w:val="00B05CBC"/>
    <w:rsid w:val="00B05D24"/>
    <w:rsid w:val="00B05E48"/>
    <w:rsid w:val="00B0616C"/>
    <w:rsid w:val="00B06352"/>
    <w:rsid w:val="00B063C0"/>
    <w:rsid w:val="00B06479"/>
    <w:rsid w:val="00B06526"/>
    <w:rsid w:val="00B06837"/>
    <w:rsid w:val="00B06A84"/>
    <w:rsid w:val="00B06CB0"/>
    <w:rsid w:val="00B06DFA"/>
    <w:rsid w:val="00B072FF"/>
    <w:rsid w:val="00B07808"/>
    <w:rsid w:val="00B078B3"/>
    <w:rsid w:val="00B0794E"/>
    <w:rsid w:val="00B07A40"/>
    <w:rsid w:val="00B07B4F"/>
    <w:rsid w:val="00B07B54"/>
    <w:rsid w:val="00B07DFA"/>
    <w:rsid w:val="00B07EC4"/>
    <w:rsid w:val="00B1009C"/>
    <w:rsid w:val="00B102E0"/>
    <w:rsid w:val="00B10592"/>
    <w:rsid w:val="00B108EA"/>
    <w:rsid w:val="00B10AC1"/>
    <w:rsid w:val="00B10D8F"/>
    <w:rsid w:val="00B10DF3"/>
    <w:rsid w:val="00B10E98"/>
    <w:rsid w:val="00B112E3"/>
    <w:rsid w:val="00B112EC"/>
    <w:rsid w:val="00B113D5"/>
    <w:rsid w:val="00B11485"/>
    <w:rsid w:val="00B114CF"/>
    <w:rsid w:val="00B11518"/>
    <w:rsid w:val="00B1162E"/>
    <w:rsid w:val="00B116D2"/>
    <w:rsid w:val="00B117DF"/>
    <w:rsid w:val="00B11ECD"/>
    <w:rsid w:val="00B11F7C"/>
    <w:rsid w:val="00B12055"/>
    <w:rsid w:val="00B12532"/>
    <w:rsid w:val="00B12729"/>
    <w:rsid w:val="00B127CD"/>
    <w:rsid w:val="00B12929"/>
    <w:rsid w:val="00B12952"/>
    <w:rsid w:val="00B12B87"/>
    <w:rsid w:val="00B12BDA"/>
    <w:rsid w:val="00B12CA6"/>
    <w:rsid w:val="00B12CDA"/>
    <w:rsid w:val="00B12DF2"/>
    <w:rsid w:val="00B130FA"/>
    <w:rsid w:val="00B13128"/>
    <w:rsid w:val="00B134E1"/>
    <w:rsid w:val="00B135C3"/>
    <w:rsid w:val="00B13995"/>
    <w:rsid w:val="00B139AD"/>
    <w:rsid w:val="00B13C73"/>
    <w:rsid w:val="00B13E91"/>
    <w:rsid w:val="00B13ED7"/>
    <w:rsid w:val="00B13FDE"/>
    <w:rsid w:val="00B14012"/>
    <w:rsid w:val="00B140F7"/>
    <w:rsid w:val="00B140FB"/>
    <w:rsid w:val="00B14159"/>
    <w:rsid w:val="00B14491"/>
    <w:rsid w:val="00B14889"/>
    <w:rsid w:val="00B14E52"/>
    <w:rsid w:val="00B1526E"/>
    <w:rsid w:val="00B15381"/>
    <w:rsid w:val="00B1539B"/>
    <w:rsid w:val="00B154C6"/>
    <w:rsid w:val="00B15629"/>
    <w:rsid w:val="00B1587B"/>
    <w:rsid w:val="00B15ADD"/>
    <w:rsid w:val="00B15B00"/>
    <w:rsid w:val="00B15C29"/>
    <w:rsid w:val="00B15CFC"/>
    <w:rsid w:val="00B15E14"/>
    <w:rsid w:val="00B15E16"/>
    <w:rsid w:val="00B16354"/>
    <w:rsid w:val="00B164AA"/>
    <w:rsid w:val="00B166D7"/>
    <w:rsid w:val="00B1694C"/>
    <w:rsid w:val="00B16977"/>
    <w:rsid w:val="00B16A3E"/>
    <w:rsid w:val="00B16B1E"/>
    <w:rsid w:val="00B16D79"/>
    <w:rsid w:val="00B16E4A"/>
    <w:rsid w:val="00B17185"/>
    <w:rsid w:val="00B172AF"/>
    <w:rsid w:val="00B178B1"/>
    <w:rsid w:val="00B17ABB"/>
    <w:rsid w:val="00B17CDE"/>
    <w:rsid w:val="00B17EA7"/>
    <w:rsid w:val="00B17EC0"/>
    <w:rsid w:val="00B200A5"/>
    <w:rsid w:val="00B20281"/>
    <w:rsid w:val="00B202A8"/>
    <w:rsid w:val="00B20741"/>
    <w:rsid w:val="00B208D2"/>
    <w:rsid w:val="00B209C1"/>
    <w:rsid w:val="00B20A8F"/>
    <w:rsid w:val="00B20B9A"/>
    <w:rsid w:val="00B211D5"/>
    <w:rsid w:val="00B216D8"/>
    <w:rsid w:val="00B219F2"/>
    <w:rsid w:val="00B21B5C"/>
    <w:rsid w:val="00B21CB2"/>
    <w:rsid w:val="00B21D06"/>
    <w:rsid w:val="00B223D7"/>
    <w:rsid w:val="00B2258E"/>
    <w:rsid w:val="00B225AB"/>
    <w:rsid w:val="00B2260F"/>
    <w:rsid w:val="00B227D1"/>
    <w:rsid w:val="00B227DB"/>
    <w:rsid w:val="00B2293F"/>
    <w:rsid w:val="00B229FC"/>
    <w:rsid w:val="00B22BFC"/>
    <w:rsid w:val="00B23094"/>
    <w:rsid w:val="00B23446"/>
    <w:rsid w:val="00B23511"/>
    <w:rsid w:val="00B23DA7"/>
    <w:rsid w:val="00B23E4F"/>
    <w:rsid w:val="00B24020"/>
    <w:rsid w:val="00B244AB"/>
    <w:rsid w:val="00B24901"/>
    <w:rsid w:val="00B249D6"/>
    <w:rsid w:val="00B24D8D"/>
    <w:rsid w:val="00B25055"/>
    <w:rsid w:val="00B253D7"/>
    <w:rsid w:val="00B25867"/>
    <w:rsid w:val="00B2587A"/>
    <w:rsid w:val="00B25A35"/>
    <w:rsid w:val="00B25B22"/>
    <w:rsid w:val="00B25CCB"/>
    <w:rsid w:val="00B25CE2"/>
    <w:rsid w:val="00B25F86"/>
    <w:rsid w:val="00B2629D"/>
    <w:rsid w:val="00B262D3"/>
    <w:rsid w:val="00B26540"/>
    <w:rsid w:val="00B2683D"/>
    <w:rsid w:val="00B268EA"/>
    <w:rsid w:val="00B269B2"/>
    <w:rsid w:val="00B26A58"/>
    <w:rsid w:val="00B26AEF"/>
    <w:rsid w:val="00B26BD0"/>
    <w:rsid w:val="00B26DA6"/>
    <w:rsid w:val="00B26DFD"/>
    <w:rsid w:val="00B26E6C"/>
    <w:rsid w:val="00B26FCB"/>
    <w:rsid w:val="00B271E2"/>
    <w:rsid w:val="00B274C7"/>
    <w:rsid w:val="00B275AD"/>
    <w:rsid w:val="00B276A3"/>
    <w:rsid w:val="00B2775A"/>
    <w:rsid w:val="00B27BD9"/>
    <w:rsid w:val="00B30225"/>
    <w:rsid w:val="00B3053B"/>
    <w:rsid w:val="00B3064C"/>
    <w:rsid w:val="00B30790"/>
    <w:rsid w:val="00B30E16"/>
    <w:rsid w:val="00B30ED4"/>
    <w:rsid w:val="00B31150"/>
    <w:rsid w:val="00B3144F"/>
    <w:rsid w:val="00B31590"/>
    <w:rsid w:val="00B31600"/>
    <w:rsid w:val="00B317A3"/>
    <w:rsid w:val="00B317EA"/>
    <w:rsid w:val="00B31850"/>
    <w:rsid w:val="00B31927"/>
    <w:rsid w:val="00B31C60"/>
    <w:rsid w:val="00B31D47"/>
    <w:rsid w:val="00B31D6F"/>
    <w:rsid w:val="00B32013"/>
    <w:rsid w:val="00B320BC"/>
    <w:rsid w:val="00B32227"/>
    <w:rsid w:val="00B322AC"/>
    <w:rsid w:val="00B3235F"/>
    <w:rsid w:val="00B324DF"/>
    <w:rsid w:val="00B325C4"/>
    <w:rsid w:val="00B327B5"/>
    <w:rsid w:val="00B32807"/>
    <w:rsid w:val="00B328D4"/>
    <w:rsid w:val="00B329CF"/>
    <w:rsid w:val="00B32A53"/>
    <w:rsid w:val="00B33037"/>
    <w:rsid w:val="00B3316E"/>
    <w:rsid w:val="00B33342"/>
    <w:rsid w:val="00B33686"/>
    <w:rsid w:val="00B33866"/>
    <w:rsid w:val="00B338D9"/>
    <w:rsid w:val="00B3415E"/>
    <w:rsid w:val="00B34546"/>
    <w:rsid w:val="00B34652"/>
    <w:rsid w:val="00B346C3"/>
    <w:rsid w:val="00B348AD"/>
    <w:rsid w:val="00B34A8D"/>
    <w:rsid w:val="00B34AD7"/>
    <w:rsid w:val="00B34B02"/>
    <w:rsid w:val="00B34D28"/>
    <w:rsid w:val="00B34D45"/>
    <w:rsid w:val="00B3503D"/>
    <w:rsid w:val="00B35056"/>
    <w:rsid w:val="00B35237"/>
    <w:rsid w:val="00B35393"/>
    <w:rsid w:val="00B3550B"/>
    <w:rsid w:val="00B35595"/>
    <w:rsid w:val="00B355C1"/>
    <w:rsid w:val="00B355DF"/>
    <w:rsid w:val="00B356C8"/>
    <w:rsid w:val="00B3594B"/>
    <w:rsid w:val="00B35AB1"/>
    <w:rsid w:val="00B35AC7"/>
    <w:rsid w:val="00B35ADA"/>
    <w:rsid w:val="00B35D1F"/>
    <w:rsid w:val="00B35D6E"/>
    <w:rsid w:val="00B35FC1"/>
    <w:rsid w:val="00B3621F"/>
    <w:rsid w:val="00B362B7"/>
    <w:rsid w:val="00B3635C"/>
    <w:rsid w:val="00B366B4"/>
    <w:rsid w:val="00B3673E"/>
    <w:rsid w:val="00B367A1"/>
    <w:rsid w:val="00B3688A"/>
    <w:rsid w:val="00B369EB"/>
    <w:rsid w:val="00B36F45"/>
    <w:rsid w:val="00B36FD9"/>
    <w:rsid w:val="00B37379"/>
    <w:rsid w:val="00B373F4"/>
    <w:rsid w:val="00B3744D"/>
    <w:rsid w:val="00B3760B"/>
    <w:rsid w:val="00B3765D"/>
    <w:rsid w:val="00B377A6"/>
    <w:rsid w:val="00B37806"/>
    <w:rsid w:val="00B37A51"/>
    <w:rsid w:val="00B37AB4"/>
    <w:rsid w:val="00B37AD2"/>
    <w:rsid w:val="00B37BCD"/>
    <w:rsid w:val="00B4013F"/>
    <w:rsid w:val="00B406C6"/>
    <w:rsid w:val="00B40D3F"/>
    <w:rsid w:val="00B40E04"/>
    <w:rsid w:val="00B41060"/>
    <w:rsid w:val="00B413D7"/>
    <w:rsid w:val="00B4192D"/>
    <w:rsid w:val="00B41A7D"/>
    <w:rsid w:val="00B41CB5"/>
    <w:rsid w:val="00B4233D"/>
    <w:rsid w:val="00B423E4"/>
    <w:rsid w:val="00B4259B"/>
    <w:rsid w:val="00B426B1"/>
    <w:rsid w:val="00B42985"/>
    <w:rsid w:val="00B42A29"/>
    <w:rsid w:val="00B42E1B"/>
    <w:rsid w:val="00B42E37"/>
    <w:rsid w:val="00B43042"/>
    <w:rsid w:val="00B43421"/>
    <w:rsid w:val="00B435F7"/>
    <w:rsid w:val="00B4379F"/>
    <w:rsid w:val="00B43A7D"/>
    <w:rsid w:val="00B43B68"/>
    <w:rsid w:val="00B43B6A"/>
    <w:rsid w:val="00B43BFD"/>
    <w:rsid w:val="00B43D9D"/>
    <w:rsid w:val="00B43F87"/>
    <w:rsid w:val="00B441CF"/>
    <w:rsid w:val="00B443AB"/>
    <w:rsid w:val="00B44537"/>
    <w:rsid w:val="00B447D2"/>
    <w:rsid w:val="00B449D4"/>
    <w:rsid w:val="00B44A3D"/>
    <w:rsid w:val="00B453C6"/>
    <w:rsid w:val="00B453EF"/>
    <w:rsid w:val="00B45469"/>
    <w:rsid w:val="00B456BC"/>
    <w:rsid w:val="00B45A8F"/>
    <w:rsid w:val="00B45B03"/>
    <w:rsid w:val="00B45B29"/>
    <w:rsid w:val="00B45DD6"/>
    <w:rsid w:val="00B45FF7"/>
    <w:rsid w:val="00B4637A"/>
    <w:rsid w:val="00B46631"/>
    <w:rsid w:val="00B46683"/>
    <w:rsid w:val="00B46896"/>
    <w:rsid w:val="00B4698D"/>
    <w:rsid w:val="00B46E1A"/>
    <w:rsid w:val="00B4703F"/>
    <w:rsid w:val="00B471DC"/>
    <w:rsid w:val="00B4730C"/>
    <w:rsid w:val="00B474AA"/>
    <w:rsid w:val="00B474F5"/>
    <w:rsid w:val="00B4775F"/>
    <w:rsid w:val="00B4776C"/>
    <w:rsid w:val="00B47FA6"/>
    <w:rsid w:val="00B50011"/>
    <w:rsid w:val="00B50067"/>
    <w:rsid w:val="00B500E9"/>
    <w:rsid w:val="00B50202"/>
    <w:rsid w:val="00B503E7"/>
    <w:rsid w:val="00B505CD"/>
    <w:rsid w:val="00B50973"/>
    <w:rsid w:val="00B50A68"/>
    <w:rsid w:val="00B50B17"/>
    <w:rsid w:val="00B50F3A"/>
    <w:rsid w:val="00B51568"/>
    <w:rsid w:val="00B515B6"/>
    <w:rsid w:val="00B5187B"/>
    <w:rsid w:val="00B51B8F"/>
    <w:rsid w:val="00B51C72"/>
    <w:rsid w:val="00B5201B"/>
    <w:rsid w:val="00B52237"/>
    <w:rsid w:val="00B525D9"/>
    <w:rsid w:val="00B52B01"/>
    <w:rsid w:val="00B52D87"/>
    <w:rsid w:val="00B52E7D"/>
    <w:rsid w:val="00B53009"/>
    <w:rsid w:val="00B530C7"/>
    <w:rsid w:val="00B53353"/>
    <w:rsid w:val="00B53494"/>
    <w:rsid w:val="00B5351D"/>
    <w:rsid w:val="00B5369C"/>
    <w:rsid w:val="00B5394A"/>
    <w:rsid w:val="00B539B8"/>
    <w:rsid w:val="00B539D7"/>
    <w:rsid w:val="00B53A2D"/>
    <w:rsid w:val="00B53CB1"/>
    <w:rsid w:val="00B53D04"/>
    <w:rsid w:val="00B54234"/>
    <w:rsid w:val="00B54506"/>
    <w:rsid w:val="00B54723"/>
    <w:rsid w:val="00B54769"/>
    <w:rsid w:val="00B547BD"/>
    <w:rsid w:val="00B547BE"/>
    <w:rsid w:val="00B549A0"/>
    <w:rsid w:val="00B54A11"/>
    <w:rsid w:val="00B54A66"/>
    <w:rsid w:val="00B54B94"/>
    <w:rsid w:val="00B54BE8"/>
    <w:rsid w:val="00B54D52"/>
    <w:rsid w:val="00B54F23"/>
    <w:rsid w:val="00B550A6"/>
    <w:rsid w:val="00B55131"/>
    <w:rsid w:val="00B55477"/>
    <w:rsid w:val="00B554AB"/>
    <w:rsid w:val="00B5564F"/>
    <w:rsid w:val="00B55698"/>
    <w:rsid w:val="00B5574C"/>
    <w:rsid w:val="00B557A9"/>
    <w:rsid w:val="00B557FE"/>
    <w:rsid w:val="00B55C13"/>
    <w:rsid w:val="00B55CAC"/>
    <w:rsid w:val="00B55CB1"/>
    <w:rsid w:val="00B5609C"/>
    <w:rsid w:val="00B560C9"/>
    <w:rsid w:val="00B561D0"/>
    <w:rsid w:val="00B562E1"/>
    <w:rsid w:val="00B564B8"/>
    <w:rsid w:val="00B56522"/>
    <w:rsid w:val="00B56966"/>
    <w:rsid w:val="00B56AB8"/>
    <w:rsid w:val="00B56B44"/>
    <w:rsid w:val="00B56D3E"/>
    <w:rsid w:val="00B56DD7"/>
    <w:rsid w:val="00B56DEF"/>
    <w:rsid w:val="00B56E21"/>
    <w:rsid w:val="00B57316"/>
    <w:rsid w:val="00B576FD"/>
    <w:rsid w:val="00B5773A"/>
    <w:rsid w:val="00B579FF"/>
    <w:rsid w:val="00B57C1A"/>
    <w:rsid w:val="00B57C28"/>
    <w:rsid w:val="00B57CAD"/>
    <w:rsid w:val="00B57CFB"/>
    <w:rsid w:val="00B57D7F"/>
    <w:rsid w:val="00B57E8D"/>
    <w:rsid w:val="00B57F43"/>
    <w:rsid w:val="00B57FB6"/>
    <w:rsid w:val="00B60180"/>
    <w:rsid w:val="00B6064B"/>
    <w:rsid w:val="00B60810"/>
    <w:rsid w:val="00B60886"/>
    <w:rsid w:val="00B60AA4"/>
    <w:rsid w:val="00B60AAC"/>
    <w:rsid w:val="00B60B11"/>
    <w:rsid w:val="00B60C05"/>
    <w:rsid w:val="00B60C68"/>
    <w:rsid w:val="00B61085"/>
    <w:rsid w:val="00B61482"/>
    <w:rsid w:val="00B614BB"/>
    <w:rsid w:val="00B6155E"/>
    <w:rsid w:val="00B617E9"/>
    <w:rsid w:val="00B61974"/>
    <w:rsid w:val="00B61A0E"/>
    <w:rsid w:val="00B61B10"/>
    <w:rsid w:val="00B61B1C"/>
    <w:rsid w:val="00B61C8A"/>
    <w:rsid w:val="00B61E00"/>
    <w:rsid w:val="00B6200B"/>
    <w:rsid w:val="00B6202F"/>
    <w:rsid w:val="00B620E2"/>
    <w:rsid w:val="00B62222"/>
    <w:rsid w:val="00B6265C"/>
    <w:rsid w:val="00B62999"/>
    <w:rsid w:val="00B62AD0"/>
    <w:rsid w:val="00B62C84"/>
    <w:rsid w:val="00B62D2C"/>
    <w:rsid w:val="00B62E7D"/>
    <w:rsid w:val="00B63037"/>
    <w:rsid w:val="00B63044"/>
    <w:rsid w:val="00B63109"/>
    <w:rsid w:val="00B63609"/>
    <w:rsid w:val="00B638E6"/>
    <w:rsid w:val="00B638F0"/>
    <w:rsid w:val="00B6396E"/>
    <w:rsid w:val="00B63980"/>
    <w:rsid w:val="00B63A98"/>
    <w:rsid w:val="00B63BF5"/>
    <w:rsid w:val="00B64043"/>
    <w:rsid w:val="00B64168"/>
    <w:rsid w:val="00B64580"/>
    <w:rsid w:val="00B645EF"/>
    <w:rsid w:val="00B64632"/>
    <w:rsid w:val="00B64745"/>
    <w:rsid w:val="00B647AC"/>
    <w:rsid w:val="00B64D4C"/>
    <w:rsid w:val="00B64FEE"/>
    <w:rsid w:val="00B65066"/>
    <w:rsid w:val="00B65301"/>
    <w:rsid w:val="00B65690"/>
    <w:rsid w:val="00B65691"/>
    <w:rsid w:val="00B657ED"/>
    <w:rsid w:val="00B65A18"/>
    <w:rsid w:val="00B66004"/>
    <w:rsid w:val="00B66073"/>
    <w:rsid w:val="00B6621B"/>
    <w:rsid w:val="00B6636B"/>
    <w:rsid w:val="00B663A9"/>
    <w:rsid w:val="00B66668"/>
    <w:rsid w:val="00B66870"/>
    <w:rsid w:val="00B6688F"/>
    <w:rsid w:val="00B66985"/>
    <w:rsid w:val="00B66A60"/>
    <w:rsid w:val="00B66AF6"/>
    <w:rsid w:val="00B66BBD"/>
    <w:rsid w:val="00B66F4A"/>
    <w:rsid w:val="00B66F99"/>
    <w:rsid w:val="00B670CC"/>
    <w:rsid w:val="00B670FE"/>
    <w:rsid w:val="00B67167"/>
    <w:rsid w:val="00B6728F"/>
    <w:rsid w:val="00B67331"/>
    <w:rsid w:val="00B673D9"/>
    <w:rsid w:val="00B67621"/>
    <w:rsid w:val="00B678BD"/>
    <w:rsid w:val="00B67908"/>
    <w:rsid w:val="00B67A71"/>
    <w:rsid w:val="00B67BF2"/>
    <w:rsid w:val="00B67EA3"/>
    <w:rsid w:val="00B70101"/>
    <w:rsid w:val="00B7030C"/>
    <w:rsid w:val="00B70486"/>
    <w:rsid w:val="00B7066E"/>
    <w:rsid w:val="00B706FE"/>
    <w:rsid w:val="00B707D7"/>
    <w:rsid w:val="00B70973"/>
    <w:rsid w:val="00B709D0"/>
    <w:rsid w:val="00B70AB0"/>
    <w:rsid w:val="00B70DC3"/>
    <w:rsid w:val="00B70E59"/>
    <w:rsid w:val="00B70F28"/>
    <w:rsid w:val="00B71069"/>
    <w:rsid w:val="00B71295"/>
    <w:rsid w:val="00B7148B"/>
    <w:rsid w:val="00B718E1"/>
    <w:rsid w:val="00B71A2F"/>
    <w:rsid w:val="00B71BED"/>
    <w:rsid w:val="00B71D52"/>
    <w:rsid w:val="00B71F0A"/>
    <w:rsid w:val="00B7223B"/>
    <w:rsid w:val="00B723D1"/>
    <w:rsid w:val="00B723D4"/>
    <w:rsid w:val="00B725D5"/>
    <w:rsid w:val="00B7293A"/>
    <w:rsid w:val="00B72B76"/>
    <w:rsid w:val="00B72C7C"/>
    <w:rsid w:val="00B72C8D"/>
    <w:rsid w:val="00B72D62"/>
    <w:rsid w:val="00B72E03"/>
    <w:rsid w:val="00B72FE3"/>
    <w:rsid w:val="00B7350C"/>
    <w:rsid w:val="00B7384B"/>
    <w:rsid w:val="00B738B8"/>
    <w:rsid w:val="00B738D1"/>
    <w:rsid w:val="00B73915"/>
    <w:rsid w:val="00B739A4"/>
    <w:rsid w:val="00B739F2"/>
    <w:rsid w:val="00B73A2B"/>
    <w:rsid w:val="00B73C34"/>
    <w:rsid w:val="00B73F3F"/>
    <w:rsid w:val="00B7409B"/>
    <w:rsid w:val="00B740E2"/>
    <w:rsid w:val="00B74306"/>
    <w:rsid w:val="00B74665"/>
    <w:rsid w:val="00B7470C"/>
    <w:rsid w:val="00B74A2A"/>
    <w:rsid w:val="00B74D11"/>
    <w:rsid w:val="00B75418"/>
    <w:rsid w:val="00B75461"/>
    <w:rsid w:val="00B75752"/>
    <w:rsid w:val="00B75813"/>
    <w:rsid w:val="00B75A54"/>
    <w:rsid w:val="00B75B3D"/>
    <w:rsid w:val="00B75B65"/>
    <w:rsid w:val="00B76001"/>
    <w:rsid w:val="00B762E0"/>
    <w:rsid w:val="00B7646B"/>
    <w:rsid w:val="00B764B3"/>
    <w:rsid w:val="00B766AC"/>
    <w:rsid w:val="00B76730"/>
    <w:rsid w:val="00B76F0C"/>
    <w:rsid w:val="00B773CD"/>
    <w:rsid w:val="00B77524"/>
    <w:rsid w:val="00B775C2"/>
    <w:rsid w:val="00B77943"/>
    <w:rsid w:val="00B77994"/>
    <w:rsid w:val="00B77B92"/>
    <w:rsid w:val="00B77C0D"/>
    <w:rsid w:val="00B77E43"/>
    <w:rsid w:val="00B77E77"/>
    <w:rsid w:val="00B8020A"/>
    <w:rsid w:val="00B80256"/>
    <w:rsid w:val="00B802A8"/>
    <w:rsid w:val="00B802EE"/>
    <w:rsid w:val="00B803D4"/>
    <w:rsid w:val="00B804CD"/>
    <w:rsid w:val="00B807E8"/>
    <w:rsid w:val="00B80801"/>
    <w:rsid w:val="00B80967"/>
    <w:rsid w:val="00B80A8D"/>
    <w:rsid w:val="00B80C81"/>
    <w:rsid w:val="00B80DB1"/>
    <w:rsid w:val="00B80E05"/>
    <w:rsid w:val="00B8108F"/>
    <w:rsid w:val="00B810FD"/>
    <w:rsid w:val="00B811D5"/>
    <w:rsid w:val="00B816FF"/>
    <w:rsid w:val="00B817CE"/>
    <w:rsid w:val="00B8192F"/>
    <w:rsid w:val="00B819B3"/>
    <w:rsid w:val="00B81B32"/>
    <w:rsid w:val="00B81E4D"/>
    <w:rsid w:val="00B81F54"/>
    <w:rsid w:val="00B82218"/>
    <w:rsid w:val="00B82261"/>
    <w:rsid w:val="00B82594"/>
    <w:rsid w:val="00B829D8"/>
    <w:rsid w:val="00B82E4F"/>
    <w:rsid w:val="00B82F10"/>
    <w:rsid w:val="00B830B0"/>
    <w:rsid w:val="00B8311D"/>
    <w:rsid w:val="00B831A4"/>
    <w:rsid w:val="00B83218"/>
    <w:rsid w:val="00B83367"/>
    <w:rsid w:val="00B833FD"/>
    <w:rsid w:val="00B83487"/>
    <w:rsid w:val="00B838BB"/>
    <w:rsid w:val="00B839D6"/>
    <w:rsid w:val="00B83A65"/>
    <w:rsid w:val="00B83AFE"/>
    <w:rsid w:val="00B83B00"/>
    <w:rsid w:val="00B83B14"/>
    <w:rsid w:val="00B83C1A"/>
    <w:rsid w:val="00B83E14"/>
    <w:rsid w:val="00B83EF5"/>
    <w:rsid w:val="00B842A5"/>
    <w:rsid w:val="00B843BD"/>
    <w:rsid w:val="00B84651"/>
    <w:rsid w:val="00B849F3"/>
    <w:rsid w:val="00B85118"/>
    <w:rsid w:val="00B85309"/>
    <w:rsid w:val="00B854AD"/>
    <w:rsid w:val="00B8569F"/>
    <w:rsid w:val="00B85AAB"/>
    <w:rsid w:val="00B85B28"/>
    <w:rsid w:val="00B85C4E"/>
    <w:rsid w:val="00B85CFA"/>
    <w:rsid w:val="00B85E1C"/>
    <w:rsid w:val="00B85ED8"/>
    <w:rsid w:val="00B86282"/>
    <w:rsid w:val="00B8667C"/>
    <w:rsid w:val="00B86736"/>
    <w:rsid w:val="00B8681A"/>
    <w:rsid w:val="00B86851"/>
    <w:rsid w:val="00B868F2"/>
    <w:rsid w:val="00B869A9"/>
    <w:rsid w:val="00B86AF3"/>
    <w:rsid w:val="00B86DF3"/>
    <w:rsid w:val="00B86ED7"/>
    <w:rsid w:val="00B86F44"/>
    <w:rsid w:val="00B87668"/>
    <w:rsid w:val="00B87701"/>
    <w:rsid w:val="00B8778E"/>
    <w:rsid w:val="00B87869"/>
    <w:rsid w:val="00B87C3A"/>
    <w:rsid w:val="00B87DB4"/>
    <w:rsid w:val="00B900BA"/>
    <w:rsid w:val="00B90147"/>
    <w:rsid w:val="00B901AF"/>
    <w:rsid w:val="00B901D4"/>
    <w:rsid w:val="00B90391"/>
    <w:rsid w:val="00B9040E"/>
    <w:rsid w:val="00B90D65"/>
    <w:rsid w:val="00B90EA8"/>
    <w:rsid w:val="00B91047"/>
    <w:rsid w:val="00B91058"/>
    <w:rsid w:val="00B910FE"/>
    <w:rsid w:val="00B91298"/>
    <w:rsid w:val="00B913B6"/>
    <w:rsid w:val="00B91487"/>
    <w:rsid w:val="00B9163E"/>
    <w:rsid w:val="00B91649"/>
    <w:rsid w:val="00B91929"/>
    <w:rsid w:val="00B91A7F"/>
    <w:rsid w:val="00B91AD7"/>
    <w:rsid w:val="00B91BB4"/>
    <w:rsid w:val="00B91D52"/>
    <w:rsid w:val="00B91E40"/>
    <w:rsid w:val="00B91FE0"/>
    <w:rsid w:val="00B924B8"/>
    <w:rsid w:val="00B926A1"/>
    <w:rsid w:val="00B927E9"/>
    <w:rsid w:val="00B929F3"/>
    <w:rsid w:val="00B92A25"/>
    <w:rsid w:val="00B92AEB"/>
    <w:rsid w:val="00B92C4B"/>
    <w:rsid w:val="00B92D48"/>
    <w:rsid w:val="00B92ECF"/>
    <w:rsid w:val="00B92F5F"/>
    <w:rsid w:val="00B92FC6"/>
    <w:rsid w:val="00B93037"/>
    <w:rsid w:val="00B932E1"/>
    <w:rsid w:val="00B93B39"/>
    <w:rsid w:val="00B93E95"/>
    <w:rsid w:val="00B94011"/>
    <w:rsid w:val="00B9438B"/>
    <w:rsid w:val="00B94519"/>
    <w:rsid w:val="00B9479B"/>
    <w:rsid w:val="00B947FB"/>
    <w:rsid w:val="00B94948"/>
    <w:rsid w:val="00B94C65"/>
    <w:rsid w:val="00B94E6D"/>
    <w:rsid w:val="00B9503F"/>
    <w:rsid w:val="00B95246"/>
    <w:rsid w:val="00B953C4"/>
    <w:rsid w:val="00B955CF"/>
    <w:rsid w:val="00B955F3"/>
    <w:rsid w:val="00B95913"/>
    <w:rsid w:val="00B95AD2"/>
    <w:rsid w:val="00B95D96"/>
    <w:rsid w:val="00B95DCC"/>
    <w:rsid w:val="00B95F45"/>
    <w:rsid w:val="00B9610E"/>
    <w:rsid w:val="00B96318"/>
    <w:rsid w:val="00B96378"/>
    <w:rsid w:val="00B9652A"/>
    <w:rsid w:val="00B9684D"/>
    <w:rsid w:val="00B96A71"/>
    <w:rsid w:val="00B96B68"/>
    <w:rsid w:val="00B96BAD"/>
    <w:rsid w:val="00B96BDA"/>
    <w:rsid w:val="00B96C0E"/>
    <w:rsid w:val="00B96C4C"/>
    <w:rsid w:val="00B96E35"/>
    <w:rsid w:val="00B97191"/>
    <w:rsid w:val="00B97300"/>
    <w:rsid w:val="00B97348"/>
    <w:rsid w:val="00B97420"/>
    <w:rsid w:val="00B974A9"/>
    <w:rsid w:val="00B9780C"/>
    <w:rsid w:val="00B97984"/>
    <w:rsid w:val="00B97995"/>
    <w:rsid w:val="00B97CA1"/>
    <w:rsid w:val="00B97CA4"/>
    <w:rsid w:val="00B97D4F"/>
    <w:rsid w:val="00B97F1D"/>
    <w:rsid w:val="00B97FE3"/>
    <w:rsid w:val="00BA0012"/>
    <w:rsid w:val="00BA053D"/>
    <w:rsid w:val="00BA059D"/>
    <w:rsid w:val="00BA09F2"/>
    <w:rsid w:val="00BA0AF5"/>
    <w:rsid w:val="00BA0B3C"/>
    <w:rsid w:val="00BA0C5B"/>
    <w:rsid w:val="00BA0D44"/>
    <w:rsid w:val="00BA0E93"/>
    <w:rsid w:val="00BA0EF9"/>
    <w:rsid w:val="00BA0F41"/>
    <w:rsid w:val="00BA14D3"/>
    <w:rsid w:val="00BA1505"/>
    <w:rsid w:val="00BA15B2"/>
    <w:rsid w:val="00BA15BD"/>
    <w:rsid w:val="00BA1695"/>
    <w:rsid w:val="00BA16BE"/>
    <w:rsid w:val="00BA1722"/>
    <w:rsid w:val="00BA1B62"/>
    <w:rsid w:val="00BA1B87"/>
    <w:rsid w:val="00BA1D6C"/>
    <w:rsid w:val="00BA1F74"/>
    <w:rsid w:val="00BA2054"/>
    <w:rsid w:val="00BA208E"/>
    <w:rsid w:val="00BA20AD"/>
    <w:rsid w:val="00BA2B9D"/>
    <w:rsid w:val="00BA2BE6"/>
    <w:rsid w:val="00BA2C94"/>
    <w:rsid w:val="00BA2CF4"/>
    <w:rsid w:val="00BA2FF6"/>
    <w:rsid w:val="00BA3076"/>
    <w:rsid w:val="00BA34A4"/>
    <w:rsid w:val="00BA3680"/>
    <w:rsid w:val="00BA3747"/>
    <w:rsid w:val="00BA38CA"/>
    <w:rsid w:val="00BA3948"/>
    <w:rsid w:val="00BA3A99"/>
    <w:rsid w:val="00BA3AFB"/>
    <w:rsid w:val="00BA3CF2"/>
    <w:rsid w:val="00BA41AE"/>
    <w:rsid w:val="00BA429C"/>
    <w:rsid w:val="00BA441E"/>
    <w:rsid w:val="00BA445E"/>
    <w:rsid w:val="00BA44F2"/>
    <w:rsid w:val="00BA4948"/>
    <w:rsid w:val="00BA49A1"/>
    <w:rsid w:val="00BA4AD1"/>
    <w:rsid w:val="00BA4B39"/>
    <w:rsid w:val="00BA4DB5"/>
    <w:rsid w:val="00BA4F14"/>
    <w:rsid w:val="00BA4F3F"/>
    <w:rsid w:val="00BA515A"/>
    <w:rsid w:val="00BA5163"/>
    <w:rsid w:val="00BA54F7"/>
    <w:rsid w:val="00BA5688"/>
    <w:rsid w:val="00BA5BD8"/>
    <w:rsid w:val="00BA5C73"/>
    <w:rsid w:val="00BA5D4B"/>
    <w:rsid w:val="00BA5E14"/>
    <w:rsid w:val="00BA5EBC"/>
    <w:rsid w:val="00BA60AD"/>
    <w:rsid w:val="00BA60FF"/>
    <w:rsid w:val="00BA63DC"/>
    <w:rsid w:val="00BA660C"/>
    <w:rsid w:val="00BA66B1"/>
    <w:rsid w:val="00BA6865"/>
    <w:rsid w:val="00BA6A2D"/>
    <w:rsid w:val="00BA6AF4"/>
    <w:rsid w:val="00BA6B2B"/>
    <w:rsid w:val="00BA6EC6"/>
    <w:rsid w:val="00BA70A2"/>
    <w:rsid w:val="00BA73C8"/>
    <w:rsid w:val="00BA73DB"/>
    <w:rsid w:val="00BA74AF"/>
    <w:rsid w:val="00BA7951"/>
    <w:rsid w:val="00BA79DF"/>
    <w:rsid w:val="00BA7C58"/>
    <w:rsid w:val="00BA7D2F"/>
    <w:rsid w:val="00BB0094"/>
    <w:rsid w:val="00BB0507"/>
    <w:rsid w:val="00BB0630"/>
    <w:rsid w:val="00BB07A9"/>
    <w:rsid w:val="00BB07BC"/>
    <w:rsid w:val="00BB080F"/>
    <w:rsid w:val="00BB0B7C"/>
    <w:rsid w:val="00BB0D84"/>
    <w:rsid w:val="00BB11FA"/>
    <w:rsid w:val="00BB156C"/>
    <w:rsid w:val="00BB17C4"/>
    <w:rsid w:val="00BB184F"/>
    <w:rsid w:val="00BB18CC"/>
    <w:rsid w:val="00BB196A"/>
    <w:rsid w:val="00BB198B"/>
    <w:rsid w:val="00BB1A90"/>
    <w:rsid w:val="00BB1B25"/>
    <w:rsid w:val="00BB1B3D"/>
    <w:rsid w:val="00BB1E2C"/>
    <w:rsid w:val="00BB1E93"/>
    <w:rsid w:val="00BB1F31"/>
    <w:rsid w:val="00BB1F3A"/>
    <w:rsid w:val="00BB218A"/>
    <w:rsid w:val="00BB21D6"/>
    <w:rsid w:val="00BB2250"/>
    <w:rsid w:val="00BB2660"/>
    <w:rsid w:val="00BB285D"/>
    <w:rsid w:val="00BB2960"/>
    <w:rsid w:val="00BB2A35"/>
    <w:rsid w:val="00BB2B1F"/>
    <w:rsid w:val="00BB31C0"/>
    <w:rsid w:val="00BB322D"/>
    <w:rsid w:val="00BB33C2"/>
    <w:rsid w:val="00BB340B"/>
    <w:rsid w:val="00BB38D3"/>
    <w:rsid w:val="00BB3D7E"/>
    <w:rsid w:val="00BB3E3F"/>
    <w:rsid w:val="00BB4052"/>
    <w:rsid w:val="00BB41BF"/>
    <w:rsid w:val="00BB4316"/>
    <w:rsid w:val="00BB433F"/>
    <w:rsid w:val="00BB45E4"/>
    <w:rsid w:val="00BB4734"/>
    <w:rsid w:val="00BB478F"/>
    <w:rsid w:val="00BB4A61"/>
    <w:rsid w:val="00BB4AA0"/>
    <w:rsid w:val="00BB4C24"/>
    <w:rsid w:val="00BB4E31"/>
    <w:rsid w:val="00BB4E59"/>
    <w:rsid w:val="00BB4EE6"/>
    <w:rsid w:val="00BB55C5"/>
    <w:rsid w:val="00BB5925"/>
    <w:rsid w:val="00BB5D23"/>
    <w:rsid w:val="00BB5E20"/>
    <w:rsid w:val="00BB5E8B"/>
    <w:rsid w:val="00BB5F8A"/>
    <w:rsid w:val="00BB5FA2"/>
    <w:rsid w:val="00BB636E"/>
    <w:rsid w:val="00BB686C"/>
    <w:rsid w:val="00BB6A4A"/>
    <w:rsid w:val="00BB6BAF"/>
    <w:rsid w:val="00BB6C71"/>
    <w:rsid w:val="00BB6F41"/>
    <w:rsid w:val="00BB7083"/>
    <w:rsid w:val="00BB74ED"/>
    <w:rsid w:val="00BB762C"/>
    <w:rsid w:val="00BB771B"/>
    <w:rsid w:val="00BB77DC"/>
    <w:rsid w:val="00BB7B36"/>
    <w:rsid w:val="00BB7C5B"/>
    <w:rsid w:val="00BB7D4F"/>
    <w:rsid w:val="00BB7D92"/>
    <w:rsid w:val="00BB7DBA"/>
    <w:rsid w:val="00BB7E87"/>
    <w:rsid w:val="00BC0119"/>
    <w:rsid w:val="00BC036F"/>
    <w:rsid w:val="00BC039C"/>
    <w:rsid w:val="00BC03FA"/>
    <w:rsid w:val="00BC0410"/>
    <w:rsid w:val="00BC043D"/>
    <w:rsid w:val="00BC067D"/>
    <w:rsid w:val="00BC0754"/>
    <w:rsid w:val="00BC07AE"/>
    <w:rsid w:val="00BC0848"/>
    <w:rsid w:val="00BC098B"/>
    <w:rsid w:val="00BC0C53"/>
    <w:rsid w:val="00BC0E24"/>
    <w:rsid w:val="00BC0ED8"/>
    <w:rsid w:val="00BC1182"/>
    <w:rsid w:val="00BC11C4"/>
    <w:rsid w:val="00BC127D"/>
    <w:rsid w:val="00BC12C2"/>
    <w:rsid w:val="00BC133C"/>
    <w:rsid w:val="00BC14BE"/>
    <w:rsid w:val="00BC16C1"/>
    <w:rsid w:val="00BC1B64"/>
    <w:rsid w:val="00BC1DD0"/>
    <w:rsid w:val="00BC1DD9"/>
    <w:rsid w:val="00BC1EAD"/>
    <w:rsid w:val="00BC1F4D"/>
    <w:rsid w:val="00BC1FE0"/>
    <w:rsid w:val="00BC2314"/>
    <w:rsid w:val="00BC272C"/>
    <w:rsid w:val="00BC29FD"/>
    <w:rsid w:val="00BC2A2A"/>
    <w:rsid w:val="00BC2A72"/>
    <w:rsid w:val="00BC2B50"/>
    <w:rsid w:val="00BC2D84"/>
    <w:rsid w:val="00BC2E7E"/>
    <w:rsid w:val="00BC2EFA"/>
    <w:rsid w:val="00BC2F93"/>
    <w:rsid w:val="00BC2F99"/>
    <w:rsid w:val="00BC30DB"/>
    <w:rsid w:val="00BC31A7"/>
    <w:rsid w:val="00BC3270"/>
    <w:rsid w:val="00BC3579"/>
    <w:rsid w:val="00BC386F"/>
    <w:rsid w:val="00BC3922"/>
    <w:rsid w:val="00BC3A26"/>
    <w:rsid w:val="00BC3A8B"/>
    <w:rsid w:val="00BC3B63"/>
    <w:rsid w:val="00BC3E90"/>
    <w:rsid w:val="00BC405F"/>
    <w:rsid w:val="00BC4276"/>
    <w:rsid w:val="00BC43C4"/>
    <w:rsid w:val="00BC447F"/>
    <w:rsid w:val="00BC45C5"/>
    <w:rsid w:val="00BC4607"/>
    <w:rsid w:val="00BC47DC"/>
    <w:rsid w:val="00BC487F"/>
    <w:rsid w:val="00BC48BB"/>
    <w:rsid w:val="00BC4E32"/>
    <w:rsid w:val="00BC4ECB"/>
    <w:rsid w:val="00BC5023"/>
    <w:rsid w:val="00BC512D"/>
    <w:rsid w:val="00BC5489"/>
    <w:rsid w:val="00BC574C"/>
    <w:rsid w:val="00BC57A0"/>
    <w:rsid w:val="00BC5854"/>
    <w:rsid w:val="00BC5866"/>
    <w:rsid w:val="00BC58B5"/>
    <w:rsid w:val="00BC5EE0"/>
    <w:rsid w:val="00BC6215"/>
    <w:rsid w:val="00BC62B0"/>
    <w:rsid w:val="00BC634D"/>
    <w:rsid w:val="00BC678C"/>
    <w:rsid w:val="00BC68E9"/>
    <w:rsid w:val="00BC69C6"/>
    <w:rsid w:val="00BC69D0"/>
    <w:rsid w:val="00BC6A44"/>
    <w:rsid w:val="00BC6BAF"/>
    <w:rsid w:val="00BC6DAE"/>
    <w:rsid w:val="00BC6DBF"/>
    <w:rsid w:val="00BC71CA"/>
    <w:rsid w:val="00BC72D9"/>
    <w:rsid w:val="00BC735C"/>
    <w:rsid w:val="00BC736A"/>
    <w:rsid w:val="00BC7571"/>
    <w:rsid w:val="00BC7672"/>
    <w:rsid w:val="00BC769C"/>
    <w:rsid w:val="00BD003E"/>
    <w:rsid w:val="00BD045C"/>
    <w:rsid w:val="00BD0488"/>
    <w:rsid w:val="00BD0592"/>
    <w:rsid w:val="00BD07E6"/>
    <w:rsid w:val="00BD09D2"/>
    <w:rsid w:val="00BD0A5E"/>
    <w:rsid w:val="00BD0CAF"/>
    <w:rsid w:val="00BD121C"/>
    <w:rsid w:val="00BD1425"/>
    <w:rsid w:val="00BD14B6"/>
    <w:rsid w:val="00BD14C9"/>
    <w:rsid w:val="00BD14FA"/>
    <w:rsid w:val="00BD1539"/>
    <w:rsid w:val="00BD1618"/>
    <w:rsid w:val="00BD1A48"/>
    <w:rsid w:val="00BD1C31"/>
    <w:rsid w:val="00BD1C37"/>
    <w:rsid w:val="00BD1CAE"/>
    <w:rsid w:val="00BD1CDA"/>
    <w:rsid w:val="00BD1D5E"/>
    <w:rsid w:val="00BD2112"/>
    <w:rsid w:val="00BD212D"/>
    <w:rsid w:val="00BD2212"/>
    <w:rsid w:val="00BD221A"/>
    <w:rsid w:val="00BD2319"/>
    <w:rsid w:val="00BD23E4"/>
    <w:rsid w:val="00BD24A0"/>
    <w:rsid w:val="00BD24B6"/>
    <w:rsid w:val="00BD258A"/>
    <w:rsid w:val="00BD268E"/>
    <w:rsid w:val="00BD27B8"/>
    <w:rsid w:val="00BD2D35"/>
    <w:rsid w:val="00BD2D84"/>
    <w:rsid w:val="00BD2E75"/>
    <w:rsid w:val="00BD3001"/>
    <w:rsid w:val="00BD319E"/>
    <w:rsid w:val="00BD321D"/>
    <w:rsid w:val="00BD376F"/>
    <w:rsid w:val="00BD384A"/>
    <w:rsid w:val="00BD39C6"/>
    <w:rsid w:val="00BD3AB9"/>
    <w:rsid w:val="00BD3D2D"/>
    <w:rsid w:val="00BD3E54"/>
    <w:rsid w:val="00BD3E8F"/>
    <w:rsid w:val="00BD3F66"/>
    <w:rsid w:val="00BD4031"/>
    <w:rsid w:val="00BD45B9"/>
    <w:rsid w:val="00BD49BE"/>
    <w:rsid w:val="00BD49F3"/>
    <w:rsid w:val="00BD4B03"/>
    <w:rsid w:val="00BD4C06"/>
    <w:rsid w:val="00BD4E3D"/>
    <w:rsid w:val="00BD4E53"/>
    <w:rsid w:val="00BD5052"/>
    <w:rsid w:val="00BD5232"/>
    <w:rsid w:val="00BD549E"/>
    <w:rsid w:val="00BD54D0"/>
    <w:rsid w:val="00BD5B2F"/>
    <w:rsid w:val="00BD5BB7"/>
    <w:rsid w:val="00BD5BF1"/>
    <w:rsid w:val="00BD5F30"/>
    <w:rsid w:val="00BD63AF"/>
    <w:rsid w:val="00BD64B3"/>
    <w:rsid w:val="00BD6800"/>
    <w:rsid w:val="00BD680A"/>
    <w:rsid w:val="00BD6844"/>
    <w:rsid w:val="00BD685D"/>
    <w:rsid w:val="00BD697C"/>
    <w:rsid w:val="00BD6B47"/>
    <w:rsid w:val="00BD6E79"/>
    <w:rsid w:val="00BD6F97"/>
    <w:rsid w:val="00BD705A"/>
    <w:rsid w:val="00BD712B"/>
    <w:rsid w:val="00BD71D8"/>
    <w:rsid w:val="00BD728E"/>
    <w:rsid w:val="00BD7324"/>
    <w:rsid w:val="00BD7802"/>
    <w:rsid w:val="00BD78D9"/>
    <w:rsid w:val="00BD796A"/>
    <w:rsid w:val="00BD7BC7"/>
    <w:rsid w:val="00BD7CBD"/>
    <w:rsid w:val="00BD7DB7"/>
    <w:rsid w:val="00BD7ED4"/>
    <w:rsid w:val="00BE0265"/>
    <w:rsid w:val="00BE0AA1"/>
    <w:rsid w:val="00BE0CC4"/>
    <w:rsid w:val="00BE0DD6"/>
    <w:rsid w:val="00BE0EE0"/>
    <w:rsid w:val="00BE10CB"/>
    <w:rsid w:val="00BE125C"/>
    <w:rsid w:val="00BE1538"/>
    <w:rsid w:val="00BE1628"/>
    <w:rsid w:val="00BE1754"/>
    <w:rsid w:val="00BE1865"/>
    <w:rsid w:val="00BE1867"/>
    <w:rsid w:val="00BE189D"/>
    <w:rsid w:val="00BE1961"/>
    <w:rsid w:val="00BE1A70"/>
    <w:rsid w:val="00BE1E9D"/>
    <w:rsid w:val="00BE1FE8"/>
    <w:rsid w:val="00BE23E1"/>
    <w:rsid w:val="00BE26C5"/>
    <w:rsid w:val="00BE26C7"/>
    <w:rsid w:val="00BE26CE"/>
    <w:rsid w:val="00BE27A4"/>
    <w:rsid w:val="00BE2853"/>
    <w:rsid w:val="00BE2DAE"/>
    <w:rsid w:val="00BE2DEB"/>
    <w:rsid w:val="00BE2E14"/>
    <w:rsid w:val="00BE2F97"/>
    <w:rsid w:val="00BE3015"/>
    <w:rsid w:val="00BE3122"/>
    <w:rsid w:val="00BE31F9"/>
    <w:rsid w:val="00BE34B2"/>
    <w:rsid w:val="00BE34B5"/>
    <w:rsid w:val="00BE3A6D"/>
    <w:rsid w:val="00BE4072"/>
    <w:rsid w:val="00BE42C2"/>
    <w:rsid w:val="00BE43F1"/>
    <w:rsid w:val="00BE4413"/>
    <w:rsid w:val="00BE450A"/>
    <w:rsid w:val="00BE46D4"/>
    <w:rsid w:val="00BE49A2"/>
    <w:rsid w:val="00BE4B15"/>
    <w:rsid w:val="00BE4D66"/>
    <w:rsid w:val="00BE4DBC"/>
    <w:rsid w:val="00BE507D"/>
    <w:rsid w:val="00BE50DC"/>
    <w:rsid w:val="00BE51F6"/>
    <w:rsid w:val="00BE5355"/>
    <w:rsid w:val="00BE53A8"/>
    <w:rsid w:val="00BE53C2"/>
    <w:rsid w:val="00BE5548"/>
    <w:rsid w:val="00BE55C1"/>
    <w:rsid w:val="00BE5668"/>
    <w:rsid w:val="00BE5809"/>
    <w:rsid w:val="00BE58E8"/>
    <w:rsid w:val="00BE5C40"/>
    <w:rsid w:val="00BE5E0E"/>
    <w:rsid w:val="00BE5E53"/>
    <w:rsid w:val="00BE5EDA"/>
    <w:rsid w:val="00BE5FA9"/>
    <w:rsid w:val="00BE5FC6"/>
    <w:rsid w:val="00BE6366"/>
    <w:rsid w:val="00BE6390"/>
    <w:rsid w:val="00BE6394"/>
    <w:rsid w:val="00BE65CC"/>
    <w:rsid w:val="00BE6741"/>
    <w:rsid w:val="00BE687D"/>
    <w:rsid w:val="00BE6B16"/>
    <w:rsid w:val="00BE6F25"/>
    <w:rsid w:val="00BE73B8"/>
    <w:rsid w:val="00BE754F"/>
    <w:rsid w:val="00BE7BF0"/>
    <w:rsid w:val="00BE7C80"/>
    <w:rsid w:val="00BF043B"/>
    <w:rsid w:val="00BF095E"/>
    <w:rsid w:val="00BF09B2"/>
    <w:rsid w:val="00BF0AB3"/>
    <w:rsid w:val="00BF0AF5"/>
    <w:rsid w:val="00BF0FC1"/>
    <w:rsid w:val="00BF1051"/>
    <w:rsid w:val="00BF112F"/>
    <w:rsid w:val="00BF13F2"/>
    <w:rsid w:val="00BF1450"/>
    <w:rsid w:val="00BF147D"/>
    <w:rsid w:val="00BF169A"/>
    <w:rsid w:val="00BF16D5"/>
    <w:rsid w:val="00BF1ABC"/>
    <w:rsid w:val="00BF1C4D"/>
    <w:rsid w:val="00BF1E2A"/>
    <w:rsid w:val="00BF24F0"/>
    <w:rsid w:val="00BF254C"/>
    <w:rsid w:val="00BF261C"/>
    <w:rsid w:val="00BF2798"/>
    <w:rsid w:val="00BF27D3"/>
    <w:rsid w:val="00BF2C00"/>
    <w:rsid w:val="00BF2D1F"/>
    <w:rsid w:val="00BF2D60"/>
    <w:rsid w:val="00BF2D97"/>
    <w:rsid w:val="00BF2F8D"/>
    <w:rsid w:val="00BF3142"/>
    <w:rsid w:val="00BF31BB"/>
    <w:rsid w:val="00BF3346"/>
    <w:rsid w:val="00BF366E"/>
    <w:rsid w:val="00BF3800"/>
    <w:rsid w:val="00BF380B"/>
    <w:rsid w:val="00BF3F42"/>
    <w:rsid w:val="00BF4167"/>
    <w:rsid w:val="00BF41EA"/>
    <w:rsid w:val="00BF44A7"/>
    <w:rsid w:val="00BF4587"/>
    <w:rsid w:val="00BF471A"/>
    <w:rsid w:val="00BF4798"/>
    <w:rsid w:val="00BF4A0E"/>
    <w:rsid w:val="00BF4B1A"/>
    <w:rsid w:val="00BF4CD2"/>
    <w:rsid w:val="00BF519D"/>
    <w:rsid w:val="00BF5886"/>
    <w:rsid w:val="00BF59E3"/>
    <w:rsid w:val="00BF5B8B"/>
    <w:rsid w:val="00BF5D67"/>
    <w:rsid w:val="00BF5DB0"/>
    <w:rsid w:val="00BF5F85"/>
    <w:rsid w:val="00BF629F"/>
    <w:rsid w:val="00BF6341"/>
    <w:rsid w:val="00BF6447"/>
    <w:rsid w:val="00BF6B39"/>
    <w:rsid w:val="00BF6D36"/>
    <w:rsid w:val="00BF7082"/>
    <w:rsid w:val="00BF7302"/>
    <w:rsid w:val="00BF7327"/>
    <w:rsid w:val="00BF742A"/>
    <w:rsid w:val="00BF779F"/>
    <w:rsid w:val="00BF7913"/>
    <w:rsid w:val="00BF7965"/>
    <w:rsid w:val="00BF7AD5"/>
    <w:rsid w:val="00BF7B40"/>
    <w:rsid w:val="00BF7CC4"/>
    <w:rsid w:val="00BF7DD7"/>
    <w:rsid w:val="00BF7E8F"/>
    <w:rsid w:val="00BF7F11"/>
    <w:rsid w:val="00BF7F43"/>
    <w:rsid w:val="00C00594"/>
    <w:rsid w:val="00C005B4"/>
    <w:rsid w:val="00C00672"/>
    <w:rsid w:val="00C00676"/>
    <w:rsid w:val="00C0070E"/>
    <w:rsid w:val="00C007F9"/>
    <w:rsid w:val="00C0084E"/>
    <w:rsid w:val="00C00B0A"/>
    <w:rsid w:val="00C00DD1"/>
    <w:rsid w:val="00C01131"/>
    <w:rsid w:val="00C01155"/>
    <w:rsid w:val="00C011E2"/>
    <w:rsid w:val="00C011F8"/>
    <w:rsid w:val="00C01391"/>
    <w:rsid w:val="00C01437"/>
    <w:rsid w:val="00C014DB"/>
    <w:rsid w:val="00C014EB"/>
    <w:rsid w:val="00C014FA"/>
    <w:rsid w:val="00C01675"/>
    <w:rsid w:val="00C0193E"/>
    <w:rsid w:val="00C01990"/>
    <w:rsid w:val="00C019DD"/>
    <w:rsid w:val="00C019F3"/>
    <w:rsid w:val="00C01AC7"/>
    <w:rsid w:val="00C01B6A"/>
    <w:rsid w:val="00C01C81"/>
    <w:rsid w:val="00C01C9A"/>
    <w:rsid w:val="00C02107"/>
    <w:rsid w:val="00C028C7"/>
    <w:rsid w:val="00C0294C"/>
    <w:rsid w:val="00C02CEA"/>
    <w:rsid w:val="00C02D9A"/>
    <w:rsid w:val="00C02DB0"/>
    <w:rsid w:val="00C02F20"/>
    <w:rsid w:val="00C0329F"/>
    <w:rsid w:val="00C03408"/>
    <w:rsid w:val="00C03684"/>
    <w:rsid w:val="00C0395A"/>
    <w:rsid w:val="00C03D0E"/>
    <w:rsid w:val="00C03FB0"/>
    <w:rsid w:val="00C0414E"/>
    <w:rsid w:val="00C0432B"/>
    <w:rsid w:val="00C04532"/>
    <w:rsid w:val="00C04665"/>
    <w:rsid w:val="00C04B9B"/>
    <w:rsid w:val="00C04BE5"/>
    <w:rsid w:val="00C04C3C"/>
    <w:rsid w:val="00C04CE8"/>
    <w:rsid w:val="00C04CFE"/>
    <w:rsid w:val="00C04DAD"/>
    <w:rsid w:val="00C05401"/>
    <w:rsid w:val="00C0542B"/>
    <w:rsid w:val="00C054D6"/>
    <w:rsid w:val="00C05D33"/>
    <w:rsid w:val="00C05EB6"/>
    <w:rsid w:val="00C0601F"/>
    <w:rsid w:val="00C0622F"/>
    <w:rsid w:val="00C0644C"/>
    <w:rsid w:val="00C06511"/>
    <w:rsid w:val="00C06522"/>
    <w:rsid w:val="00C0699A"/>
    <w:rsid w:val="00C06A40"/>
    <w:rsid w:val="00C06CA3"/>
    <w:rsid w:val="00C06CF3"/>
    <w:rsid w:val="00C06D92"/>
    <w:rsid w:val="00C06FE5"/>
    <w:rsid w:val="00C0714A"/>
    <w:rsid w:val="00C071F1"/>
    <w:rsid w:val="00C07304"/>
    <w:rsid w:val="00C077BF"/>
    <w:rsid w:val="00C07ADF"/>
    <w:rsid w:val="00C10029"/>
    <w:rsid w:val="00C1022C"/>
    <w:rsid w:val="00C10423"/>
    <w:rsid w:val="00C106FD"/>
    <w:rsid w:val="00C10751"/>
    <w:rsid w:val="00C10B73"/>
    <w:rsid w:val="00C10EF6"/>
    <w:rsid w:val="00C10F06"/>
    <w:rsid w:val="00C11310"/>
    <w:rsid w:val="00C11710"/>
    <w:rsid w:val="00C118B8"/>
    <w:rsid w:val="00C11A39"/>
    <w:rsid w:val="00C11B9D"/>
    <w:rsid w:val="00C11FB3"/>
    <w:rsid w:val="00C11FDB"/>
    <w:rsid w:val="00C1206F"/>
    <w:rsid w:val="00C1219F"/>
    <w:rsid w:val="00C122FB"/>
    <w:rsid w:val="00C12667"/>
    <w:rsid w:val="00C12837"/>
    <w:rsid w:val="00C12847"/>
    <w:rsid w:val="00C12AF4"/>
    <w:rsid w:val="00C12BE4"/>
    <w:rsid w:val="00C12DB1"/>
    <w:rsid w:val="00C1382A"/>
    <w:rsid w:val="00C1383D"/>
    <w:rsid w:val="00C13A35"/>
    <w:rsid w:val="00C13B1B"/>
    <w:rsid w:val="00C13B82"/>
    <w:rsid w:val="00C13BB7"/>
    <w:rsid w:val="00C13D93"/>
    <w:rsid w:val="00C13DA8"/>
    <w:rsid w:val="00C14209"/>
    <w:rsid w:val="00C14264"/>
    <w:rsid w:val="00C14418"/>
    <w:rsid w:val="00C1456E"/>
    <w:rsid w:val="00C14B91"/>
    <w:rsid w:val="00C14BB5"/>
    <w:rsid w:val="00C14C6A"/>
    <w:rsid w:val="00C14D5B"/>
    <w:rsid w:val="00C14F23"/>
    <w:rsid w:val="00C150A6"/>
    <w:rsid w:val="00C15357"/>
    <w:rsid w:val="00C154E1"/>
    <w:rsid w:val="00C1556F"/>
    <w:rsid w:val="00C15776"/>
    <w:rsid w:val="00C15A16"/>
    <w:rsid w:val="00C15B1B"/>
    <w:rsid w:val="00C15DB0"/>
    <w:rsid w:val="00C15DDF"/>
    <w:rsid w:val="00C15E51"/>
    <w:rsid w:val="00C15E71"/>
    <w:rsid w:val="00C16123"/>
    <w:rsid w:val="00C161E4"/>
    <w:rsid w:val="00C1672C"/>
    <w:rsid w:val="00C16917"/>
    <w:rsid w:val="00C16943"/>
    <w:rsid w:val="00C16B75"/>
    <w:rsid w:val="00C16CBA"/>
    <w:rsid w:val="00C16DFD"/>
    <w:rsid w:val="00C16FDC"/>
    <w:rsid w:val="00C17367"/>
    <w:rsid w:val="00C1747F"/>
    <w:rsid w:val="00C1774E"/>
    <w:rsid w:val="00C17812"/>
    <w:rsid w:val="00C17840"/>
    <w:rsid w:val="00C17880"/>
    <w:rsid w:val="00C179F7"/>
    <w:rsid w:val="00C17A8B"/>
    <w:rsid w:val="00C17BDC"/>
    <w:rsid w:val="00C20074"/>
    <w:rsid w:val="00C20226"/>
    <w:rsid w:val="00C20238"/>
    <w:rsid w:val="00C20376"/>
    <w:rsid w:val="00C20487"/>
    <w:rsid w:val="00C20690"/>
    <w:rsid w:val="00C209BE"/>
    <w:rsid w:val="00C20D34"/>
    <w:rsid w:val="00C20F18"/>
    <w:rsid w:val="00C20FE8"/>
    <w:rsid w:val="00C2104E"/>
    <w:rsid w:val="00C210FB"/>
    <w:rsid w:val="00C2113F"/>
    <w:rsid w:val="00C2162B"/>
    <w:rsid w:val="00C217B6"/>
    <w:rsid w:val="00C21BD3"/>
    <w:rsid w:val="00C21C30"/>
    <w:rsid w:val="00C21E0C"/>
    <w:rsid w:val="00C22165"/>
    <w:rsid w:val="00C2289F"/>
    <w:rsid w:val="00C22A23"/>
    <w:rsid w:val="00C22EB4"/>
    <w:rsid w:val="00C235FC"/>
    <w:rsid w:val="00C2395D"/>
    <w:rsid w:val="00C239E7"/>
    <w:rsid w:val="00C23B0D"/>
    <w:rsid w:val="00C23C6B"/>
    <w:rsid w:val="00C23E30"/>
    <w:rsid w:val="00C23F80"/>
    <w:rsid w:val="00C23FF9"/>
    <w:rsid w:val="00C24457"/>
    <w:rsid w:val="00C244A5"/>
    <w:rsid w:val="00C2461A"/>
    <w:rsid w:val="00C246DB"/>
    <w:rsid w:val="00C24789"/>
    <w:rsid w:val="00C24967"/>
    <w:rsid w:val="00C24A2D"/>
    <w:rsid w:val="00C24A7C"/>
    <w:rsid w:val="00C24C45"/>
    <w:rsid w:val="00C24CEF"/>
    <w:rsid w:val="00C251B2"/>
    <w:rsid w:val="00C2523E"/>
    <w:rsid w:val="00C25299"/>
    <w:rsid w:val="00C252B6"/>
    <w:rsid w:val="00C2533B"/>
    <w:rsid w:val="00C25426"/>
    <w:rsid w:val="00C256E0"/>
    <w:rsid w:val="00C25734"/>
    <w:rsid w:val="00C25BFA"/>
    <w:rsid w:val="00C25DC2"/>
    <w:rsid w:val="00C25FA2"/>
    <w:rsid w:val="00C26041"/>
    <w:rsid w:val="00C26119"/>
    <w:rsid w:val="00C26965"/>
    <w:rsid w:val="00C26AA5"/>
    <w:rsid w:val="00C26AE0"/>
    <w:rsid w:val="00C26EEB"/>
    <w:rsid w:val="00C26FF5"/>
    <w:rsid w:val="00C272EF"/>
    <w:rsid w:val="00C2762C"/>
    <w:rsid w:val="00C276FD"/>
    <w:rsid w:val="00C27AF7"/>
    <w:rsid w:val="00C27B46"/>
    <w:rsid w:val="00C27C54"/>
    <w:rsid w:val="00C27CED"/>
    <w:rsid w:val="00C27F33"/>
    <w:rsid w:val="00C27F65"/>
    <w:rsid w:val="00C30117"/>
    <w:rsid w:val="00C3024E"/>
    <w:rsid w:val="00C302BA"/>
    <w:rsid w:val="00C303BE"/>
    <w:rsid w:val="00C304B1"/>
    <w:rsid w:val="00C304F9"/>
    <w:rsid w:val="00C305BA"/>
    <w:rsid w:val="00C3084B"/>
    <w:rsid w:val="00C3091E"/>
    <w:rsid w:val="00C3094A"/>
    <w:rsid w:val="00C30A7C"/>
    <w:rsid w:val="00C30B3C"/>
    <w:rsid w:val="00C31238"/>
    <w:rsid w:val="00C3127D"/>
    <w:rsid w:val="00C3153C"/>
    <w:rsid w:val="00C31544"/>
    <w:rsid w:val="00C318B7"/>
    <w:rsid w:val="00C31916"/>
    <w:rsid w:val="00C31AFB"/>
    <w:rsid w:val="00C31D1B"/>
    <w:rsid w:val="00C32198"/>
    <w:rsid w:val="00C32875"/>
    <w:rsid w:val="00C32955"/>
    <w:rsid w:val="00C32C02"/>
    <w:rsid w:val="00C32C2C"/>
    <w:rsid w:val="00C32D3F"/>
    <w:rsid w:val="00C32D8F"/>
    <w:rsid w:val="00C32F9B"/>
    <w:rsid w:val="00C330B4"/>
    <w:rsid w:val="00C3312F"/>
    <w:rsid w:val="00C33141"/>
    <w:rsid w:val="00C331EB"/>
    <w:rsid w:val="00C3323A"/>
    <w:rsid w:val="00C33473"/>
    <w:rsid w:val="00C33514"/>
    <w:rsid w:val="00C33902"/>
    <w:rsid w:val="00C33B77"/>
    <w:rsid w:val="00C33C31"/>
    <w:rsid w:val="00C33E43"/>
    <w:rsid w:val="00C34226"/>
    <w:rsid w:val="00C344E5"/>
    <w:rsid w:val="00C3457A"/>
    <w:rsid w:val="00C347BE"/>
    <w:rsid w:val="00C34A03"/>
    <w:rsid w:val="00C34AB5"/>
    <w:rsid w:val="00C34B46"/>
    <w:rsid w:val="00C34BFA"/>
    <w:rsid w:val="00C34F17"/>
    <w:rsid w:val="00C34FA6"/>
    <w:rsid w:val="00C35231"/>
    <w:rsid w:val="00C35302"/>
    <w:rsid w:val="00C357B3"/>
    <w:rsid w:val="00C3581E"/>
    <w:rsid w:val="00C35C6E"/>
    <w:rsid w:val="00C35FA9"/>
    <w:rsid w:val="00C3614F"/>
    <w:rsid w:val="00C36267"/>
    <w:rsid w:val="00C36482"/>
    <w:rsid w:val="00C36556"/>
    <w:rsid w:val="00C3668C"/>
    <w:rsid w:val="00C367BD"/>
    <w:rsid w:val="00C36861"/>
    <w:rsid w:val="00C36936"/>
    <w:rsid w:val="00C36EF3"/>
    <w:rsid w:val="00C3721D"/>
    <w:rsid w:val="00C3732E"/>
    <w:rsid w:val="00C374EE"/>
    <w:rsid w:val="00C375FF"/>
    <w:rsid w:val="00C3773B"/>
    <w:rsid w:val="00C37742"/>
    <w:rsid w:val="00C37CAE"/>
    <w:rsid w:val="00C37FB8"/>
    <w:rsid w:val="00C40024"/>
    <w:rsid w:val="00C40127"/>
    <w:rsid w:val="00C40322"/>
    <w:rsid w:val="00C405FC"/>
    <w:rsid w:val="00C40767"/>
    <w:rsid w:val="00C40C66"/>
    <w:rsid w:val="00C40D7A"/>
    <w:rsid w:val="00C40FD4"/>
    <w:rsid w:val="00C414FC"/>
    <w:rsid w:val="00C41508"/>
    <w:rsid w:val="00C415CB"/>
    <w:rsid w:val="00C4165C"/>
    <w:rsid w:val="00C41756"/>
    <w:rsid w:val="00C41852"/>
    <w:rsid w:val="00C41A3C"/>
    <w:rsid w:val="00C41AAB"/>
    <w:rsid w:val="00C41C39"/>
    <w:rsid w:val="00C41D00"/>
    <w:rsid w:val="00C41D19"/>
    <w:rsid w:val="00C41D5F"/>
    <w:rsid w:val="00C423A5"/>
    <w:rsid w:val="00C4247B"/>
    <w:rsid w:val="00C42484"/>
    <w:rsid w:val="00C424FA"/>
    <w:rsid w:val="00C425F3"/>
    <w:rsid w:val="00C4260B"/>
    <w:rsid w:val="00C42650"/>
    <w:rsid w:val="00C42759"/>
    <w:rsid w:val="00C42886"/>
    <w:rsid w:val="00C42A62"/>
    <w:rsid w:val="00C42BF4"/>
    <w:rsid w:val="00C42D52"/>
    <w:rsid w:val="00C42F3B"/>
    <w:rsid w:val="00C430B0"/>
    <w:rsid w:val="00C43320"/>
    <w:rsid w:val="00C436E3"/>
    <w:rsid w:val="00C43A75"/>
    <w:rsid w:val="00C43BBD"/>
    <w:rsid w:val="00C43C79"/>
    <w:rsid w:val="00C43E09"/>
    <w:rsid w:val="00C43ECD"/>
    <w:rsid w:val="00C43EE7"/>
    <w:rsid w:val="00C442E4"/>
    <w:rsid w:val="00C44489"/>
    <w:rsid w:val="00C4474D"/>
    <w:rsid w:val="00C44B62"/>
    <w:rsid w:val="00C45055"/>
    <w:rsid w:val="00C451FF"/>
    <w:rsid w:val="00C452A0"/>
    <w:rsid w:val="00C4530B"/>
    <w:rsid w:val="00C456E4"/>
    <w:rsid w:val="00C45792"/>
    <w:rsid w:val="00C45905"/>
    <w:rsid w:val="00C45993"/>
    <w:rsid w:val="00C45C01"/>
    <w:rsid w:val="00C46198"/>
    <w:rsid w:val="00C4655C"/>
    <w:rsid w:val="00C46C2C"/>
    <w:rsid w:val="00C46E87"/>
    <w:rsid w:val="00C47230"/>
    <w:rsid w:val="00C47725"/>
    <w:rsid w:val="00C47CBD"/>
    <w:rsid w:val="00C47D3C"/>
    <w:rsid w:val="00C47E19"/>
    <w:rsid w:val="00C47EA2"/>
    <w:rsid w:val="00C47EB3"/>
    <w:rsid w:val="00C501A4"/>
    <w:rsid w:val="00C5046B"/>
    <w:rsid w:val="00C5065A"/>
    <w:rsid w:val="00C5086E"/>
    <w:rsid w:val="00C50B59"/>
    <w:rsid w:val="00C50DF5"/>
    <w:rsid w:val="00C50F83"/>
    <w:rsid w:val="00C51343"/>
    <w:rsid w:val="00C5149A"/>
    <w:rsid w:val="00C515C7"/>
    <w:rsid w:val="00C51662"/>
    <w:rsid w:val="00C518E4"/>
    <w:rsid w:val="00C51A05"/>
    <w:rsid w:val="00C51A97"/>
    <w:rsid w:val="00C51B7A"/>
    <w:rsid w:val="00C51D19"/>
    <w:rsid w:val="00C51DAA"/>
    <w:rsid w:val="00C51DF4"/>
    <w:rsid w:val="00C51F6A"/>
    <w:rsid w:val="00C52178"/>
    <w:rsid w:val="00C523D2"/>
    <w:rsid w:val="00C5250D"/>
    <w:rsid w:val="00C526C1"/>
    <w:rsid w:val="00C5277A"/>
    <w:rsid w:val="00C52F80"/>
    <w:rsid w:val="00C53086"/>
    <w:rsid w:val="00C5317A"/>
    <w:rsid w:val="00C53415"/>
    <w:rsid w:val="00C5358D"/>
    <w:rsid w:val="00C5385B"/>
    <w:rsid w:val="00C539C4"/>
    <w:rsid w:val="00C53ED5"/>
    <w:rsid w:val="00C53F95"/>
    <w:rsid w:val="00C5431B"/>
    <w:rsid w:val="00C54559"/>
    <w:rsid w:val="00C546FB"/>
    <w:rsid w:val="00C54786"/>
    <w:rsid w:val="00C54D4B"/>
    <w:rsid w:val="00C54E99"/>
    <w:rsid w:val="00C54F96"/>
    <w:rsid w:val="00C552B2"/>
    <w:rsid w:val="00C5545D"/>
    <w:rsid w:val="00C554CC"/>
    <w:rsid w:val="00C5592B"/>
    <w:rsid w:val="00C55BA8"/>
    <w:rsid w:val="00C55E3B"/>
    <w:rsid w:val="00C55ECC"/>
    <w:rsid w:val="00C563E8"/>
    <w:rsid w:val="00C565C3"/>
    <w:rsid w:val="00C566F9"/>
    <w:rsid w:val="00C5678E"/>
    <w:rsid w:val="00C56D1A"/>
    <w:rsid w:val="00C56D30"/>
    <w:rsid w:val="00C56EA1"/>
    <w:rsid w:val="00C57030"/>
    <w:rsid w:val="00C57032"/>
    <w:rsid w:val="00C5714B"/>
    <w:rsid w:val="00C573BB"/>
    <w:rsid w:val="00C57404"/>
    <w:rsid w:val="00C574DB"/>
    <w:rsid w:val="00C57543"/>
    <w:rsid w:val="00C575FE"/>
    <w:rsid w:val="00C57667"/>
    <w:rsid w:val="00C57775"/>
    <w:rsid w:val="00C57779"/>
    <w:rsid w:val="00C57BA8"/>
    <w:rsid w:val="00C57C91"/>
    <w:rsid w:val="00C57D65"/>
    <w:rsid w:val="00C57FE7"/>
    <w:rsid w:val="00C60F6C"/>
    <w:rsid w:val="00C60F9E"/>
    <w:rsid w:val="00C611C2"/>
    <w:rsid w:val="00C61255"/>
    <w:rsid w:val="00C61530"/>
    <w:rsid w:val="00C61735"/>
    <w:rsid w:val="00C61899"/>
    <w:rsid w:val="00C619A7"/>
    <w:rsid w:val="00C61B7F"/>
    <w:rsid w:val="00C61E9B"/>
    <w:rsid w:val="00C61FD0"/>
    <w:rsid w:val="00C61FD6"/>
    <w:rsid w:val="00C620F4"/>
    <w:rsid w:val="00C62251"/>
    <w:rsid w:val="00C624E4"/>
    <w:rsid w:val="00C62825"/>
    <w:rsid w:val="00C628A2"/>
    <w:rsid w:val="00C62A88"/>
    <w:rsid w:val="00C63041"/>
    <w:rsid w:val="00C63084"/>
    <w:rsid w:val="00C630CB"/>
    <w:rsid w:val="00C63996"/>
    <w:rsid w:val="00C64051"/>
    <w:rsid w:val="00C64505"/>
    <w:rsid w:val="00C64A53"/>
    <w:rsid w:val="00C64AD4"/>
    <w:rsid w:val="00C64D37"/>
    <w:rsid w:val="00C64DEB"/>
    <w:rsid w:val="00C652E7"/>
    <w:rsid w:val="00C6555C"/>
    <w:rsid w:val="00C65694"/>
    <w:rsid w:val="00C6596F"/>
    <w:rsid w:val="00C6597A"/>
    <w:rsid w:val="00C65D08"/>
    <w:rsid w:val="00C65D6B"/>
    <w:rsid w:val="00C65F47"/>
    <w:rsid w:val="00C661A6"/>
    <w:rsid w:val="00C661E0"/>
    <w:rsid w:val="00C6639C"/>
    <w:rsid w:val="00C66426"/>
    <w:rsid w:val="00C66646"/>
    <w:rsid w:val="00C66683"/>
    <w:rsid w:val="00C66B2D"/>
    <w:rsid w:val="00C66C0B"/>
    <w:rsid w:val="00C66CEF"/>
    <w:rsid w:val="00C66DC4"/>
    <w:rsid w:val="00C66E1E"/>
    <w:rsid w:val="00C66E97"/>
    <w:rsid w:val="00C6720F"/>
    <w:rsid w:val="00C67547"/>
    <w:rsid w:val="00C67626"/>
    <w:rsid w:val="00C67830"/>
    <w:rsid w:val="00C678BA"/>
    <w:rsid w:val="00C6795E"/>
    <w:rsid w:val="00C679E7"/>
    <w:rsid w:val="00C67E45"/>
    <w:rsid w:val="00C67EE8"/>
    <w:rsid w:val="00C70047"/>
    <w:rsid w:val="00C703D4"/>
    <w:rsid w:val="00C7044C"/>
    <w:rsid w:val="00C70569"/>
    <w:rsid w:val="00C706B2"/>
    <w:rsid w:val="00C70701"/>
    <w:rsid w:val="00C70748"/>
    <w:rsid w:val="00C707C3"/>
    <w:rsid w:val="00C70889"/>
    <w:rsid w:val="00C70A6F"/>
    <w:rsid w:val="00C70C2B"/>
    <w:rsid w:val="00C70C87"/>
    <w:rsid w:val="00C70CA8"/>
    <w:rsid w:val="00C70D24"/>
    <w:rsid w:val="00C70D67"/>
    <w:rsid w:val="00C70F51"/>
    <w:rsid w:val="00C7101B"/>
    <w:rsid w:val="00C71130"/>
    <w:rsid w:val="00C713AA"/>
    <w:rsid w:val="00C7140E"/>
    <w:rsid w:val="00C71659"/>
    <w:rsid w:val="00C717AA"/>
    <w:rsid w:val="00C71BD9"/>
    <w:rsid w:val="00C71DB2"/>
    <w:rsid w:val="00C71DD1"/>
    <w:rsid w:val="00C7209A"/>
    <w:rsid w:val="00C721AB"/>
    <w:rsid w:val="00C721E6"/>
    <w:rsid w:val="00C726DF"/>
    <w:rsid w:val="00C729D6"/>
    <w:rsid w:val="00C72AD6"/>
    <w:rsid w:val="00C72D53"/>
    <w:rsid w:val="00C72FF3"/>
    <w:rsid w:val="00C73034"/>
    <w:rsid w:val="00C73216"/>
    <w:rsid w:val="00C7362A"/>
    <w:rsid w:val="00C737F9"/>
    <w:rsid w:val="00C7382D"/>
    <w:rsid w:val="00C738C6"/>
    <w:rsid w:val="00C73B87"/>
    <w:rsid w:val="00C73BD5"/>
    <w:rsid w:val="00C73C14"/>
    <w:rsid w:val="00C73C55"/>
    <w:rsid w:val="00C73CA4"/>
    <w:rsid w:val="00C73F42"/>
    <w:rsid w:val="00C74425"/>
    <w:rsid w:val="00C744BA"/>
    <w:rsid w:val="00C749C2"/>
    <w:rsid w:val="00C749E5"/>
    <w:rsid w:val="00C74CE7"/>
    <w:rsid w:val="00C74D88"/>
    <w:rsid w:val="00C74F34"/>
    <w:rsid w:val="00C74F56"/>
    <w:rsid w:val="00C74F5E"/>
    <w:rsid w:val="00C75136"/>
    <w:rsid w:val="00C75276"/>
    <w:rsid w:val="00C752FF"/>
    <w:rsid w:val="00C755AC"/>
    <w:rsid w:val="00C756F3"/>
    <w:rsid w:val="00C75868"/>
    <w:rsid w:val="00C758FC"/>
    <w:rsid w:val="00C7593F"/>
    <w:rsid w:val="00C75AEA"/>
    <w:rsid w:val="00C75D0B"/>
    <w:rsid w:val="00C75E49"/>
    <w:rsid w:val="00C75F2D"/>
    <w:rsid w:val="00C760B0"/>
    <w:rsid w:val="00C762C1"/>
    <w:rsid w:val="00C76671"/>
    <w:rsid w:val="00C766B2"/>
    <w:rsid w:val="00C76816"/>
    <w:rsid w:val="00C76858"/>
    <w:rsid w:val="00C768B8"/>
    <w:rsid w:val="00C76B6E"/>
    <w:rsid w:val="00C76E2B"/>
    <w:rsid w:val="00C76E4F"/>
    <w:rsid w:val="00C76FCA"/>
    <w:rsid w:val="00C77208"/>
    <w:rsid w:val="00C7770F"/>
    <w:rsid w:val="00C7799C"/>
    <w:rsid w:val="00C77D80"/>
    <w:rsid w:val="00C77E56"/>
    <w:rsid w:val="00C77F5B"/>
    <w:rsid w:val="00C80166"/>
    <w:rsid w:val="00C802BE"/>
    <w:rsid w:val="00C8050A"/>
    <w:rsid w:val="00C80DBA"/>
    <w:rsid w:val="00C8103E"/>
    <w:rsid w:val="00C810A0"/>
    <w:rsid w:val="00C811E1"/>
    <w:rsid w:val="00C81298"/>
    <w:rsid w:val="00C8149B"/>
    <w:rsid w:val="00C81968"/>
    <w:rsid w:val="00C819FB"/>
    <w:rsid w:val="00C81A4F"/>
    <w:rsid w:val="00C81D9F"/>
    <w:rsid w:val="00C81F41"/>
    <w:rsid w:val="00C82115"/>
    <w:rsid w:val="00C82484"/>
    <w:rsid w:val="00C824DF"/>
    <w:rsid w:val="00C82760"/>
    <w:rsid w:val="00C8281A"/>
    <w:rsid w:val="00C82976"/>
    <w:rsid w:val="00C82E7E"/>
    <w:rsid w:val="00C82F73"/>
    <w:rsid w:val="00C830DB"/>
    <w:rsid w:val="00C831B1"/>
    <w:rsid w:val="00C83452"/>
    <w:rsid w:val="00C834D2"/>
    <w:rsid w:val="00C83807"/>
    <w:rsid w:val="00C838C9"/>
    <w:rsid w:val="00C838D6"/>
    <w:rsid w:val="00C83DDD"/>
    <w:rsid w:val="00C84060"/>
    <w:rsid w:val="00C8442B"/>
    <w:rsid w:val="00C84620"/>
    <w:rsid w:val="00C84705"/>
    <w:rsid w:val="00C84D81"/>
    <w:rsid w:val="00C84FC1"/>
    <w:rsid w:val="00C8509A"/>
    <w:rsid w:val="00C855C5"/>
    <w:rsid w:val="00C8598B"/>
    <w:rsid w:val="00C85D68"/>
    <w:rsid w:val="00C86095"/>
    <w:rsid w:val="00C86350"/>
    <w:rsid w:val="00C86542"/>
    <w:rsid w:val="00C86731"/>
    <w:rsid w:val="00C869A0"/>
    <w:rsid w:val="00C86B6F"/>
    <w:rsid w:val="00C872CD"/>
    <w:rsid w:val="00C872D7"/>
    <w:rsid w:val="00C8742B"/>
    <w:rsid w:val="00C87478"/>
    <w:rsid w:val="00C87492"/>
    <w:rsid w:val="00C87494"/>
    <w:rsid w:val="00C875C3"/>
    <w:rsid w:val="00C8776E"/>
    <w:rsid w:val="00C87937"/>
    <w:rsid w:val="00C87AB5"/>
    <w:rsid w:val="00C87B41"/>
    <w:rsid w:val="00C87B83"/>
    <w:rsid w:val="00C900BB"/>
    <w:rsid w:val="00C90199"/>
    <w:rsid w:val="00C901C2"/>
    <w:rsid w:val="00C902C2"/>
    <w:rsid w:val="00C90592"/>
    <w:rsid w:val="00C906DA"/>
    <w:rsid w:val="00C90934"/>
    <w:rsid w:val="00C909A1"/>
    <w:rsid w:val="00C90B43"/>
    <w:rsid w:val="00C90E90"/>
    <w:rsid w:val="00C90F33"/>
    <w:rsid w:val="00C90F74"/>
    <w:rsid w:val="00C91056"/>
    <w:rsid w:val="00C9108C"/>
    <w:rsid w:val="00C913AD"/>
    <w:rsid w:val="00C9151B"/>
    <w:rsid w:val="00C9151C"/>
    <w:rsid w:val="00C917B7"/>
    <w:rsid w:val="00C9184D"/>
    <w:rsid w:val="00C91A72"/>
    <w:rsid w:val="00C91B96"/>
    <w:rsid w:val="00C91F43"/>
    <w:rsid w:val="00C922AC"/>
    <w:rsid w:val="00C92383"/>
    <w:rsid w:val="00C927D6"/>
    <w:rsid w:val="00C92867"/>
    <w:rsid w:val="00C92921"/>
    <w:rsid w:val="00C929F4"/>
    <w:rsid w:val="00C92A49"/>
    <w:rsid w:val="00C92C7B"/>
    <w:rsid w:val="00C92E01"/>
    <w:rsid w:val="00C93075"/>
    <w:rsid w:val="00C931F5"/>
    <w:rsid w:val="00C93253"/>
    <w:rsid w:val="00C9340E"/>
    <w:rsid w:val="00C93732"/>
    <w:rsid w:val="00C938AE"/>
    <w:rsid w:val="00C93A63"/>
    <w:rsid w:val="00C93E7A"/>
    <w:rsid w:val="00C93ED2"/>
    <w:rsid w:val="00C940AB"/>
    <w:rsid w:val="00C94311"/>
    <w:rsid w:val="00C947EA"/>
    <w:rsid w:val="00C94820"/>
    <w:rsid w:val="00C9497B"/>
    <w:rsid w:val="00C94AEB"/>
    <w:rsid w:val="00C94C21"/>
    <w:rsid w:val="00C95033"/>
    <w:rsid w:val="00C95164"/>
    <w:rsid w:val="00C95367"/>
    <w:rsid w:val="00C95511"/>
    <w:rsid w:val="00C95F83"/>
    <w:rsid w:val="00C960E8"/>
    <w:rsid w:val="00C961C8"/>
    <w:rsid w:val="00C96416"/>
    <w:rsid w:val="00C96944"/>
    <w:rsid w:val="00C971ED"/>
    <w:rsid w:val="00C97445"/>
    <w:rsid w:val="00C97DD0"/>
    <w:rsid w:val="00C97FB1"/>
    <w:rsid w:val="00C97FCE"/>
    <w:rsid w:val="00CA00BD"/>
    <w:rsid w:val="00CA02D2"/>
    <w:rsid w:val="00CA05AF"/>
    <w:rsid w:val="00CA063C"/>
    <w:rsid w:val="00CA0AF2"/>
    <w:rsid w:val="00CA0C3C"/>
    <w:rsid w:val="00CA0DB9"/>
    <w:rsid w:val="00CA104E"/>
    <w:rsid w:val="00CA14A6"/>
    <w:rsid w:val="00CA1593"/>
    <w:rsid w:val="00CA18FA"/>
    <w:rsid w:val="00CA19EB"/>
    <w:rsid w:val="00CA1B78"/>
    <w:rsid w:val="00CA1E6B"/>
    <w:rsid w:val="00CA20AD"/>
    <w:rsid w:val="00CA21EE"/>
    <w:rsid w:val="00CA22D9"/>
    <w:rsid w:val="00CA236D"/>
    <w:rsid w:val="00CA29FE"/>
    <w:rsid w:val="00CA2C65"/>
    <w:rsid w:val="00CA2D0B"/>
    <w:rsid w:val="00CA2EB2"/>
    <w:rsid w:val="00CA2EB8"/>
    <w:rsid w:val="00CA2ED1"/>
    <w:rsid w:val="00CA3207"/>
    <w:rsid w:val="00CA346D"/>
    <w:rsid w:val="00CA34FC"/>
    <w:rsid w:val="00CA381C"/>
    <w:rsid w:val="00CA3D98"/>
    <w:rsid w:val="00CA3D9F"/>
    <w:rsid w:val="00CA3EBC"/>
    <w:rsid w:val="00CA411E"/>
    <w:rsid w:val="00CA46BE"/>
    <w:rsid w:val="00CA471B"/>
    <w:rsid w:val="00CA47D5"/>
    <w:rsid w:val="00CA492F"/>
    <w:rsid w:val="00CA4AF9"/>
    <w:rsid w:val="00CA4FD7"/>
    <w:rsid w:val="00CA52BE"/>
    <w:rsid w:val="00CA588F"/>
    <w:rsid w:val="00CA58EF"/>
    <w:rsid w:val="00CA5B45"/>
    <w:rsid w:val="00CA5DC2"/>
    <w:rsid w:val="00CA5DD1"/>
    <w:rsid w:val="00CA5E52"/>
    <w:rsid w:val="00CA5E75"/>
    <w:rsid w:val="00CA60C6"/>
    <w:rsid w:val="00CA6260"/>
    <w:rsid w:val="00CA62BC"/>
    <w:rsid w:val="00CA6564"/>
    <w:rsid w:val="00CA671E"/>
    <w:rsid w:val="00CA698E"/>
    <w:rsid w:val="00CA6A6E"/>
    <w:rsid w:val="00CA6C06"/>
    <w:rsid w:val="00CA7160"/>
    <w:rsid w:val="00CA721E"/>
    <w:rsid w:val="00CA723B"/>
    <w:rsid w:val="00CA7287"/>
    <w:rsid w:val="00CA73CB"/>
    <w:rsid w:val="00CA7687"/>
    <w:rsid w:val="00CA7843"/>
    <w:rsid w:val="00CA79F1"/>
    <w:rsid w:val="00CA7BCA"/>
    <w:rsid w:val="00CA7CAB"/>
    <w:rsid w:val="00CA7E96"/>
    <w:rsid w:val="00CB0076"/>
    <w:rsid w:val="00CB035D"/>
    <w:rsid w:val="00CB0553"/>
    <w:rsid w:val="00CB07A1"/>
    <w:rsid w:val="00CB0923"/>
    <w:rsid w:val="00CB099D"/>
    <w:rsid w:val="00CB09E2"/>
    <w:rsid w:val="00CB0AE9"/>
    <w:rsid w:val="00CB0B3A"/>
    <w:rsid w:val="00CB0D47"/>
    <w:rsid w:val="00CB12EF"/>
    <w:rsid w:val="00CB14E4"/>
    <w:rsid w:val="00CB17BD"/>
    <w:rsid w:val="00CB180E"/>
    <w:rsid w:val="00CB182E"/>
    <w:rsid w:val="00CB1916"/>
    <w:rsid w:val="00CB196D"/>
    <w:rsid w:val="00CB1979"/>
    <w:rsid w:val="00CB1BFD"/>
    <w:rsid w:val="00CB1ED7"/>
    <w:rsid w:val="00CB2148"/>
    <w:rsid w:val="00CB2243"/>
    <w:rsid w:val="00CB254A"/>
    <w:rsid w:val="00CB302A"/>
    <w:rsid w:val="00CB3160"/>
    <w:rsid w:val="00CB3413"/>
    <w:rsid w:val="00CB36F7"/>
    <w:rsid w:val="00CB3865"/>
    <w:rsid w:val="00CB3912"/>
    <w:rsid w:val="00CB392B"/>
    <w:rsid w:val="00CB3A5B"/>
    <w:rsid w:val="00CB3AD0"/>
    <w:rsid w:val="00CB3B76"/>
    <w:rsid w:val="00CB3C5F"/>
    <w:rsid w:val="00CB3D3C"/>
    <w:rsid w:val="00CB3EE8"/>
    <w:rsid w:val="00CB3F64"/>
    <w:rsid w:val="00CB3FC5"/>
    <w:rsid w:val="00CB411B"/>
    <w:rsid w:val="00CB4150"/>
    <w:rsid w:val="00CB432F"/>
    <w:rsid w:val="00CB470F"/>
    <w:rsid w:val="00CB4981"/>
    <w:rsid w:val="00CB4ECF"/>
    <w:rsid w:val="00CB4FB4"/>
    <w:rsid w:val="00CB4FD8"/>
    <w:rsid w:val="00CB50CB"/>
    <w:rsid w:val="00CB52B0"/>
    <w:rsid w:val="00CB52CF"/>
    <w:rsid w:val="00CB53ED"/>
    <w:rsid w:val="00CB5406"/>
    <w:rsid w:val="00CB55B7"/>
    <w:rsid w:val="00CB569E"/>
    <w:rsid w:val="00CB589D"/>
    <w:rsid w:val="00CB5994"/>
    <w:rsid w:val="00CB59B6"/>
    <w:rsid w:val="00CB5D70"/>
    <w:rsid w:val="00CB6373"/>
    <w:rsid w:val="00CB63A5"/>
    <w:rsid w:val="00CB6645"/>
    <w:rsid w:val="00CB672C"/>
    <w:rsid w:val="00CB6767"/>
    <w:rsid w:val="00CB701E"/>
    <w:rsid w:val="00CB71C1"/>
    <w:rsid w:val="00CB71EC"/>
    <w:rsid w:val="00CB735B"/>
    <w:rsid w:val="00CB7470"/>
    <w:rsid w:val="00CB7514"/>
    <w:rsid w:val="00CB7829"/>
    <w:rsid w:val="00CB794A"/>
    <w:rsid w:val="00CB79CB"/>
    <w:rsid w:val="00CB7ADC"/>
    <w:rsid w:val="00CB7B13"/>
    <w:rsid w:val="00CB7B16"/>
    <w:rsid w:val="00CB7F12"/>
    <w:rsid w:val="00CB7FB8"/>
    <w:rsid w:val="00CC03CB"/>
    <w:rsid w:val="00CC0D38"/>
    <w:rsid w:val="00CC13C4"/>
    <w:rsid w:val="00CC1498"/>
    <w:rsid w:val="00CC15C2"/>
    <w:rsid w:val="00CC15DF"/>
    <w:rsid w:val="00CC16AC"/>
    <w:rsid w:val="00CC16BE"/>
    <w:rsid w:val="00CC1948"/>
    <w:rsid w:val="00CC1A91"/>
    <w:rsid w:val="00CC1CAF"/>
    <w:rsid w:val="00CC1E4C"/>
    <w:rsid w:val="00CC21FC"/>
    <w:rsid w:val="00CC2236"/>
    <w:rsid w:val="00CC2645"/>
    <w:rsid w:val="00CC2AB3"/>
    <w:rsid w:val="00CC2B31"/>
    <w:rsid w:val="00CC2BC8"/>
    <w:rsid w:val="00CC2BFE"/>
    <w:rsid w:val="00CC2CEB"/>
    <w:rsid w:val="00CC3205"/>
    <w:rsid w:val="00CC3637"/>
    <w:rsid w:val="00CC3736"/>
    <w:rsid w:val="00CC376D"/>
    <w:rsid w:val="00CC3786"/>
    <w:rsid w:val="00CC3912"/>
    <w:rsid w:val="00CC398A"/>
    <w:rsid w:val="00CC3AD4"/>
    <w:rsid w:val="00CC3EB8"/>
    <w:rsid w:val="00CC3F2A"/>
    <w:rsid w:val="00CC3FCB"/>
    <w:rsid w:val="00CC3FEB"/>
    <w:rsid w:val="00CC40F8"/>
    <w:rsid w:val="00CC4167"/>
    <w:rsid w:val="00CC418B"/>
    <w:rsid w:val="00CC41B9"/>
    <w:rsid w:val="00CC463D"/>
    <w:rsid w:val="00CC4891"/>
    <w:rsid w:val="00CC48BC"/>
    <w:rsid w:val="00CC4933"/>
    <w:rsid w:val="00CC49FD"/>
    <w:rsid w:val="00CC4B49"/>
    <w:rsid w:val="00CC4DA3"/>
    <w:rsid w:val="00CC5106"/>
    <w:rsid w:val="00CC52F0"/>
    <w:rsid w:val="00CC5346"/>
    <w:rsid w:val="00CC56D4"/>
    <w:rsid w:val="00CC5DF4"/>
    <w:rsid w:val="00CC604A"/>
    <w:rsid w:val="00CC62DE"/>
    <w:rsid w:val="00CC63CE"/>
    <w:rsid w:val="00CC6457"/>
    <w:rsid w:val="00CC64B5"/>
    <w:rsid w:val="00CC659D"/>
    <w:rsid w:val="00CC6B2C"/>
    <w:rsid w:val="00CC6BB3"/>
    <w:rsid w:val="00CC6D2A"/>
    <w:rsid w:val="00CC6D9C"/>
    <w:rsid w:val="00CC718A"/>
    <w:rsid w:val="00CC735B"/>
    <w:rsid w:val="00CC776E"/>
    <w:rsid w:val="00CC7B96"/>
    <w:rsid w:val="00CC7D4C"/>
    <w:rsid w:val="00CC7FB1"/>
    <w:rsid w:val="00CD0007"/>
    <w:rsid w:val="00CD0116"/>
    <w:rsid w:val="00CD02E4"/>
    <w:rsid w:val="00CD02F7"/>
    <w:rsid w:val="00CD03CC"/>
    <w:rsid w:val="00CD048D"/>
    <w:rsid w:val="00CD065E"/>
    <w:rsid w:val="00CD0B1F"/>
    <w:rsid w:val="00CD0E91"/>
    <w:rsid w:val="00CD1173"/>
    <w:rsid w:val="00CD1371"/>
    <w:rsid w:val="00CD1840"/>
    <w:rsid w:val="00CD1BA3"/>
    <w:rsid w:val="00CD1E1A"/>
    <w:rsid w:val="00CD2259"/>
    <w:rsid w:val="00CD22E2"/>
    <w:rsid w:val="00CD23AE"/>
    <w:rsid w:val="00CD242E"/>
    <w:rsid w:val="00CD2531"/>
    <w:rsid w:val="00CD2657"/>
    <w:rsid w:val="00CD2951"/>
    <w:rsid w:val="00CD2969"/>
    <w:rsid w:val="00CD29BB"/>
    <w:rsid w:val="00CD2A5A"/>
    <w:rsid w:val="00CD2B07"/>
    <w:rsid w:val="00CD2F0E"/>
    <w:rsid w:val="00CD2F54"/>
    <w:rsid w:val="00CD314D"/>
    <w:rsid w:val="00CD31FA"/>
    <w:rsid w:val="00CD33FA"/>
    <w:rsid w:val="00CD3608"/>
    <w:rsid w:val="00CD3B7C"/>
    <w:rsid w:val="00CD3D3F"/>
    <w:rsid w:val="00CD3D96"/>
    <w:rsid w:val="00CD4335"/>
    <w:rsid w:val="00CD4676"/>
    <w:rsid w:val="00CD4C6C"/>
    <w:rsid w:val="00CD4D13"/>
    <w:rsid w:val="00CD4D7D"/>
    <w:rsid w:val="00CD4E40"/>
    <w:rsid w:val="00CD5001"/>
    <w:rsid w:val="00CD5067"/>
    <w:rsid w:val="00CD52C4"/>
    <w:rsid w:val="00CD59E7"/>
    <w:rsid w:val="00CD5C00"/>
    <w:rsid w:val="00CD5C0C"/>
    <w:rsid w:val="00CD5D9B"/>
    <w:rsid w:val="00CD5F67"/>
    <w:rsid w:val="00CD5F88"/>
    <w:rsid w:val="00CD6104"/>
    <w:rsid w:val="00CD6234"/>
    <w:rsid w:val="00CD65FD"/>
    <w:rsid w:val="00CD68A8"/>
    <w:rsid w:val="00CD6B8E"/>
    <w:rsid w:val="00CD6F78"/>
    <w:rsid w:val="00CD702E"/>
    <w:rsid w:val="00CD70B6"/>
    <w:rsid w:val="00CD70F2"/>
    <w:rsid w:val="00CD7151"/>
    <w:rsid w:val="00CD7180"/>
    <w:rsid w:val="00CD7219"/>
    <w:rsid w:val="00CD737D"/>
    <w:rsid w:val="00CD74DA"/>
    <w:rsid w:val="00CD74ED"/>
    <w:rsid w:val="00CD7511"/>
    <w:rsid w:val="00CD774A"/>
    <w:rsid w:val="00CD7815"/>
    <w:rsid w:val="00CD79D3"/>
    <w:rsid w:val="00CD7A7C"/>
    <w:rsid w:val="00CD7B6A"/>
    <w:rsid w:val="00CD7E14"/>
    <w:rsid w:val="00CD7EC1"/>
    <w:rsid w:val="00CD7FE2"/>
    <w:rsid w:val="00CE00DE"/>
    <w:rsid w:val="00CE0375"/>
    <w:rsid w:val="00CE05F2"/>
    <w:rsid w:val="00CE0604"/>
    <w:rsid w:val="00CE087B"/>
    <w:rsid w:val="00CE08D7"/>
    <w:rsid w:val="00CE0A45"/>
    <w:rsid w:val="00CE0AC4"/>
    <w:rsid w:val="00CE0F4E"/>
    <w:rsid w:val="00CE1013"/>
    <w:rsid w:val="00CE1202"/>
    <w:rsid w:val="00CE1285"/>
    <w:rsid w:val="00CE1608"/>
    <w:rsid w:val="00CE1697"/>
    <w:rsid w:val="00CE1932"/>
    <w:rsid w:val="00CE1DC8"/>
    <w:rsid w:val="00CE1FF8"/>
    <w:rsid w:val="00CE22AF"/>
    <w:rsid w:val="00CE22ED"/>
    <w:rsid w:val="00CE2628"/>
    <w:rsid w:val="00CE2664"/>
    <w:rsid w:val="00CE26F8"/>
    <w:rsid w:val="00CE274D"/>
    <w:rsid w:val="00CE2C29"/>
    <w:rsid w:val="00CE2D6B"/>
    <w:rsid w:val="00CE2E16"/>
    <w:rsid w:val="00CE2FC0"/>
    <w:rsid w:val="00CE339B"/>
    <w:rsid w:val="00CE33FD"/>
    <w:rsid w:val="00CE3434"/>
    <w:rsid w:val="00CE3680"/>
    <w:rsid w:val="00CE36F1"/>
    <w:rsid w:val="00CE3827"/>
    <w:rsid w:val="00CE3985"/>
    <w:rsid w:val="00CE39A1"/>
    <w:rsid w:val="00CE39EC"/>
    <w:rsid w:val="00CE3B3E"/>
    <w:rsid w:val="00CE3EA9"/>
    <w:rsid w:val="00CE414A"/>
    <w:rsid w:val="00CE420C"/>
    <w:rsid w:val="00CE433F"/>
    <w:rsid w:val="00CE4488"/>
    <w:rsid w:val="00CE44C9"/>
    <w:rsid w:val="00CE4502"/>
    <w:rsid w:val="00CE4C3F"/>
    <w:rsid w:val="00CE5163"/>
    <w:rsid w:val="00CE5204"/>
    <w:rsid w:val="00CE52D0"/>
    <w:rsid w:val="00CE5340"/>
    <w:rsid w:val="00CE555B"/>
    <w:rsid w:val="00CE568C"/>
    <w:rsid w:val="00CE5812"/>
    <w:rsid w:val="00CE59CF"/>
    <w:rsid w:val="00CE60D0"/>
    <w:rsid w:val="00CE61C4"/>
    <w:rsid w:val="00CE6333"/>
    <w:rsid w:val="00CE67D9"/>
    <w:rsid w:val="00CE6868"/>
    <w:rsid w:val="00CE690E"/>
    <w:rsid w:val="00CE6EEB"/>
    <w:rsid w:val="00CE6F8E"/>
    <w:rsid w:val="00CE700B"/>
    <w:rsid w:val="00CE71D9"/>
    <w:rsid w:val="00CE72F6"/>
    <w:rsid w:val="00CE7706"/>
    <w:rsid w:val="00CE7884"/>
    <w:rsid w:val="00CE78D9"/>
    <w:rsid w:val="00CE7B15"/>
    <w:rsid w:val="00CE7BDE"/>
    <w:rsid w:val="00CE7ED5"/>
    <w:rsid w:val="00CF010E"/>
    <w:rsid w:val="00CF0143"/>
    <w:rsid w:val="00CF0341"/>
    <w:rsid w:val="00CF0342"/>
    <w:rsid w:val="00CF07FB"/>
    <w:rsid w:val="00CF0884"/>
    <w:rsid w:val="00CF0EF4"/>
    <w:rsid w:val="00CF1054"/>
    <w:rsid w:val="00CF1701"/>
    <w:rsid w:val="00CF19E9"/>
    <w:rsid w:val="00CF1A7C"/>
    <w:rsid w:val="00CF1FC6"/>
    <w:rsid w:val="00CF2017"/>
    <w:rsid w:val="00CF2244"/>
    <w:rsid w:val="00CF22D3"/>
    <w:rsid w:val="00CF22FF"/>
    <w:rsid w:val="00CF26BF"/>
    <w:rsid w:val="00CF271B"/>
    <w:rsid w:val="00CF29E5"/>
    <w:rsid w:val="00CF2B1B"/>
    <w:rsid w:val="00CF2DC8"/>
    <w:rsid w:val="00CF3107"/>
    <w:rsid w:val="00CF33F4"/>
    <w:rsid w:val="00CF35E0"/>
    <w:rsid w:val="00CF39C0"/>
    <w:rsid w:val="00CF3AB7"/>
    <w:rsid w:val="00CF3B9D"/>
    <w:rsid w:val="00CF3C37"/>
    <w:rsid w:val="00CF3ECC"/>
    <w:rsid w:val="00CF42A1"/>
    <w:rsid w:val="00CF4724"/>
    <w:rsid w:val="00CF47C9"/>
    <w:rsid w:val="00CF49EA"/>
    <w:rsid w:val="00CF4A03"/>
    <w:rsid w:val="00CF4BA4"/>
    <w:rsid w:val="00CF4D0E"/>
    <w:rsid w:val="00CF4D43"/>
    <w:rsid w:val="00CF4E27"/>
    <w:rsid w:val="00CF54B2"/>
    <w:rsid w:val="00CF56D9"/>
    <w:rsid w:val="00CF58EE"/>
    <w:rsid w:val="00CF5971"/>
    <w:rsid w:val="00CF597C"/>
    <w:rsid w:val="00CF59DB"/>
    <w:rsid w:val="00CF5C85"/>
    <w:rsid w:val="00CF5E11"/>
    <w:rsid w:val="00CF63BB"/>
    <w:rsid w:val="00CF662F"/>
    <w:rsid w:val="00CF6836"/>
    <w:rsid w:val="00CF694B"/>
    <w:rsid w:val="00CF6A21"/>
    <w:rsid w:val="00CF6AB5"/>
    <w:rsid w:val="00CF6C01"/>
    <w:rsid w:val="00CF6D22"/>
    <w:rsid w:val="00CF6E4D"/>
    <w:rsid w:val="00CF6EE5"/>
    <w:rsid w:val="00CF6F16"/>
    <w:rsid w:val="00CF7011"/>
    <w:rsid w:val="00CF71B1"/>
    <w:rsid w:val="00CF723D"/>
    <w:rsid w:val="00CF7584"/>
    <w:rsid w:val="00CF7990"/>
    <w:rsid w:val="00CF7DBA"/>
    <w:rsid w:val="00CF7E2C"/>
    <w:rsid w:val="00CF7E91"/>
    <w:rsid w:val="00D0001A"/>
    <w:rsid w:val="00D001F9"/>
    <w:rsid w:val="00D004D2"/>
    <w:rsid w:val="00D00592"/>
    <w:rsid w:val="00D00640"/>
    <w:rsid w:val="00D00697"/>
    <w:rsid w:val="00D006D3"/>
    <w:rsid w:val="00D007CE"/>
    <w:rsid w:val="00D008DC"/>
    <w:rsid w:val="00D00BA0"/>
    <w:rsid w:val="00D00F24"/>
    <w:rsid w:val="00D00F56"/>
    <w:rsid w:val="00D01373"/>
    <w:rsid w:val="00D013CA"/>
    <w:rsid w:val="00D0147C"/>
    <w:rsid w:val="00D0195F"/>
    <w:rsid w:val="00D01DDF"/>
    <w:rsid w:val="00D01DE7"/>
    <w:rsid w:val="00D0220B"/>
    <w:rsid w:val="00D02290"/>
    <w:rsid w:val="00D02322"/>
    <w:rsid w:val="00D023D7"/>
    <w:rsid w:val="00D0259D"/>
    <w:rsid w:val="00D02601"/>
    <w:rsid w:val="00D02864"/>
    <w:rsid w:val="00D02E21"/>
    <w:rsid w:val="00D0314B"/>
    <w:rsid w:val="00D031F4"/>
    <w:rsid w:val="00D039BD"/>
    <w:rsid w:val="00D03C58"/>
    <w:rsid w:val="00D03CA0"/>
    <w:rsid w:val="00D0439B"/>
    <w:rsid w:val="00D04426"/>
    <w:rsid w:val="00D046C7"/>
    <w:rsid w:val="00D04807"/>
    <w:rsid w:val="00D04946"/>
    <w:rsid w:val="00D04AA9"/>
    <w:rsid w:val="00D04AD4"/>
    <w:rsid w:val="00D04C19"/>
    <w:rsid w:val="00D04C6C"/>
    <w:rsid w:val="00D05081"/>
    <w:rsid w:val="00D05111"/>
    <w:rsid w:val="00D05601"/>
    <w:rsid w:val="00D05795"/>
    <w:rsid w:val="00D05920"/>
    <w:rsid w:val="00D059E1"/>
    <w:rsid w:val="00D05A9A"/>
    <w:rsid w:val="00D05D72"/>
    <w:rsid w:val="00D0629F"/>
    <w:rsid w:val="00D062E5"/>
    <w:rsid w:val="00D067CC"/>
    <w:rsid w:val="00D068BC"/>
    <w:rsid w:val="00D06A70"/>
    <w:rsid w:val="00D06A87"/>
    <w:rsid w:val="00D06D8B"/>
    <w:rsid w:val="00D06E94"/>
    <w:rsid w:val="00D075E4"/>
    <w:rsid w:val="00D07918"/>
    <w:rsid w:val="00D07BCA"/>
    <w:rsid w:val="00D07FA2"/>
    <w:rsid w:val="00D07FBC"/>
    <w:rsid w:val="00D10005"/>
    <w:rsid w:val="00D10226"/>
    <w:rsid w:val="00D1023F"/>
    <w:rsid w:val="00D102BC"/>
    <w:rsid w:val="00D1062F"/>
    <w:rsid w:val="00D10781"/>
    <w:rsid w:val="00D10A9F"/>
    <w:rsid w:val="00D10B8C"/>
    <w:rsid w:val="00D10E0E"/>
    <w:rsid w:val="00D10E58"/>
    <w:rsid w:val="00D11126"/>
    <w:rsid w:val="00D1120A"/>
    <w:rsid w:val="00D1127B"/>
    <w:rsid w:val="00D113FC"/>
    <w:rsid w:val="00D115E6"/>
    <w:rsid w:val="00D11954"/>
    <w:rsid w:val="00D119E6"/>
    <w:rsid w:val="00D11AD5"/>
    <w:rsid w:val="00D120DE"/>
    <w:rsid w:val="00D1218F"/>
    <w:rsid w:val="00D121A6"/>
    <w:rsid w:val="00D12391"/>
    <w:rsid w:val="00D1246D"/>
    <w:rsid w:val="00D125E4"/>
    <w:rsid w:val="00D12729"/>
    <w:rsid w:val="00D12833"/>
    <w:rsid w:val="00D12C37"/>
    <w:rsid w:val="00D12D69"/>
    <w:rsid w:val="00D12F1F"/>
    <w:rsid w:val="00D12FAA"/>
    <w:rsid w:val="00D13130"/>
    <w:rsid w:val="00D1324B"/>
    <w:rsid w:val="00D13352"/>
    <w:rsid w:val="00D1353A"/>
    <w:rsid w:val="00D1355E"/>
    <w:rsid w:val="00D1361D"/>
    <w:rsid w:val="00D136E9"/>
    <w:rsid w:val="00D1372A"/>
    <w:rsid w:val="00D1385B"/>
    <w:rsid w:val="00D138EA"/>
    <w:rsid w:val="00D13C0C"/>
    <w:rsid w:val="00D13E6D"/>
    <w:rsid w:val="00D13F7B"/>
    <w:rsid w:val="00D14039"/>
    <w:rsid w:val="00D1405A"/>
    <w:rsid w:val="00D142D5"/>
    <w:rsid w:val="00D145A5"/>
    <w:rsid w:val="00D14FA3"/>
    <w:rsid w:val="00D155B0"/>
    <w:rsid w:val="00D15601"/>
    <w:rsid w:val="00D15796"/>
    <w:rsid w:val="00D15AFE"/>
    <w:rsid w:val="00D15D72"/>
    <w:rsid w:val="00D15E86"/>
    <w:rsid w:val="00D161AE"/>
    <w:rsid w:val="00D16292"/>
    <w:rsid w:val="00D162D8"/>
    <w:rsid w:val="00D1650F"/>
    <w:rsid w:val="00D16520"/>
    <w:rsid w:val="00D16645"/>
    <w:rsid w:val="00D16806"/>
    <w:rsid w:val="00D168B4"/>
    <w:rsid w:val="00D16962"/>
    <w:rsid w:val="00D16C36"/>
    <w:rsid w:val="00D16DDB"/>
    <w:rsid w:val="00D17028"/>
    <w:rsid w:val="00D172CC"/>
    <w:rsid w:val="00D1755B"/>
    <w:rsid w:val="00D176EA"/>
    <w:rsid w:val="00D1772B"/>
    <w:rsid w:val="00D1798C"/>
    <w:rsid w:val="00D17B00"/>
    <w:rsid w:val="00D17C8E"/>
    <w:rsid w:val="00D17F8C"/>
    <w:rsid w:val="00D20047"/>
    <w:rsid w:val="00D200C3"/>
    <w:rsid w:val="00D20749"/>
    <w:rsid w:val="00D20812"/>
    <w:rsid w:val="00D209FB"/>
    <w:rsid w:val="00D20A0B"/>
    <w:rsid w:val="00D20A45"/>
    <w:rsid w:val="00D20D92"/>
    <w:rsid w:val="00D20E39"/>
    <w:rsid w:val="00D2101E"/>
    <w:rsid w:val="00D21074"/>
    <w:rsid w:val="00D2129B"/>
    <w:rsid w:val="00D21454"/>
    <w:rsid w:val="00D21577"/>
    <w:rsid w:val="00D2190F"/>
    <w:rsid w:val="00D2196D"/>
    <w:rsid w:val="00D21A98"/>
    <w:rsid w:val="00D22132"/>
    <w:rsid w:val="00D22680"/>
    <w:rsid w:val="00D227E1"/>
    <w:rsid w:val="00D22AD8"/>
    <w:rsid w:val="00D22B5A"/>
    <w:rsid w:val="00D22BE6"/>
    <w:rsid w:val="00D22E8C"/>
    <w:rsid w:val="00D23191"/>
    <w:rsid w:val="00D232C3"/>
    <w:rsid w:val="00D2347E"/>
    <w:rsid w:val="00D2362F"/>
    <w:rsid w:val="00D23754"/>
    <w:rsid w:val="00D23783"/>
    <w:rsid w:val="00D237D7"/>
    <w:rsid w:val="00D23838"/>
    <w:rsid w:val="00D23B1A"/>
    <w:rsid w:val="00D23B26"/>
    <w:rsid w:val="00D23DA9"/>
    <w:rsid w:val="00D23F72"/>
    <w:rsid w:val="00D243BD"/>
    <w:rsid w:val="00D245F0"/>
    <w:rsid w:val="00D24A02"/>
    <w:rsid w:val="00D24A4F"/>
    <w:rsid w:val="00D24CEF"/>
    <w:rsid w:val="00D24D2C"/>
    <w:rsid w:val="00D24D5E"/>
    <w:rsid w:val="00D24DD2"/>
    <w:rsid w:val="00D253F7"/>
    <w:rsid w:val="00D25487"/>
    <w:rsid w:val="00D25526"/>
    <w:rsid w:val="00D25715"/>
    <w:rsid w:val="00D2580C"/>
    <w:rsid w:val="00D25A9D"/>
    <w:rsid w:val="00D25BAB"/>
    <w:rsid w:val="00D261A3"/>
    <w:rsid w:val="00D26254"/>
    <w:rsid w:val="00D263B9"/>
    <w:rsid w:val="00D263DA"/>
    <w:rsid w:val="00D26A8B"/>
    <w:rsid w:val="00D26EF2"/>
    <w:rsid w:val="00D2709F"/>
    <w:rsid w:val="00D272D5"/>
    <w:rsid w:val="00D27408"/>
    <w:rsid w:val="00D27460"/>
    <w:rsid w:val="00D27861"/>
    <w:rsid w:val="00D2786A"/>
    <w:rsid w:val="00D27A18"/>
    <w:rsid w:val="00D27A61"/>
    <w:rsid w:val="00D27AA9"/>
    <w:rsid w:val="00D27DC8"/>
    <w:rsid w:val="00D27E3B"/>
    <w:rsid w:val="00D30133"/>
    <w:rsid w:val="00D30201"/>
    <w:rsid w:val="00D302A0"/>
    <w:rsid w:val="00D304B3"/>
    <w:rsid w:val="00D30707"/>
    <w:rsid w:val="00D30BA5"/>
    <w:rsid w:val="00D30BED"/>
    <w:rsid w:val="00D30DA3"/>
    <w:rsid w:val="00D31029"/>
    <w:rsid w:val="00D31207"/>
    <w:rsid w:val="00D31435"/>
    <w:rsid w:val="00D3158F"/>
    <w:rsid w:val="00D3165C"/>
    <w:rsid w:val="00D31748"/>
    <w:rsid w:val="00D31755"/>
    <w:rsid w:val="00D31787"/>
    <w:rsid w:val="00D31802"/>
    <w:rsid w:val="00D318C7"/>
    <w:rsid w:val="00D31D2A"/>
    <w:rsid w:val="00D31D6F"/>
    <w:rsid w:val="00D3216B"/>
    <w:rsid w:val="00D32272"/>
    <w:rsid w:val="00D32329"/>
    <w:rsid w:val="00D325B9"/>
    <w:rsid w:val="00D3262D"/>
    <w:rsid w:val="00D32660"/>
    <w:rsid w:val="00D32979"/>
    <w:rsid w:val="00D32EAF"/>
    <w:rsid w:val="00D33094"/>
    <w:rsid w:val="00D330FA"/>
    <w:rsid w:val="00D33121"/>
    <w:rsid w:val="00D33159"/>
    <w:rsid w:val="00D33539"/>
    <w:rsid w:val="00D33904"/>
    <w:rsid w:val="00D33A2F"/>
    <w:rsid w:val="00D33C1A"/>
    <w:rsid w:val="00D3400D"/>
    <w:rsid w:val="00D342A5"/>
    <w:rsid w:val="00D34370"/>
    <w:rsid w:val="00D3482B"/>
    <w:rsid w:val="00D34AA6"/>
    <w:rsid w:val="00D34AE2"/>
    <w:rsid w:val="00D34CE4"/>
    <w:rsid w:val="00D34D3E"/>
    <w:rsid w:val="00D34DA6"/>
    <w:rsid w:val="00D34E06"/>
    <w:rsid w:val="00D351D9"/>
    <w:rsid w:val="00D3536A"/>
    <w:rsid w:val="00D354DB"/>
    <w:rsid w:val="00D357C0"/>
    <w:rsid w:val="00D358F9"/>
    <w:rsid w:val="00D35949"/>
    <w:rsid w:val="00D35AAC"/>
    <w:rsid w:val="00D35BD0"/>
    <w:rsid w:val="00D35D9D"/>
    <w:rsid w:val="00D3613C"/>
    <w:rsid w:val="00D36340"/>
    <w:rsid w:val="00D365B4"/>
    <w:rsid w:val="00D36622"/>
    <w:rsid w:val="00D36850"/>
    <w:rsid w:val="00D36B42"/>
    <w:rsid w:val="00D36C58"/>
    <w:rsid w:val="00D36D96"/>
    <w:rsid w:val="00D36E72"/>
    <w:rsid w:val="00D3706B"/>
    <w:rsid w:val="00D370E1"/>
    <w:rsid w:val="00D37257"/>
    <w:rsid w:val="00D372EF"/>
    <w:rsid w:val="00D3735C"/>
    <w:rsid w:val="00D373EA"/>
    <w:rsid w:val="00D37460"/>
    <w:rsid w:val="00D37B14"/>
    <w:rsid w:val="00D37C16"/>
    <w:rsid w:val="00D401D3"/>
    <w:rsid w:val="00D402E7"/>
    <w:rsid w:val="00D40533"/>
    <w:rsid w:val="00D405E9"/>
    <w:rsid w:val="00D406EE"/>
    <w:rsid w:val="00D40716"/>
    <w:rsid w:val="00D408B1"/>
    <w:rsid w:val="00D408EC"/>
    <w:rsid w:val="00D408FE"/>
    <w:rsid w:val="00D40B73"/>
    <w:rsid w:val="00D40BB8"/>
    <w:rsid w:val="00D40D61"/>
    <w:rsid w:val="00D40EFB"/>
    <w:rsid w:val="00D40F41"/>
    <w:rsid w:val="00D41110"/>
    <w:rsid w:val="00D413A3"/>
    <w:rsid w:val="00D418E3"/>
    <w:rsid w:val="00D41B96"/>
    <w:rsid w:val="00D41DC1"/>
    <w:rsid w:val="00D4206C"/>
    <w:rsid w:val="00D42220"/>
    <w:rsid w:val="00D4229C"/>
    <w:rsid w:val="00D423FB"/>
    <w:rsid w:val="00D4243F"/>
    <w:rsid w:val="00D426B2"/>
    <w:rsid w:val="00D42769"/>
    <w:rsid w:val="00D4279E"/>
    <w:rsid w:val="00D42D8D"/>
    <w:rsid w:val="00D42DA0"/>
    <w:rsid w:val="00D42E12"/>
    <w:rsid w:val="00D42E67"/>
    <w:rsid w:val="00D4328F"/>
    <w:rsid w:val="00D432BD"/>
    <w:rsid w:val="00D433B6"/>
    <w:rsid w:val="00D43536"/>
    <w:rsid w:val="00D43A1E"/>
    <w:rsid w:val="00D43A26"/>
    <w:rsid w:val="00D43D77"/>
    <w:rsid w:val="00D4402A"/>
    <w:rsid w:val="00D440A9"/>
    <w:rsid w:val="00D44D2B"/>
    <w:rsid w:val="00D44D44"/>
    <w:rsid w:val="00D44D59"/>
    <w:rsid w:val="00D44D9C"/>
    <w:rsid w:val="00D44FCB"/>
    <w:rsid w:val="00D453DF"/>
    <w:rsid w:val="00D455BC"/>
    <w:rsid w:val="00D455E6"/>
    <w:rsid w:val="00D4589E"/>
    <w:rsid w:val="00D45901"/>
    <w:rsid w:val="00D45A4B"/>
    <w:rsid w:val="00D45A8D"/>
    <w:rsid w:val="00D460D9"/>
    <w:rsid w:val="00D462A7"/>
    <w:rsid w:val="00D464C4"/>
    <w:rsid w:val="00D465BD"/>
    <w:rsid w:val="00D46694"/>
    <w:rsid w:val="00D4676F"/>
    <w:rsid w:val="00D469B8"/>
    <w:rsid w:val="00D46B11"/>
    <w:rsid w:val="00D46B14"/>
    <w:rsid w:val="00D46CE3"/>
    <w:rsid w:val="00D46DD5"/>
    <w:rsid w:val="00D46DEB"/>
    <w:rsid w:val="00D4714B"/>
    <w:rsid w:val="00D4743B"/>
    <w:rsid w:val="00D4755D"/>
    <w:rsid w:val="00D475E8"/>
    <w:rsid w:val="00D476B2"/>
    <w:rsid w:val="00D47C14"/>
    <w:rsid w:val="00D50075"/>
    <w:rsid w:val="00D50103"/>
    <w:rsid w:val="00D5029F"/>
    <w:rsid w:val="00D50379"/>
    <w:rsid w:val="00D504F0"/>
    <w:rsid w:val="00D5056B"/>
    <w:rsid w:val="00D50663"/>
    <w:rsid w:val="00D5069D"/>
    <w:rsid w:val="00D509D9"/>
    <w:rsid w:val="00D509E1"/>
    <w:rsid w:val="00D50DFF"/>
    <w:rsid w:val="00D51014"/>
    <w:rsid w:val="00D510A6"/>
    <w:rsid w:val="00D51176"/>
    <w:rsid w:val="00D512B6"/>
    <w:rsid w:val="00D5141E"/>
    <w:rsid w:val="00D5152E"/>
    <w:rsid w:val="00D51590"/>
    <w:rsid w:val="00D517C4"/>
    <w:rsid w:val="00D51A27"/>
    <w:rsid w:val="00D51BD2"/>
    <w:rsid w:val="00D51E0D"/>
    <w:rsid w:val="00D51EC8"/>
    <w:rsid w:val="00D51F91"/>
    <w:rsid w:val="00D523CD"/>
    <w:rsid w:val="00D52461"/>
    <w:rsid w:val="00D524E1"/>
    <w:rsid w:val="00D5271A"/>
    <w:rsid w:val="00D52774"/>
    <w:rsid w:val="00D5294E"/>
    <w:rsid w:val="00D52C87"/>
    <w:rsid w:val="00D52E50"/>
    <w:rsid w:val="00D53169"/>
    <w:rsid w:val="00D5352A"/>
    <w:rsid w:val="00D53B75"/>
    <w:rsid w:val="00D53BF7"/>
    <w:rsid w:val="00D53D4C"/>
    <w:rsid w:val="00D53F55"/>
    <w:rsid w:val="00D544CF"/>
    <w:rsid w:val="00D5473C"/>
    <w:rsid w:val="00D54A7D"/>
    <w:rsid w:val="00D54BC3"/>
    <w:rsid w:val="00D54D69"/>
    <w:rsid w:val="00D54F43"/>
    <w:rsid w:val="00D54F78"/>
    <w:rsid w:val="00D55017"/>
    <w:rsid w:val="00D550B1"/>
    <w:rsid w:val="00D5513B"/>
    <w:rsid w:val="00D551F7"/>
    <w:rsid w:val="00D55268"/>
    <w:rsid w:val="00D55455"/>
    <w:rsid w:val="00D5556B"/>
    <w:rsid w:val="00D5560C"/>
    <w:rsid w:val="00D559FB"/>
    <w:rsid w:val="00D55B24"/>
    <w:rsid w:val="00D55D10"/>
    <w:rsid w:val="00D55F28"/>
    <w:rsid w:val="00D56065"/>
    <w:rsid w:val="00D561E7"/>
    <w:rsid w:val="00D566BB"/>
    <w:rsid w:val="00D566CF"/>
    <w:rsid w:val="00D568C9"/>
    <w:rsid w:val="00D5694A"/>
    <w:rsid w:val="00D56B7E"/>
    <w:rsid w:val="00D56C2C"/>
    <w:rsid w:val="00D56DE6"/>
    <w:rsid w:val="00D57007"/>
    <w:rsid w:val="00D57243"/>
    <w:rsid w:val="00D572D3"/>
    <w:rsid w:val="00D572FD"/>
    <w:rsid w:val="00D5750D"/>
    <w:rsid w:val="00D57511"/>
    <w:rsid w:val="00D575A4"/>
    <w:rsid w:val="00D57685"/>
    <w:rsid w:val="00D57AF4"/>
    <w:rsid w:val="00D57C63"/>
    <w:rsid w:val="00D57CA3"/>
    <w:rsid w:val="00D57D30"/>
    <w:rsid w:val="00D57E8F"/>
    <w:rsid w:val="00D60331"/>
    <w:rsid w:val="00D60469"/>
    <w:rsid w:val="00D608E6"/>
    <w:rsid w:val="00D609EC"/>
    <w:rsid w:val="00D60AD2"/>
    <w:rsid w:val="00D60B1B"/>
    <w:rsid w:val="00D60B74"/>
    <w:rsid w:val="00D60BD8"/>
    <w:rsid w:val="00D60DF6"/>
    <w:rsid w:val="00D60E4F"/>
    <w:rsid w:val="00D60E5C"/>
    <w:rsid w:val="00D610B6"/>
    <w:rsid w:val="00D61422"/>
    <w:rsid w:val="00D614FE"/>
    <w:rsid w:val="00D61560"/>
    <w:rsid w:val="00D617DF"/>
    <w:rsid w:val="00D61830"/>
    <w:rsid w:val="00D61919"/>
    <w:rsid w:val="00D619F4"/>
    <w:rsid w:val="00D61BFD"/>
    <w:rsid w:val="00D620A9"/>
    <w:rsid w:val="00D621C2"/>
    <w:rsid w:val="00D623F8"/>
    <w:rsid w:val="00D6241F"/>
    <w:rsid w:val="00D62465"/>
    <w:rsid w:val="00D62A5D"/>
    <w:rsid w:val="00D62AA2"/>
    <w:rsid w:val="00D62C86"/>
    <w:rsid w:val="00D62F35"/>
    <w:rsid w:val="00D62F7C"/>
    <w:rsid w:val="00D63073"/>
    <w:rsid w:val="00D6311B"/>
    <w:rsid w:val="00D632E3"/>
    <w:rsid w:val="00D63614"/>
    <w:rsid w:val="00D63654"/>
    <w:rsid w:val="00D63824"/>
    <w:rsid w:val="00D63B66"/>
    <w:rsid w:val="00D63C10"/>
    <w:rsid w:val="00D63D13"/>
    <w:rsid w:val="00D63DEB"/>
    <w:rsid w:val="00D63F4D"/>
    <w:rsid w:val="00D64164"/>
    <w:rsid w:val="00D648E4"/>
    <w:rsid w:val="00D64AF8"/>
    <w:rsid w:val="00D64C0A"/>
    <w:rsid w:val="00D6539D"/>
    <w:rsid w:val="00D653D2"/>
    <w:rsid w:val="00D654C2"/>
    <w:rsid w:val="00D65D63"/>
    <w:rsid w:val="00D65DF0"/>
    <w:rsid w:val="00D65FEE"/>
    <w:rsid w:val="00D66205"/>
    <w:rsid w:val="00D66223"/>
    <w:rsid w:val="00D66662"/>
    <w:rsid w:val="00D66668"/>
    <w:rsid w:val="00D667CA"/>
    <w:rsid w:val="00D6682E"/>
    <w:rsid w:val="00D66840"/>
    <w:rsid w:val="00D66B18"/>
    <w:rsid w:val="00D66C9C"/>
    <w:rsid w:val="00D66D59"/>
    <w:rsid w:val="00D66E92"/>
    <w:rsid w:val="00D66F00"/>
    <w:rsid w:val="00D67007"/>
    <w:rsid w:val="00D67374"/>
    <w:rsid w:val="00D673A2"/>
    <w:rsid w:val="00D67456"/>
    <w:rsid w:val="00D674DD"/>
    <w:rsid w:val="00D67641"/>
    <w:rsid w:val="00D67665"/>
    <w:rsid w:val="00D67C34"/>
    <w:rsid w:val="00D67D39"/>
    <w:rsid w:val="00D67F1F"/>
    <w:rsid w:val="00D7052F"/>
    <w:rsid w:val="00D705E1"/>
    <w:rsid w:val="00D70671"/>
    <w:rsid w:val="00D7071F"/>
    <w:rsid w:val="00D707AE"/>
    <w:rsid w:val="00D709E8"/>
    <w:rsid w:val="00D70B80"/>
    <w:rsid w:val="00D70BFF"/>
    <w:rsid w:val="00D70D16"/>
    <w:rsid w:val="00D70D49"/>
    <w:rsid w:val="00D70DC9"/>
    <w:rsid w:val="00D71085"/>
    <w:rsid w:val="00D711B1"/>
    <w:rsid w:val="00D71397"/>
    <w:rsid w:val="00D71478"/>
    <w:rsid w:val="00D716DE"/>
    <w:rsid w:val="00D7175B"/>
    <w:rsid w:val="00D71832"/>
    <w:rsid w:val="00D7197A"/>
    <w:rsid w:val="00D71F5A"/>
    <w:rsid w:val="00D71F70"/>
    <w:rsid w:val="00D71F7B"/>
    <w:rsid w:val="00D72111"/>
    <w:rsid w:val="00D7214A"/>
    <w:rsid w:val="00D721F2"/>
    <w:rsid w:val="00D72498"/>
    <w:rsid w:val="00D7289A"/>
    <w:rsid w:val="00D72A43"/>
    <w:rsid w:val="00D72DD0"/>
    <w:rsid w:val="00D72F62"/>
    <w:rsid w:val="00D72F90"/>
    <w:rsid w:val="00D7313E"/>
    <w:rsid w:val="00D731A5"/>
    <w:rsid w:val="00D73305"/>
    <w:rsid w:val="00D73307"/>
    <w:rsid w:val="00D7336B"/>
    <w:rsid w:val="00D7351C"/>
    <w:rsid w:val="00D738A8"/>
    <w:rsid w:val="00D73A76"/>
    <w:rsid w:val="00D73B44"/>
    <w:rsid w:val="00D73B83"/>
    <w:rsid w:val="00D73C19"/>
    <w:rsid w:val="00D73E93"/>
    <w:rsid w:val="00D74137"/>
    <w:rsid w:val="00D745FD"/>
    <w:rsid w:val="00D74631"/>
    <w:rsid w:val="00D74647"/>
    <w:rsid w:val="00D74694"/>
    <w:rsid w:val="00D748EF"/>
    <w:rsid w:val="00D74BF2"/>
    <w:rsid w:val="00D74E3E"/>
    <w:rsid w:val="00D74F01"/>
    <w:rsid w:val="00D75135"/>
    <w:rsid w:val="00D754EA"/>
    <w:rsid w:val="00D754FD"/>
    <w:rsid w:val="00D75901"/>
    <w:rsid w:val="00D75EFD"/>
    <w:rsid w:val="00D7616B"/>
    <w:rsid w:val="00D7625F"/>
    <w:rsid w:val="00D763CA"/>
    <w:rsid w:val="00D764A5"/>
    <w:rsid w:val="00D769C4"/>
    <w:rsid w:val="00D76A21"/>
    <w:rsid w:val="00D76D3C"/>
    <w:rsid w:val="00D76D90"/>
    <w:rsid w:val="00D76F90"/>
    <w:rsid w:val="00D76FB4"/>
    <w:rsid w:val="00D770E6"/>
    <w:rsid w:val="00D7712A"/>
    <w:rsid w:val="00D77326"/>
    <w:rsid w:val="00D7768F"/>
    <w:rsid w:val="00D77896"/>
    <w:rsid w:val="00D77B6B"/>
    <w:rsid w:val="00D80271"/>
    <w:rsid w:val="00D80367"/>
    <w:rsid w:val="00D804F0"/>
    <w:rsid w:val="00D80505"/>
    <w:rsid w:val="00D805A6"/>
    <w:rsid w:val="00D808D8"/>
    <w:rsid w:val="00D808F8"/>
    <w:rsid w:val="00D809DF"/>
    <w:rsid w:val="00D80B70"/>
    <w:rsid w:val="00D80E04"/>
    <w:rsid w:val="00D80F1B"/>
    <w:rsid w:val="00D81697"/>
    <w:rsid w:val="00D8175C"/>
    <w:rsid w:val="00D817CA"/>
    <w:rsid w:val="00D81C5D"/>
    <w:rsid w:val="00D81E20"/>
    <w:rsid w:val="00D81E37"/>
    <w:rsid w:val="00D81FDB"/>
    <w:rsid w:val="00D823F7"/>
    <w:rsid w:val="00D8248A"/>
    <w:rsid w:val="00D82532"/>
    <w:rsid w:val="00D825DA"/>
    <w:rsid w:val="00D829F7"/>
    <w:rsid w:val="00D82BED"/>
    <w:rsid w:val="00D82E18"/>
    <w:rsid w:val="00D82E27"/>
    <w:rsid w:val="00D82F86"/>
    <w:rsid w:val="00D82FD5"/>
    <w:rsid w:val="00D8320E"/>
    <w:rsid w:val="00D83612"/>
    <w:rsid w:val="00D8361E"/>
    <w:rsid w:val="00D837E3"/>
    <w:rsid w:val="00D838A7"/>
    <w:rsid w:val="00D83904"/>
    <w:rsid w:val="00D83E18"/>
    <w:rsid w:val="00D840C9"/>
    <w:rsid w:val="00D8420F"/>
    <w:rsid w:val="00D84280"/>
    <w:rsid w:val="00D84324"/>
    <w:rsid w:val="00D8432C"/>
    <w:rsid w:val="00D84497"/>
    <w:rsid w:val="00D844C8"/>
    <w:rsid w:val="00D845F1"/>
    <w:rsid w:val="00D849A0"/>
    <w:rsid w:val="00D84AE7"/>
    <w:rsid w:val="00D84B37"/>
    <w:rsid w:val="00D84ED2"/>
    <w:rsid w:val="00D853C8"/>
    <w:rsid w:val="00D85452"/>
    <w:rsid w:val="00D857BA"/>
    <w:rsid w:val="00D858C4"/>
    <w:rsid w:val="00D85C2C"/>
    <w:rsid w:val="00D85CCD"/>
    <w:rsid w:val="00D85FE1"/>
    <w:rsid w:val="00D8602B"/>
    <w:rsid w:val="00D862E7"/>
    <w:rsid w:val="00D8648B"/>
    <w:rsid w:val="00D8650C"/>
    <w:rsid w:val="00D8662E"/>
    <w:rsid w:val="00D867C5"/>
    <w:rsid w:val="00D86832"/>
    <w:rsid w:val="00D869A1"/>
    <w:rsid w:val="00D86B88"/>
    <w:rsid w:val="00D86CC4"/>
    <w:rsid w:val="00D86CF8"/>
    <w:rsid w:val="00D86D42"/>
    <w:rsid w:val="00D86F44"/>
    <w:rsid w:val="00D87115"/>
    <w:rsid w:val="00D87167"/>
    <w:rsid w:val="00D872BB"/>
    <w:rsid w:val="00D8732C"/>
    <w:rsid w:val="00D873B6"/>
    <w:rsid w:val="00D87612"/>
    <w:rsid w:val="00D8779F"/>
    <w:rsid w:val="00D878A4"/>
    <w:rsid w:val="00D879CF"/>
    <w:rsid w:val="00D87C09"/>
    <w:rsid w:val="00D87D7D"/>
    <w:rsid w:val="00D90344"/>
    <w:rsid w:val="00D90434"/>
    <w:rsid w:val="00D90454"/>
    <w:rsid w:val="00D90818"/>
    <w:rsid w:val="00D9084A"/>
    <w:rsid w:val="00D908AE"/>
    <w:rsid w:val="00D90AFF"/>
    <w:rsid w:val="00D90C0A"/>
    <w:rsid w:val="00D90E8A"/>
    <w:rsid w:val="00D90EF5"/>
    <w:rsid w:val="00D90F3D"/>
    <w:rsid w:val="00D910A1"/>
    <w:rsid w:val="00D91159"/>
    <w:rsid w:val="00D91332"/>
    <w:rsid w:val="00D91451"/>
    <w:rsid w:val="00D9190B"/>
    <w:rsid w:val="00D9192D"/>
    <w:rsid w:val="00D91B7D"/>
    <w:rsid w:val="00D91B8E"/>
    <w:rsid w:val="00D91D9B"/>
    <w:rsid w:val="00D9210A"/>
    <w:rsid w:val="00D92432"/>
    <w:rsid w:val="00D92534"/>
    <w:rsid w:val="00D927E3"/>
    <w:rsid w:val="00D92824"/>
    <w:rsid w:val="00D928AE"/>
    <w:rsid w:val="00D92D13"/>
    <w:rsid w:val="00D93432"/>
    <w:rsid w:val="00D93516"/>
    <w:rsid w:val="00D93644"/>
    <w:rsid w:val="00D936B5"/>
    <w:rsid w:val="00D939E5"/>
    <w:rsid w:val="00D93B40"/>
    <w:rsid w:val="00D93BBD"/>
    <w:rsid w:val="00D93ED2"/>
    <w:rsid w:val="00D93EF3"/>
    <w:rsid w:val="00D93F80"/>
    <w:rsid w:val="00D9410A"/>
    <w:rsid w:val="00D94219"/>
    <w:rsid w:val="00D946C2"/>
    <w:rsid w:val="00D947B1"/>
    <w:rsid w:val="00D947FA"/>
    <w:rsid w:val="00D949C2"/>
    <w:rsid w:val="00D94C70"/>
    <w:rsid w:val="00D94D48"/>
    <w:rsid w:val="00D94DBA"/>
    <w:rsid w:val="00D94F36"/>
    <w:rsid w:val="00D95031"/>
    <w:rsid w:val="00D952E1"/>
    <w:rsid w:val="00D9579E"/>
    <w:rsid w:val="00D95A9E"/>
    <w:rsid w:val="00D95BF8"/>
    <w:rsid w:val="00D95C50"/>
    <w:rsid w:val="00D95DA6"/>
    <w:rsid w:val="00D95F5E"/>
    <w:rsid w:val="00D96091"/>
    <w:rsid w:val="00D960F7"/>
    <w:rsid w:val="00D96198"/>
    <w:rsid w:val="00D96207"/>
    <w:rsid w:val="00D96621"/>
    <w:rsid w:val="00D96DC6"/>
    <w:rsid w:val="00D96F8A"/>
    <w:rsid w:val="00D97215"/>
    <w:rsid w:val="00D9729B"/>
    <w:rsid w:val="00D9764C"/>
    <w:rsid w:val="00D977A0"/>
    <w:rsid w:val="00D9788C"/>
    <w:rsid w:val="00D97A18"/>
    <w:rsid w:val="00D97BB7"/>
    <w:rsid w:val="00DA0213"/>
    <w:rsid w:val="00DA0662"/>
    <w:rsid w:val="00DA0C7B"/>
    <w:rsid w:val="00DA0C96"/>
    <w:rsid w:val="00DA10FE"/>
    <w:rsid w:val="00DA1228"/>
    <w:rsid w:val="00DA125E"/>
    <w:rsid w:val="00DA174A"/>
    <w:rsid w:val="00DA17F8"/>
    <w:rsid w:val="00DA1852"/>
    <w:rsid w:val="00DA19D8"/>
    <w:rsid w:val="00DA19E7"/>
    <w:rsid w:val="00DA1A40"/>
    <w:rsid w:val="00DA1C0D"/>
    <w:rsid w:val="00DA1F21"/>
    <w:rsid w:val="00DA2046"/>
    <w:rsid w:val="00DA21C6"/>
    <w:rsid w:val="00DA24F0"/>
    <w:rsid w:val="00DA2593"/>
    <w:rsid w:val="00DA2A66"/>
    <w:rsid w:val="00DA2C77"/>
    <w:rsid w:val="00DA2CA6"/>
    <w:rsid w:val="00DA2E14"/>
    <w:rsid w:val="00DA2F3F"/>
    <w:rsid w:val="00DA340F"/>
    <w:rsid w:val="00DA37C2"/>
    <w:rsid w:val="00DA37CC"/>
    <w:rsid w:val="00DA3897"/>
    <w:rsid w:val="00DA3CD6"/>
    <w:rsid w:val="00DA3D0C"/>
    <w:rsid w:val="00DA3D3D"/>
    <w:rsid w:val="00DA3DE5"/>
    <w:rsid w:val="00DA3F03"/>
    <w:rsid w:val="00DA4157"/>
    <w:rsid w:val="00DA41EE"/>
    <w:rsid w:val="00DA47AD"/>
    <w:rsid w:val="00DA48D1"/>
    <w:rsid w:val="00DA49D9"/>
    <w:rsid w:val="00DA4A3C"/>
    <w:rsid w:val="00DA4BBF"/>
    <w:rsid w:val="00DA4BE0"/>
    <w:rsid w:val="00DA4C6F"/>
    <w:rsid w:val="00DA4F91"/>
    <w:rsid w:val="00DA503F"/>
    <w:rsid w:val="00DA50F3"/>
    <w:rsid w:val="00DA5387"/>
    <w:rsid w:val="00DA559D"/>
    <w:rsid w:val="00DA55A1"/>
    <w:rsid w:val="00DA56FB"/>
    <w:rsid w:val="00DA589E"/>
    <w:rsid w:val="00DA58A9"/>
    <w:rsid w:val="00DA58BB"/>
    <w:rsid w:val="00DA5FEC"/>
    <w:rsid w:val="00DA6062"/>
    <w:rsid w:val="00DA62E4"/>
    <w:rsid w:val="00DA64E1"/>
    <w:rsid w:val="00DA650B"/>
    <w:rsid w:val="00DA6603"/>
    <w:rsid w:val="00DA661B"/>
    <w:rsid w:val="00DA6684"/>
    <w:rsid w:val="00DA6A77"/>
    <w:rsid w:val="00DA6BDD"/>
    <w:rsid w:val="00DA71E4"/>
    <w:rsid w:val="00DA76B2"/>
    <w:rsid w:val="00DA77F0"/>
    <w:rsid w:val="00DA78D7"/>
    <w:rsid w:val="00DA7AA7"/>
    <w:rsid w:val="00DA7E64"/>
    <w:rsid w:val="00DB00EC"/>
    <w:rsid w:val="00DB053A"/>
    <w:rsid w:val="00DB05AD"/>
    <w:rsid w:val="00DB05AF"/>
    <w:rsid w:val="00DB0772"/>
    <w:rsid w:val="00DB07A5"/>
    <w:rsid w:val="00DB0822"/>
    <w:rsid w:val="00DB0899"/>
    <w:rsid w:val="00DB08D2"/>
    <w:rsid w:val="00DB0AA0"/>
    <w:rsid w:val="00DB0D46"/>
    <w:rsid w:val="00DB0D8D"/>
    <w:rsid w:val="00DB0F16"/>
    <w:rsid w:val="00DB0FAA"/>
    <w:rsid w:val="00DB107C"/>
    <w:rsid w:val="00DB136A"/>
    <w:rsid w:val="00DB1819"/>
    <w:rsid w:val="00DB1A4F"/>
    <w:rsid w:val="00DB1B2F"/>
    <w:rsid w:val="00DB1B79"/>
    <w:rsid w:val="00DB1DB3"/>
    <w:rsid w:val="00DB202D"/>
    <w:rsid w:val="00DB213C"/>
    <w:rsid w:val="00DB2716"/>
    <w:rsid w:val="00DB29B8"/>
    <w:rsid w:val="00DB2BEF"/>
    <w:rsid w:val="00DB2D00"/>
    <w:rsid w:val="00DB2FB4"/>
    <w:rsid w:val="00DB30EA"/>
    <w:rsid w:val="00DB333A"/>
    <w:rsid w:val="00DB3A3D"/>
    <w:rsid w:val="00DB3D28"/>
    <w:rsid w:val="00DB3D82"/>
    <w:rsid w:val="00DB3F4D"/>
    <w:rsid w:val="00DB4061"/>
    <w:rsid w:val="00DB4169"/>
    <w:rsid w:val="00DB41CB"/>
    <w:rsid w:val="00DB4243"/>
    <w:rsid w:val="00DB42C0"/>
    <w:rsid w:val="00DB43C5"/>
    <w:rsid w:val="00DB47B9"/>
    <w:rsid w:val="00DB4805"/>
    <w:rsid w:val="00DB4885"/>
    <w:rsid w:val="00DB49B5"/>
    <w:rsid w:val="00DB4A02"/>
    <w:rsid w:val="00DB4F56"/>
    <w:rsid w:val="00DB502D"/>
    <w:rsid w:val="00DB50CA"/>
    <w:rsid w:val="00DB5484"/>
    <w:rsid w:val="00DB5550"/>
    <w:rsid w:val="00DB564B"/>
    <w:rsid w:val="00DB56AF"/>
    <w:rsid w:val="00DB59F5"/>
    <w:rsid w:val="00DB6173"/>
    <w:rsid w:val="00DB618E"/>
    <w:rsid w:val="00DB6193"/>
    <w:rsid w:val="00DB6199"/>
    <w:rsid w:val="00DB6212"/>
    <w:rsid w:val="00DB6286"/>
    <w:rsid w:val="00DB6415"/>
    <w:rsid w:val="00DB643B"/>
    <w:rsid w:val="00DB6561"/>
    <w:rsid w:val="00DB665A"/>
    <w:rsid w:val="00DB6767"/>
    <w:rsid w:val="00DB6847"/>
    <w:rsid w:val="00DB6877"/>
    <w:rsid w:val="00DB6889"/>
    <w:rsid w:val="00DB68A3"/>
    <w:rsid w:val="00DB69BF"/>
    <w:rsid w:val="00DB6A5F"/>
    <w:rsid w:val="00DB6F77"/>
    <w:rsid w:val="00DB709F"/>
    <w:rsid w:val="00DB7147"/>
    <w:rsid w:val="00DB74B5"/>
    <w:rsid w:val="00DB751F"/>
    <w:rsid w:val="00DB7968"/>
    <w:rsid w:val="00DB7AFF"/>
    <w:rsid w:val="00DB7CDD"/>
    <w:rsid w:val="00DB7D54"/>
    <w:rsid w:val="00DB7E57"/>
    <w:rsid w:val="00DB7E69"/>
    <w:rsid w:val="00DC04CF"/>
    <w:rsid w:val="00DC0745"/>
    <w:rsid w:val="00DC0B11"/>
    <w:rsid w:val="00DC0BB2"/>
    <w:rsid w:val="00DC0C54"/>
    <w:rsid w:val="00DC0DF7"/>
    <w:rsid w:val="00DC10E8"/>
    <w:rsid w:val="00DC1125"/>
    <w:rsid w:val="00DC1136"/>
    <w:rsid w:val="00DC14AD"/>
    <w:rsid w:val="00DC14E9"/>
    <w:rsid w:val="00DC19B2"/>
    <w:rsid w:val="00DC1A11"/>
    <w:rsid w:val="00DC1B47"/>
    <w:rsid w:val="00DC1BD8"/>
    <w:rsid w:val="00DC1C59"/>
    <w:rsid w:val="00DC1DCA"/>
    <w:rsid w:val="00DC2099"/>
    <w:rsid w:val="00DC21FE"/>
    <w:rsid w:val="00DC2282"/>
    <w:rsid w:val="00DC23EA"/>
    <w:rsid w:val="00DC2417"/>
    <w:rsid w:val="00DC2644"/>
    <w:rsid w:val="00DC272A"/>
    <w:rsid w:val="00DC27C0"/>
    <w:rsid w:val="00DC2A11"/>
    <w:rsid w:val="00DC2A4C"/>
    <w:rsid w:val="00DC2A77"/>
    <w:rsid w:val="00DC2D24"/>
    <w:rsid w:val="00DC2E1A"/>
    <w:rsid w:val="00DC3424"/>
    <w:rsid w:val="00DC347F"/>
    <w:rsid w:val="00DC349F"/>
    <w:rsid w:val="00DC3512"/>
    <w:rsid w:val="00DC355D"/>
    <w:rsid w:val="00DC37A1"/>
    <w:rsid w:val="00DC382D"/>
    <w:rsid w:val="00DC3875"/>
    <w:rsid w:val="00DC3876"/>
    <w:rsid w:val="00DC3919"/>
    <w:rsid w:val="00DC3A6D"/>
    <w:rsid w:val="00DC3A76"/>
    <w:rsid w:val="00DC3B3D"/>
    <w:rsid w:val="00DC4052"/>
    <w:rsid w:val="00DC433B"/>
    <w:rsid w:val="00DC442F"/>
    <w:rsid w:val="00DC4606"/>
    <w:rsid w:val="00DC4611"/>
    <w:rsid w:val="00DC4799"/>
    <w:rsid w:val="00DC492B"/>
    <w:rsid w:val="00DC4999"/>
    <w:rsid w:val="00DC4C64"/>
    <w:rsid w:val="00DC4C92"/>
    <w:rsid w:val="00DC4FEA"/>
    <w:rsid w:val="00DC57A8"/>
    <w:rsid w:val="00DC5878"/>
    <w:rsid w:val="00DC59F0"/>
    <w:rsid w:val="00DC5CE4"/>
    <w:rsid w:val="00DC5E98"/>
    <w:rsid w:val="00DC5EDA"/>
    <w:rsid w:val="00DC62FA"/>
    <w:rsid w:val="00DC6328"/>
    <w:rsid w:val="00DC6354"/>
    <w:rsid w:val="00DC6378"/>
    <w:rsid w:val="00DC6404"/>
    <w:rsid w:val="00DC6612"/>
    <w:rsid w:val="00DC66F9"/>
    <w:rsid w:val="00DC67EC"/>
    <w:rsid w:val="00DC6A03"/>
    <w:rsid w:val="00DC6BEA"/>
    <w:rsid w:val="00DC6BF1"/>
    <w:rsid w:val="00DC6D49"/>
    <w:rsid w:val="00DC6DA9"/>
    <w:rsid w:val="00DC6EC9"/>
    <w:rsid w:val="00DC6F65"/>
    <w:rsid w:val="00DC71C1"/>
    <w:rsid w:val="00DC721F"/>
    <w:rsid w:val="00DC73B5"/>
    <w:rsid w:val="00DC73F9"/>
    <w:rsid w:val="00DC7404"/>
    <w:rsid w:val="00DC7454"/>
    <w:rsid w:val="00DC7AC4"/>
    <w:rsid w:val="00DC7C37"/>
    <w:rsid w:val="00DD002F"/>
    <w:rsid w:val="00DD0040"/>
    <w:rsid w:val="00DD0051"/>
    <w:rsid w:val="00DD008E"/>
    <w:rsid w:val="00DD01DE"/>
    <w:rsid w:val="00DD039A"/>
    <w:rsid w:val="00DD04B6"/>
    <w:rsid w:val="00DD08DF"/>
    <w:rsid w:val="00DD0BD3"/>
    <w:rsid w:val="00DD2352"/>
    <w:rsid w:val="00DD24EF"/>
    <w:rsid w:val="00DD24FE"/>
    <w:rsid w:val="00DD250B"/>
    <w:rsid w:val="00DD290A"/>
    <w:rsid w:val="00DD2DE5"/>
    <w:rsid w:val="00DD33B4"/>
    <w:rsid w:val="00DD36E4"/>
    <w:rsid w:val="00DD372C"/>
    <w:rsid w:val="00DD3870"/>
    <w:rsid w:val="00DD38B2"/>
    <w:rsid w:val="00DD3EE4"/>
    <w:rsid w:val="00DD413E"/>
    <w:rsid w:val="00DD4148"/>
    <w:rsid w:val="00DD4185"/>
    <w:rsid w:val="00DD41C5"/>
    <w:rsid w:val="00DD439F"/>
    <w:rsid w:val="00DD45CE"/>
    <w:rsid w:val="00DD466D"/>
    <w:rsid w:val="00DD46EF"/>
    <w:rsid w:val="00DD4750"/>
    <w:rsid w:val="00DD48E2"/>
    <w:rsid w:val="00DD49DA"/>
    <w:rsid w:val="00DD4C22"/>
    <w:rsid w:val="00DD4C68"/>
    <w:rsid w:val="00DD4CA6"/>
    <w:rsid w:val="00DD4D3A"/>
    <w:rsid w:val="00DD4E2C"/>
    <w:rsid w:val="00DD5588"/>
    <w:rsid w:val="00DD55C7"/>
    <w:rsid w:val="00DD5841"/>
    <w:rsid w:val="00DD5890"/>
    <w:rsid w:val="00DD5892"/>
    <w:rsid w:val="00DD5928"/>
    <w:rsid w:val="00DD604B"/>
    <w:rsid w:val="00DD6062"/>
    <w:rsid w:val="00DD608E"/>
    <w:rsid w:val="00DD6534"/>
    <w:rsid w:val="00DD655F"/>
    <w:rsid w:val="00DD65A5"/>
    <w:rsid w:val="00DD65D7"/>
    <w:rsid w:val="00DD6661"/>
    <w:rsid w:val="00DD6840"/>
    <w:rsid w:val="00DD688A"/>
    <w:rsid w:val="00DD6AC0"/>
    <w:rsid w:val="00DD6F05"/>
    <w:rsid w:val="00DD709C"/>
    <w:rsid w:val="00DD71D0"/>
    <w:rsid w:val="00DD72C6"/>
    <w:rsid w:val="00DD74DD"/>
    <w:rsid w:val="00DD77F7"/>
    <w:rsid w:val="00DD7832"/>
    <w:rsid w:val="00DD7913"/>
    <w:rsid w:val="00DD79D7"/>
    <w:rsid w:val="00DD79FB"/>
    <w:rsid w:val="00DD7BC4"/>
    <w:rsid w:val="00DD7CF1"/>
    <w:rsid w:val="00DE007A"/>
    <w:rsid w:val="00DE022B"/>
    <w:rsid w:val="00DE03EC"/>
    <w:rsid w:val="00DE05F9"/>
    <w:rsid w:val="00DE0973"/>
    <w:rsid w:val="00DE09F0"/>
    <w:rsid w:val="00DE0A77"/>
    <w:rsid w:val="00DE101A"/>
    <w:rsid w:val="00DE1269"/>
    <w:rsid w:val="00DE14BF"/>
    <w:rsid w:val="00DE159B"/>
    <w:rsid w:val="00DE166C"/>
    <w:rsid w:val="00DE16D9"/>
    <w:rsid w:val="00DE1B20"/>
    <w:rsid w:val="00DE20BD"/>
    <w:rsid w:val="00DE20E8"/>
    <w:rsid w:val="00DE20F7"/>
    <w:rsid w:val="00DE218E"/>
    <w:rsid w:val="00DE219C"/>
    <w:rsid w:val="00DE2294"/>
    <w:rsid w:val="00DE23EA"/>
    <w:rsid w:val="00DE256A"/>
    <w:rsid w:val="00DE2679"/>
    <w:rsid w:val="00DE2720"/>
    <w:rsid w:val="00DE28F9"/>
    <w:rsid w:val="00DE2CBD"/>
    <w:rsid w:val="00DE2D91"/>
    <w:rsid w:val="00DE2DDF"/>
    <w:rsid w:val="00DE2DF6"/>
    <w:rsid w:val="00DE2E0F"/>
    <w:rsid w:val="00DE3431"/>
    <w:rsid w:val="00DE36A4"/>
    <w:rsid w:val="00DE3A24"/>
    <w:rsid w:val="00DE3A70"/>
    <w:rsid w:val="00DE3C29"/>
    <w:rsid w:val="00DE3C80"/>
    <w:rsid w:val="00DE3D43"/>
    <w:rsid w:val="00DE3E1C"/>
    <w:rsid w:val="00DE4073"/>
    <w:rsid w:val="00DE40FB"/>
    <w:rsid w:val="00DE4174"/>
    <w:rsid w:val="00DE42FB"/>
    <w:rsid w:val="00DE491D"/>
    <w:rsid w:val="00DE4CAE"/>
    <w:rsid w:val="00DE4F93"/>
    <w:rsid w:val="00DE51E9"/>
    <w:rsid w:val="00DE54A5"/>
    <w:rsid w:val="00DE5582"/>
    <w:rsid w:val="00DE55F2"/>
    <w:rsid w:val="00DE582A"/>
    <w:rsid w:val="00DE5878"/>
    <w:rsid w:val="00DE5924"/>
    <w:rsid w:val="00DE5E90"/>
    <w:rsid w:val="00DE64CF"/>
    <w:rsid w:val="00DE6702"/>
    <w:rsid w:val="00DE679E"/>
    <w:rsid w:val="00DE69F5"/>
    <w:rsid w:val="00DE6AC3"/>
    <w:rsid w:val="00DE6CBA"/>
    <w:rsid w:val="00DE6EC9"/>
    <w:rsid w:val="00DE6EEE"/>
    <w:rsid w:val="00DE6F95"/>
    <w:rsid w:val="00DE715D"/>
    <w:rsid w:val="00DE72B4"/>
    <w:rsid w:val="00DE7695"/>
    <w:rsid w:val="00DE7AB2"/>
    <w:rsid w:val="00DE7CDD"/>
    <w:rsid w:val="00DF012B"/>
    <w:rsid w:val="00DF0136"/>
    <w:rsid w:val="00DF01E7"/>
    <w:rsid w:val="00DF025E"/>
    <w:rsid w:val="00DF0398"/>
    <w:rsid w:val="00DF0404"/>
    <w:rsid w:val="00DF056F"/>
    <w:rsid w:val="00DF0A7B"/>
    <w:rsid w:val="00DF0D91"/>
    <w:rsid w:val="00DF0F1E"/>
    <w:rsid w:val="00DF1169"/>
    <w:rsid w:val="00DF133D"/>
    <w:rsid w:val="00DF146B"/>
    <w:rsid w:val="00DF164E"/>
    <w:rsid w:val="00DF19F4"/>
    <w:rsid w:val="00DF1B99"/>
    <w:rsid w:val="00DF1C48"/>
    <w:rsid w:val="00DF1C5F"/>
    <w:rsid w:val="00DF1C7D"/>
    <w:rsid w:val="00DF1CAE"/>
    <w:rsid w:val="00DF1D56"/>
    <w:rsid w:val="00DF1DC3"/>
    <w:rsid w:val="00DF1F37"/>
    <w:rsid w:val="00DF1FAC"/>
    <w:rsid w:val="00DF1FF5"/>
    <w:rsid w:val="00DF20D4"/>
    <w:rsid w:val="00DF2112"/>
    <w:rsid w:val="00DF25C5"/>
    <w:rsid w:val="00DF25DE"/>
    <w:rsid w:val="00DF2CBD"/>
    <w:rsid w:val="00DF2FD4"/>
    <w:rsid w:val="00DF340C"/>
    <w:rsid w:val="00DF36E3"/>
    <w:rsid w:val="00DF3805"/>
    <w:rsid w:val="00DF3AA6"/>
    <w:rsid w:val="00DF413D"/>
    <w:rsid w:val="00DF41DA"/>
    <w:rsid w:val="00DF4239"/>
    <w:rsid w:val="00DF42B3"/>
    <w:rsid w:val="00DF42E5"/>
    <w:rsid w:val="00DF4559"/>
    <w:rsid w:val="00DF4C46"/>
    <w:rsid w:val="00DF553A"/>
    <w:rsid w:val="00DF5676"/>
    <w:rsid w:val="00DF5834"/>
    <w:rsid w:val="00DF5CC1"/>
    <w:rsid w:val="00DF5DCE"/>
    <w:rsid w:val="00DF5F53"/>
    <w:rsid w:val="00DF657A"/>
    <w:rsid w:val="00DF662F"/>
    <w:rsid w:val="00DF6660"/>
    <w:rsid w:val="00DF67B3"/>
    <w:rsid w:val="00DF6B5F"/>
    <w:rsid w:val="00DF6D7C"/>
    <w:rsid w:val="00DF6FFA"/>
    <w:rsid w:val="00DF7586"/>
    <w:rsid w:val="00DF768E"/>
    <w:rsid w:val="00DF7883"/>
    <w:rsid w:val="00DF78E1"/>
    <w:rsid w:val="00DF7997"/>
    <w:rsid w:val="00DF79B5"/>
    <w:rsid w:val="00DF7E32"/>
    <w:rsid w:val="00DF7F6B"/>
    <w:rsid w:val="00E00176"/>
    <w:rsid w:val="00E00300"/>
    <w:rsid w:val="00E00333"/>
    <w:rsid w:val="00E004B4"/>
    <w:rsid w:val="00E00738"/>
    <w:rsid w:val="00E008CC"/>
    <w:rsid w:val="00E00A99"/>
    <w:rsid w:val="00E00DED"/>
    <w:rsid w:val="00E00F43"/>
    <w:rsid w:val="00E00FBA"/>
    <w:rsid w:val="00E00FE3"/>
    <w:rsid w:val="00E012DD"/>
    <w:rsid w:val="00E012DE"/>
    <w:rsid w:val="00E01314"/>
    <w:rsid w:val="00E013A9"/>
    <w:rsid w:val="00E016EE"/>
    <w:rsid w:val="00E0171B"/>
    <w:rsid w:val="00E01822"/>
    <w:rsid w:val="00E0199E"/>
    <w:rsid w:val="00E019EB"/>
    <w:rsid w:val="00E01C8F"/>
    <w:rsid w:val="00E01F14"/>
    <w:rsid w:val="00E02196"/>
    <w:rsid w:val="00E0223E"/>
    <w:rsid w:val="00E0225B"/>
    <w:rsid w:val="00E0244B"/>
    <w:rsid w:val="00E026C6"/>
    <w:rsid w:val="00E026F1"/>
    <w:rsid w:val="00E0298E"/>
    <w:rsid w:val="00E02C70"/>
    <w:rsid w:val="00E02F2B"/>
    <w:rsid w:val="00E03023"/>
    <w:rsid w:val="00E03126"/>
    <w:rsid w:val="00E0327C"/>
    <w:rsid w:val="00E03478"/>
    <w:rsid w:val="00E034ED"/>
    <w:rsid w:val="00E03B11"/>
    <w:rsid w:val="00E03C99"/>
    <w:rsid w:val="00E03D8F"/>
    <w:rsid w:val="00E03F5B"/>
    <w:rsid w:val="00E03F67"/>
    <w:rsid w:val="00E04699"/>
    <w:rsid w:val="00E046F7"/>
    <w:rsid w:val="00E04774"/>
    <w:rsid w:val="00E0495A"/>
    <w:rsid w:val="00E04BAC"/>
    <w:rsid w:val="00E04ED5"/>
    <w:rsid w:val="00E04F3C"/>
    <w:rsid w:val="00E050DF"/>
    <w:rsid w:val="00E051BE"/>
    <w:rsid w:val="00E05991"/>
    <w:rsid w:val="00E05A28"/>
    <w:rsid w:val="00E05C6E"/>
    <w:rsid w:val="00E05ED8"/>
    <w:rsid w:val="00E05F04"/>
    <w:rsid w:val="00E05F3E"/>
    <w:rsid w:val="00E05FA3"/>
    <w:rsid w:val="00E065BF"/>
    <w:rsid w:val="00E06967"/>
    <w:rsid w:val="00E06A9E"/>
    <w:rsid w:val="00E06BCD"/>
    <w:rsid w:val="00E06C2D"/>
    <w:rsid w:val="00E070D3"/>
    <w:rsid w:val="00E07252"/>
    <w:rsid w:val="00E072DF"/>
    <w:rsid w:val="00E0766E"/>
    <w:rsid w:val="00E076BC"/>
    <w:rsid w:val="00E07719"/>
    <w:rsid w:val="00E0772A"/>
    <w:rsid w:val="00E077A4"/>
    <w:rsid w:val="00E077C5"/>
    <w:rsid w:val="00E07A90"/>
    <w:rsid w:val="00E07D90"/>
    <w:rsid w:val="00E07E06"/>
    <w:rsid w:val="00E07E95"/>
    <w:rsid w:val="00E07F76"/>
    <w:rsid w:val="00E10044"/>
    <w:rsid w:val="00E100A1"/>
    <w:rsid w:val="00E10225"/>
    <w:rsid w:val="00E10427"/>
    <w:rsid w:val="00E1047E"/>
    <w:rsid w:val="00E10542"/>
    <w:rsid w:val="00E10FA5"/>
    <w:rsid w:val="00E111A2"/>
    <w:rsid w:val="00E111A4"/>
    <w:rsid w:val="00E1126B"/>
    <w:rsid w:val="00E11570"/>
    <w:rsid w:val="00E11571"/>
    <w:rsid w:val="00E115E3"/>
    <w:rsid w:val="00E11966"/>
    <w:rsid w:val="00E11BA9"/>
    <w:rsid w:val="00E11C08"/>
    <w:rsid w:val="00E11D08"/>
    <w:rsid w:val="00E120CE"/>
    <w:rsid w:val="00E1227E"/>
    <w:rsid w:val="00E123E0"/>
    <w:rsid w:val="00E12525"/>
    <w:rsid w:val="00E12BF6"/>
    <w:rsid w:val="00E12CD1"/>
    <w:rsid w:val="00E12D95"/>
    <w:rsid w:val="00E13096"/>
    <w:rsid w:val="00E1327B"/>
    <w:rsid w:val="00E133B2"/>
    <w:rsid w:val="00E135E6"/>
    <w:rsid w:val="00E137EE"/>
    <w:rsid w:val="00E13A1F"/>
    <w:rsid w:val="00E13B30"/>
    <w:rsid w:val="00E13CCF"/>
    <w:rsid w:val="00E13CF6"/>
    <w:rsid w:val="00E14277"/>
    <w:rsid w:val="00E144B8"/>
    <w:rsid w:val="00E14A32"/>
    <w:rsid w:val="00E14BA2"/>
    <w:rsid w:val="00E14C9A"/>
    <w:rsid w:val="00E14EAF"/>
    <w:rsid w:val="00E14EC8"/>
    <w:rsid w:val="00E1505C"/>
    <w:rsid w:val="00E15162"/>
    <w:rsid w:val="00E15269"/>
    <w:rsid w:val="00E1528F"/>
    <w:rsid w:val="00E1538D"/>
    <w:rsid w:val="00E153AA"/>
    <w:rsid w:val="00E1542E"/>
    <w:rsid w:val="00E15482"/>
    <w:rsid w:val="00E154C1"/>
    <w:rsid w:val="00E15780"/>
    <w:rsid w:val="00E15A95"/>
    <w:rsid w:val="00E15BEF"/>
    <w:rsid w:val="00E15DF7"/>
    <w:rsid w:val="00E16776"/>
    <w:rsid w:val="00E167A1"/>
    <w:rsid w:val="00E1691B"/>
    <w:rsid w:val="00E16C7C"/>
    <w:rsid w:val="00E16CA0"/>
    <w:rsid w:val="00E16FDC"/>
    <w:rsid w:val="00E16FE2"/>
    <w:rsid w:val="00E1729A"/>
    <w:rsid w:val="00E1771E"/>
    <w:rsid w:val="00E17905"/>
    <w:rsid w:val="00E17AFE"/>
    <w:rsid w:val="00E17C16"/>
    <w:rsid w:val="00E17D9E"/>
    <w:rsid w:val="00E17FDA"/>
    <w:rsid w:val="00E20112"/>
    <w:rsid w:val="00E205A1"/>
    <w:rsid w:val="00E205FF"/>
    <w:rsid w:val="00E207AC"/>
    <w:rsid w:val="00E2097C"/>
    <w:rsid w:val="00E20A77"/>
    <w:rsid w:val="00E20B5E"/>
    <w:rsid w:val="00E20DE3"/>
    <w:rsid w:val="00E2122A"/>
    <w:rsid w:val="00E21255"/>
    <w:rsid w:val="00E21337"/>
    <w:rsid w:val="00E2158C"/>
    <w:rsid w:val="00E2174D"/>
    <w:rsid w:val="00E21B4F"/>
    <w:rsid w:val="00E21B7A"/>
    <w:rsid w:val="00E21C01"/>
    <w:rsid w:val="00E21C33"/>
    <w:rsid w:val="00E21E58"/>
    <w:rsid w:val="00E21E7D"/>
    <w:rsid w:val="00E21F41"/>
    <w:rsid w:val="00E22090"/>
    <w:rsid w:val="00E223F6"/>
    <w:rsid w:val="00E22447"/>
    <w:rsid w:val="00E226D7"/>
    <w:rsid w:val="00E226E6"/>
    <w:rsid w:val="00E22A8B"/>
    <w:rsid w:val="00E22C7C"/>
    <w:rsid w:val="00E22E6A"/>
    <w:rsid w:val="00E22E6B"/>
    <w:rsid w:val="00E23297"/>
    <w:rsid w:val="00E2339C"/>
    <w:rsid w:val="00E23674"/>
    <w:rsid w:val="00E237E0"/>
    <w:rsid w:val="00E23959"/>
    <w:rsid w:val="00E23A33"/>
    <w:rsid w:val="00E23DE0"/>
    <w:rsid w:val="00E24091"/>
    <w:rsid w:val="00E240D4"/>
    <w:rsid w:val="00E240E3"/>
    <w:rsid w:val="00E24483"/>
    <w:rsid w:val="00E24720"/>
    <w:rsid w:val="00E247F9"/>
    <w:rsid w:val="00E25175"/>
    <w:rsid w:val="00E2549F"/>
    <w:rsid w:val="00E254FF"/>
    <w:rsid w:val="00E2553C"/>
    <w:rsid w:val="00E25600"/>
    <w:rsid w:val="00E256D3"/>
    <w:rsid w:val="00E256F1"/>
    <w:rsid w:val="00E25824"/>
    <w:rsid w:val="00E26047"/>
    <w:rsid w:val="00E260F0"/>
    <w:rsid w:val="00E26171"/>
    <w:rsid w:val="00E26342"/>
    <w:rsid w:val="00E267A2"/>
    <w:rsid w:val="00E26A26"/>
    <w:rsid w:val="00E26B9E"/>
    <w:rsid w:val="00E26BB1"/>
    <w:rsid w:val="00E26CE3"/>
    <w:rsid w:val="00E26F0A"/>
    <w:rsid w:val="00E26FE0"/>
    <w:rsid w:val="00E2703E"/>
    <w:rsid w:val="00E2711B"/>
    <w:rsid w:val="00E27572"/>
    <w:rsid w:val="00E27647"/>
    <w:rsid w:val="00E27778"/>
    <w:rsid w:val="00E27A6A"/>
    <w:rsid w:val="00E27AB4"/>
    <w:rsid w:val="00E27D25"/>
    <w:rsid w:val="00E27E01"/>
    <w:rsid w:val="00E3037C"/>
    <w:rsid w:val="00E303BA"/>
    <w:rsid w:val="00E30430"/>
    <w:rsid w:val="00E306C9"/>
    <w:rsid w:val="00E30AB9"/>
    <w:rsid w:val="00E30B3F"/>
    <w:rsid w:val="00E30BD9"/>
    <w:rsid w:val="00E30D28"/>
    <w:rsid w:val="00E30ED5"/>
    <w:rsid w:val="00E31014"/>
    <w:rsid w:val="00E31166"/>
    <w:rsid w:val="00E3136E"/>
    <w:rsid w:val="00E313B6"/>
    <w:rsid w:val="00E31400"/>
    <w:rsid w:val="00E31607"/>
    <w:rsid w:val="00E31685"/>
    <w:rsid w:val="00E317B0"/>
    <w:rsid w:val="00E318A6"/>
    <w:rsid w:val="00E318AB"/>
    <w:rsid w:val="00E31CE3"/>
    <w:rsid w:val="00E31D15"/>
    <w:rsid w:val="00E321CC"/>
    <w:rsid w:val="00E32481"/>
    <w:rsid w:val="00E3263C"/>
    <w:rsid w:val="00E32764"/>
    <w:rsid w:val="00E32A13"/>
    <w:rsid w:val="00E32AD1"/>
    <w:rsid w:val="00E32BBF"/>
    <w:rsid w:val="00E333A5"/>
    <w:rsid w:val="00E337BE"/>
    <w:rsid w:val="00E33848"/>
    <w:rsid w:val="00E3389D"/>
    <w:rsid w:val="00E33AFE"/>
    <w:rsid w:val="00E34119"/>
    <w:rsid w:val="00E34334"/>
    <w:rsid w:val="00E34510"/>
    <w:rsid w:val="00E3489A"/>
    <w:rsid w:val="00E348D5"/>
    <w:rsid w:val="00E3499B"/>
    <w:rsid w:val="00E349DB"/>
    <w:rsid w:val="00E34B41"/>
    <w:rsid w:val="00E34DF8"/>
    <w:rsid w:val="00E34F41"/>
    <w:rsid w:val="00E350A7"/>
    <w:rsid w:val="00E3512D"/>
    <w:rsid w:val="00E3513B"/>
    <w:rsid w:val="00E352DD"/>
    <w:rsid w:val="00E35425"/>
    <w:rsid w:val="00E354BC"/>
    <w:rsid w:val="00E354D7"/>
    <w:rsid w:val="00E3551C"/>
    <w:rsid w:val="00E358E6"/>
    <w:rsid w:val="00E359C7"/>
    <w:rsid w:val="00E35A2D"/>
    <w:rsid w:val="00E35B78"/>
    <w:rsid w:val="00E35CDF"/>
    <w:rsid w:val="00E35D94"/>
    <w:rsid w:val="00E35DEC"/>
    <w:rsid w:val="00E35E05"/>
    <w:rsid w:val="00E36149"/>
    <w:rsid w:val="00E36164"/>
    <w:rsid w:val="00E3617F"/>
    <w:rsid w:val="00E362EC"/>
    <w:rsid w:val="00E36549"/>
    <w:rsid w:val="00E3657F"/>
    <w:rsid w:val="00E36587"/>
    <w:rsid w:val="00E3669C"/>
    <w:rsid w:val="00E36820"/>
    <w:rsid w:val="00E36FDC"/>
    <w:rsid w:val="00E377F3"/>
    <w:rsid w:val="00E3788B"/>
    <w:rsid w:val="00E37BCE"/>
    <w:rsid w:val="00E37D72"/>
    <w:rsid w:val="00E37F5E"/>
    <w:rsid w:val="00E37F61"/>
    <w:rsid w:val="00E40136"/>
    <w:rsid w:val="00E4017E"/>
    <w:rsid w:val="00E401D4"/>
    <w:rsid w:val="00E40395"/>
    <w:rsid w:val="00E403CB"/>
    <w:rsid w:val="00E403E6"/>
    <w:rsid w:val="00E40474"/>
    <w:rsid w:val="00E4048A"/>
    <w:rsid w:val="00E404E2"/>
    <w:rsid w:val="00E40527"/>
    <w:rsid w:val="00E407E6"/>
    <w:rsid w:val="00E4095E"/>
    <w:rsid w:val="00E409A7"/>
    <w:rsid w:val="00E40AFE"/>
    <w:rsid w:val="00E41112"/>
    <w:rsid w:val="00E41188"/>
    <w:rsid w:val="00E416FC"/>
    <w:rsid w:val="00E41720"/>
    <w:rsid w:val="00E417F2"/>
    <w:rsid w:val="00E4181A"/>
    <w:rsid w:val="00E41830"/>
    <w:rsid w:val="00E41B7C"/>
    <w:rsid w:val="00E41D19"/>
    <w:rsid w:val="00E41F11"/>
    <w:rsid w:val="00E421C3"/>
    <w:rsid w:val="00E4272B"/>
    <w:rsid w:val="00E4295B"/>
    <w:rsid w:val="00E42AB2"/>
    <w:rsid w:val="00E42B07"/>
    <w:rsid w:val="00E42B28"/>
    <w:rsid w:val="00E42FD3"/>
    <w:rsid w:val="00E434C7"/>
    <w:rsid w:val="00E43507"/>
    <w:rsid w:val="00E435D5"/>
    <w:rsid w:val="00E436F7"/>
    <w:rsid w:val="00E43B7E"/>
    <w:rsid w:val="00E43B8A"/>
    <w:rsid w:val="00E43DAF"/>
    <w:rsid w:val="00E43DBF"/>
    <w:rsid w:val="00E43ECC"/>
    <w:rsid w:val="00E4425B"/>
    <w:rsid w:val="00E44413"/>
    <w:rsid w:val="00E44669"/>
    <w:rsid w:val="00E4468C"/>
    <w:rsid w:val="00E449C5"/>
    <w:rsid w:val="00E44AC9"/>
    <w:rsid w:val="00E44DAF"/>
    <w:rsid w:val="00E450D7"/>
    <w:rsid w:val="00E451D0"/>
    <w:rsid w:val="00E452C9"/>
    <w:rsid w:val="00E458C6"/>
    <w:rsid w:val="00E45C81"/>
    <w:rsid w:val="00E45CD8"/>
    <w:rsid w:val="00E45D6C"/>
    <w:rsid w:val="00E45E7D"/>
    <w:rsid w:val="00E46ACF"/>
    <w:rsid w:val="00E46C15"/>
    <w:rsid w:val="00E46DE5"/>
    <w:rsid w:val="00E46EC2"/>
    <w:rsid w:val="00E46F97"/>
    <w:rsid w:val="00E473DE"/>
    <w:rsid w:val="00E47552"/>
    <w:rsid w:val="00E47A61"/>
    <w:rsid w:val="00E47CA1"/>
    <w:rsid w:val="00E47CD1"/>
    <w:rsid w:val="00E47EAF"/>
    <w:rsid w:val="00E502E4"/>
    <w:rsid w:val="00E509E4"/>
    <w:rsid w:val="00E50B4D"/>
    <w:rsid w:val="00E50C57"/>
    <w:rsid w:val="00E51202"/>
    <w:rsid w:val="00E512CB"/>
    <w:rsid w:val="00E5137F"/>
    <w:rsid w:val="00E513E8"/>
    <w:rsid w:val="00E51580"/>
    <w:rsid w:val="00E516E1"/>
    <w:rsid w:val="00E51DD1"/>
    <w:rsid w:val="00E51F59"/>
    <w:rsid w:val="00E525F5"/>
    <w:rsid w:val="00E526BB"/>
    <w:rsid w:val="00E528E7"/>
    <w:rsid w:val="00E52D2F"/>
    <w:rsid w:val="00E52E1E"/>
    <w:rsid w:val="00E52EDC"/>
    <w:rsid w:val="00E5312E"/>
    <w:rsid w:val="00E531B9"/>
    <w:rsid w:val="00E5324F"/>
    <w:rsid w:val="00E53548"/>
    <w:rsid w:val="00E535C4"/>
    <w:rsid w:val="00E53851"/>
    <w:rsid w:val="00E53B33"/>
    <w:rsid w:val="00E53BFA"/>
    <w:rsid w:val="00E53CC3"/>
    <w:rsid w:val="00E53EC4"/>
    <w:rsid w:val="00E53F4D"/>
    <w:rsid w:val="00E53FC2"/>
    <w:rsid w:val="00E540FD"/>
    <w:rsid w:val="00E5415A"/>
    <w:rsid w:val="00E54562"/>
    <w:rsid w:val="00E545BF"/>
    <w:rsid w:val="00E545F5"/>
    <w:rsid w:val="00E54B6D"/>
    <w:rsid w:val="00E54B96"/>
    <w:rsid w:val="00E54CC7"/>
    <w:rsid w:val="00E54CDA"/>
    <w:rsid w:val="00E54DB6"/>
    <w:rsid w:val="00E54E24"/>
    <w:rsid w:val="00E54F83"/>
    <w:rsid w:val="00E55FD8"/>
    <w:rsid w:val="00E561AC"/>
    <w:rsid w:val="00E562F6"/>
    <w:rsid w:val="00E562F9"/>
    <w:rsid w:val="00E5634A"/>
    <w:rsid w:val="00E565D6"/>
    <w:rsid w:val="00E567A4"/>
    <w:rsid w:val="00E5695F"/>
    <w:rsid w:val="00E56ACC"/>
    <w:rsid w:val="00E56B63"/>
    <w:rsid w:val="00E56C6F"/>
    <w:rsid w:val="00E56CDF"/>
    <w:rsid w:val="00E56D6D"/>
    <w:rsid w:val="00E57186"/>
    <w:rsid w:val="00E574A4"/>
    <w:rsid w:val="00E5767C"/>
    <w:rsid w:val="00E577E1"/>
    <w:rsid w:val="00E57923"/>
    <w:rsid w:val="00E579DC"/>
    <w:rsid w:val="00E57A55"/>
    <w:rsid w:val="00E57C24"/>
    <w:rsid w:val="00E57CAC"/>
    <w:rsid w:val="00E60034"/>
    <w:rsid w:val="00E60148"/>
    <w:rsid w:val="00E60277"/>
    <w:rsid w:val="00E60325"/>
    <w:rsid w:val="00E60419"/>
    <w:rsid w:val="00E60500"/>
    <w:rsid w:val="00E6061F"/>
    <w:rsid w:val="00E608B5"/>
    <w:rsid w:val="00E60AB6"/>
    <w:rsid w:val="00E60ACE"/>
    <w:rsid w:val="00E60B1C"/>
    <w:rsid w:val="00E60BFE"/>
    <w:rsid w:val="00E60CA4"/>
    <w:rsid w:val="00E60F72"/>
    <w:rsid w:val="00E60F87"/>
    <w:rsid w:val="00E60F8C"/>
    <w:rsid w:val="00E610F5"/>
    <w:rsid w:val="00E61116"/>
    <w:rsid w:val="00E611A9"/>
    <w:rsid w:val="00E611BE"/>
    <w:rsid w:val="00E611E5"/>
    <w:rsid w:val="00E61280"/>
    <w:rsid w:val="00E61474"/>
    <w:rsid w:val="00E61792"/>
    <w:rsid w:val="00E619DF"/>
    <w:rsid w:val="00E61B2B"/>
    <w:rsid w:val="00E61B33"/>
    <w:rsid w:val="00E61CAC"/>
    <w:rsid w:val="00E61F05"/>
    <w:rsid w:val="00E61FFF"/>
    <w:rsid w:val="00E62129"/>
    <w:rsid w:val="00E62152"/>
    <w:rsid w:val="00E622F6"/>
    <w:rsid w:val="00E62757"/>
    <w:rsid w:val="00E628B2"/>
    <w:rsid w:val="00E62A4F"/>
    <w:rsid w:val="00E62D5A"/>
    <w:rsid w:val="00E62D7F"/>
    <w:rsid w:val="00E62E1E"/>
    <w:rsid w:val="00E630D5"/>
    <w:rsid w:val="00E63557"/>
    <w:rsid w:val="00E63583"/>
    <w:rsid w:val="00E636BE"/>
    <w:rsid w:val="00E636C1"/>
    <w:rsid w:val="00E63965"/>
    <w:rsid w:val="00E6397E"/>
    <w:rsid w:val="00E63A6B"/>
    <w:rsid w:val="00E63A7A"/>
    <w:rsid w:val="00E63A7C"/>
    <w:rsid w:val="00E63E09"/>
    <w:rsid w:val="00E64049"/>
    <w:rsid w:val="00E640AC"/>
    <w:rsid w:val="00E644A1"/>
    <w:rsid w:val="00E64ABC"/>
    <w:rsid w:val="00E64BFD"/>
    <w:rsid w:val="00E64C6A"/>
    <w:rsid w:val="00E64CFD"/>
    <w:rsid w:val="00E64D89"/>
    <w:rsid w:val="00E64EDB"/>
    <w:rsid w:val="00E64FCC"/>
    <w:rsid w:val="00E65068"/>
    <w:rsid w:val="00E654EF"/>
    <w:rsid w:val="00E65519"/>
    <w:rsid w:val="00E65660"/>
    <w:rsid w:val="00E657B1"/>
    <w:rsid w:val="00E659D6"/>
    <w:rsid w:val="00E65BC9"/>
    <w:rsid w:val="00E65BE9"/>
    <w:rsid w:val="00E65DF1"/>
    <w:rsid w:val="00E660C8"/>
    <w:rsid w:val="00E66184"/>
    <w:rsid w:val="00E6620A"/>
    <w:rsid w:val="00E6648C"/>
    <w:rsid w:val="00E66604"/>
    <w:rsid w:val="00E666DC"/>
    <w:rsid w:val="00E66BAA"/>
    <w:rsid w:val="00E66E6A"/>
    <w:rsid w:val="00E66E77"/>
    <w:rsid w:val="00E6742C"/>
    <w:rsid w:val="00E67494"/>
    <w:rsid w:val="00E6753C"/>
    <w:rsid w:val="00E67674"/>
    <w:rsid w:val="00E67694"/>
    <w:rsid w:val="00E67741"/>
    <w:rsid w:val="00E67794"/>
    <w:rsid w:val="00E677C2"/>
    <w:rsid w:val="00E67A58"/>
    <w:rsid w:val="00E67ACC"/>
    <w:rsid w:val="00E67B23"/>
    <w:rsid w:val="00E67B76"/>
    <w:rsid w:val="00E67C2B"/>
    <w:rsid w:val="00E67E0C"/>
    <w:rsid w:val="00E67E65"/>
    <w:rsid w:val="00E67F50"/>
    <w:rsid w:val="00E70084"/>
    <w:rsid w:val="00E7025B"/>
    <w:rsid w:val="00E702C6"/>
    <w:rsid w:val="00E70572"/>
    <w:rsid w:val="00E70628"/>
    <w:rsid w:val="00E70675"/>
    <w:rsid w:val="00E706EF"/>
    <w:rsid w:val="00E70989"/>
    <w:rsid w:val="00E70A38"/>
    <w:rsid w:val="00E70AB4"/>
    <w:rsid w:val="00E70AF6"/>
    <w:rsid w:val="00E70E98"/>
    <w:rsid w:val="00E7119C"/>
    <w:rsid w:val="00E71294"/>
    <w:rsid w:val="00E713AB"/>
    <w:rsid w:val="00E714DF"/>
    <w:rsid w:val="00E71534"/>
    <w:rsid w:val="00E715A0"/>
    <w:rsid w:val="00E71C41"/>
    <w:rsid w:val="00E71DBE"/>
    <w:rsid w:val="00E71E79"/>
    <w:rsid w:val="00E71F0E"/>
    <w:rsid w:val="00E71F10"/>
    <w:rsid w:val="00E71FAE"/>
    <w:rsid w:val="00E72112"/>
    <w:rsid w:val="00E72539"/>
    <w:rsid w:val="00E72890"/>
    <w:rsid w:val="00E72A73"/>
    <w:rsid w:val="00E73107"/>
    <w:rsid w:val="00E7321E"/>
    <w:rsid w:val="00E733C4"/>
    <w:rsid w:val="00E73560"/>
    <w:rsid w:val="00E73588"/>
    <w:rsid w:val="00E73A65"/>
    <w:rsid w:val="00E73A8F"/>
    <w:rsid w:val="00E73C6D"/>
    <w:rsid w:val="00E740AB"/>
    <w:rsid w:val="00E74303"/>
    <w:rsid w:val="00E7433D"/>
    <w:rsid w:val="00E74397"/>
    <w:rsid w:val="00E74398"/>
    <w:rsid w:val="00E7448B"/>
    <w:rsid w:val="00E74689"/>
    <w:rsid w:val="00E746D0"/>
    <w:rsid w:val="00E749C0"/>
    <w:rsid w:val="00E74A6C"/>
    <w:rsid w:val="00E74BBA"/>
    <w:rsid w:val="00E74BC4"/>
    <w:rsid w:val="00E74C12"/>
    <w:rsid w:val="00E74E9C"/>
    <w:rsid w:val="00E7529A"/>
    <w:rsid w:val="00E755CB"/>
    <w:rsid w:val="00E75691"/>
    <w:rsid w:val="00E7584F"/>
    <w:rsid w:val="00E75893"/>
    <w:rsid w:val="00E75952"/>
    <w:rsid w:val="00E75AFA"/>
    <w:rsid w:val="00E75C88"/>
    <w:rsid w:val="00E75D8B"/>
    <w:rsid w:val="00E762E3"/>
    <w:rsid w:val="00E76324"/>
    <w:rsid w:val="00E7635C"/>
    <w:rsid w:val="00E764F9"/>
    <w:rsid w:val="00E76569"/>
    <w:rsid w:val="00E767D0"/>
    <w:rsid w:val="00E767E5"/>
    <w:rsid w:val="00E7686F"/>
    <w:rsid w:val="00E76AB8"/>
    <w:rsid w:val="00E76BF7"/>
    <w:rsid w:val="00E76D74"/>
    <w:rsid w:val="00E76FC6"/>
    <w:rsid w:val="00E77197"/>
    <w:rsid w:val="00E77310"/>
    <w:rsid w:val="00E77450"/>
    <w:rsid w:val="00E775CB"/>
    <w:rsid w:val="00E775E9"/>
    <w:rsid w:val="00E77A69"/>
    <w:rsid w:val="00E77C33"/>
    <w:rsid w:val="00E77D88"/>
    <w:rsid w:val="00E77E13"/>
    <w:rsid w:val="00E77E46"/>
    <w:rsid w:val="00E77EED"/>
    <w:rsid w:val="00E77FF7"/>
    <w:rsid w:val="00E800F9"/>
    <w:rsid w:val="00E80346"/>
    <w:rsid w:val="00E8048D"/>
    <w:rsid w:val="00E804BC"/>
    <w:rsid w:val="00E80675"/>
    <w:rsid w:val="00E8086A"/>
    <w:rsid w:val="00E80984"/>
    <w:rsid w:val="00E80A54"/>
    <w:rsid w:val="00E80BFA"/>
    <w:rsid w:val="00E80C8F"/>
    <w:rsid w:val="00E80CAE"/>
    <w:rsid w:val="00E80D7B"/>
    <w:rsid w:val="00E80DFE"/>
    <w:rsid w:val="00E80F00"/>
    <w:rsid w:val="00E810BC"/>
    <w:rsid w:val="00E8125E"/>
    <w:rsid w:val="00E812D5"/>
    <w:rsid w:val="00E81471"/>
    <w:rsid w:val="00E815C3"/>
    <w:rsid w:val="00E81A86"/>
    <w:rsid w:val="00E81BD4"/>
    <w:rsid w:val="00E81F2C"/>
    <w:rsid w:val="00E8227D"/>
    <w:rsid w:val="00E8244D"/>
    <w:rsid w:val="00E8246D"/>
    <w:rsid w:val="00E825DF"/>
    <w:rsid w:val="00E8279B"/>
    <w:rsid w:val="00E8284E"/>
    <w:rsid w:val="00E82AC6"/>
    <w:rsid w:val="00E82C41"/>
    <w:rsid w:val="00E82CF7"/>
    <w:rsid w:val="00E82CF9"/>
    <w:rsid w:val="00E82D25"/>
    <w:rsid w:val="00E831D3"/>
    <w:rsid w:val="00E83540"/>
    <w:rsid w:val="00E838F4"/>
    <w:rsid w:val="00E83C7C"/>
    <w:rsid w:val="00E83D43"/>
    <w:rsid w:val="00E844D6"/>
    <w:rsid w:val="00E84723"/>
    <w:rsid w:val="00E84A63"/>
    <w:rsid w:val="00E84BF1"/>
    <w:rsid w:val="00E84C8C"/>
    <w:rsid w:val="00E84D80"/>
    <w:rsid w:val="00E84F1E"/>
    <w:rsid w:val="00E85069"/>
    <w:rsid w:val="00E85361"/>
    <w:rsid w:val="00E85AD5"/>
    <w:rsid w:val="00E85AD9"/>
    <w:rsid w:val="00E85C73"/>
    <w:rsid w:val="00E85CAA"/>
    <w:rsid w:val="00E85D8E"/>
    <w:rsid w:val="00E85EF7"/>
    <w:rsid w:val="00E85F0A"/>
    <w:rsid w:val="00E85FB5"/>
    <w:rsid w:val="00E85FBD"/>
    <w:rsid w:val="00E8620B"/>
    <w:rsid w:val="00E864E9"/>
    <w:rsid w:val="00E8660B"/>
    <w:rsid w:val="00E8660D"/>
    <w:rsid w:val="00E86936"/>
    <w:rsid w:val="00E86DD2"/>
    <w:rsid w:val="00E8723D"/>
    <w:rsid w:val="00E87464"/>
    <w:rsid w:val="00E87773"/>
    <w:rsid w:val="00E8789E"/>
    <w:rsid w:val="00E879A8"/>
    <w:rsid w:val="00E87BD2"/>
    <w:rsid w:val="00E87D73"/>
    <w:rsid w:val="00E87DB5"/>
    <w:rsid w:val="00E87DFA"/>
    <w:rsid w:val="00E900FA"/>
    <w:rsid w:val="00E905E8"/>
    <w:rsid w:val="00E90A1A"/>
    <w:rsid w:val="00E90A52"/>
    <w:rsid w:val="00E90A7A"/>
    <w:rsid w:val="00E90AD6"/>
    <w:rsid w:val="00E90C6C"/>
    <w:rsid w:val="00E90E1B"/>
    <w:rsid w:val="00E90E70"/>
    <w:rsid w:val="00E9130E"/>
    <w:rsid w:val="00E91452"/>
    <w:rsid w:val="00E91799"/>
    <w:rsid w:val="00E918BF"/>
    <w:rsid w:val="00E918FD"/>
    <w:rsid w:val="00E91A0A"/>
    <w:rsid w:val="00E91BF3"/>
    <w:rsid w:val="00E92203"/>
    <w:rsid w:val="00E92316"/>
    <w:rsid w:val="00E924DB"/>
    <w:rsid w:val="00E92826"/>
    <w:rsid w:val="00E928A5"/>
    <w:rsid w:val="00E9296E"/>
    <w:rsid w:val="00E92AE7"/>
    <w:rsid w:val="00E92BFD"/>
    <w:rsid w:val="00E92C87"/>
    <w:rsid w:val="00E92F23"/>
    <w:rsid w:val="00E92FBF"/>
    <w:rsid w:val="00E93028"/>
    <w:rsid w:val="00E9312C"/>
    <w:rsid w:val="00E93217"/>
    <w:rsid w:val="00E93382"/>
    <w:rsid w:val="00E93BEA"/>
    <w:rsid w:val="00E93CE6"/>
    <w:rsid w:val="00E93D38"/>
    <w:rsid w:val="00E94159"/>
    <w:rsid w:val="00E94174"/>
    <w:rsid w:val="00E943D9"/>
    <w:rsid w:val="00E94737"/>
    <w:rsid w:val="00E94837"/>
    <w:rsid w:val="00E9487C"/>
    <w:rsid w:val="00E9487F"/>
    <w:rsid w:val="00E94AAD"/>
    <w:rsid w:val="00E94E34"/>
    <w:rsid w:val="00E95012"/>
    <w:rsid w:val="00E950BC"/>
    <w:rsid w:val="00E9513B"/>
    <w:rsid w:val="00E951AD"/>
    <w:rsid w:val="00E953BB"/>
    <w:rsid w:val="00E9550D"/>
    <w:rsid w:val="00E9582B"/>
    <w:rsid w:val="00E95859"/>
    <w:rsid w:val="00E95874"/>
    <w:rsid w:val="00E95A30"/>
    <w:rsid w:val="00E95C04"/>
    <w:rsid w:val="00E95CBF"/>
    <w:rsid w:val="00E95F32"/>
    <w:rsid w:val="00E96007"/>
    <w:rsid w:val="00E96318"/>
    <w:rsid w:val="00E9655E"/>
    <w:rsid w:val="00E966DB"/>
    <w:rsid w:val="00E96917"/>
    <w:rsid w:val="00E96AAE"/>
    <w:rsid w:val="00E96BE7"/>
    <w:rsid w:val="00E96D52"/>
    <w:rsid w:val="00E96F52"/>
    <w:rsid w:val="00E9719D"/>
    <w:rsid w:val="00E97242"/>
    <w:rsid w:val="00E972FB"/>
    <w:rsid w:val="00E974DE"/>
    <w:rsid w:val="00E975C8"/>
    <w:rsid w:val="00E97761"/>
    <w:rsid w:val="00E9784D"/>
    <w:rsid w:val="00E9792F"/>
    <w:rsid w:val="00E9798C"/>
    <w:rsid w:val="00E97A0F"/>
    <w:rsid w:val="00EA0027"/>
    <w:rsid w:val="00EA01C4"/>
    <w:rsid w:val="00EA0486"/>
    <w:rsid w:val="00EA04A6"/>
    <w:rsid w:val="00EA04C1"/>
    <w:rsid w:val="00EA06DA"/>
    <w:rsid w:val="00EA090F"/>
    <w:rsid w:val="00EA096C"/>
    <w:rsid w:val="00EA098F"/>
    <w:rsid w:val="00EA09E7"/>
    <w:rsid w:val="00EA09EC"/>
    <w:rsid w:val="00EA0A6D"/>
    <w:rsid w:val="00EA0A76"/>
    <w:rsid w:val="00EA0D7E"/>
    <w:rsid w:val="00EA1354"/>
    <w:rsid w:val="00EA135A"/>
    <w:rsid w:val="00EA1448"/>
    <w:rsid w:val="00EA155F"/>
    <w:rsid w:val="00EA1597"/>
    <w:rsid w:val="00EA1607"/>
    <w:rsid w:val="00EA16A0"/>
    <w:rsid w:val="00EA17FB"/>
    <w:rsid w:val="00EA1C65"/>
    <w:rsid w:val="00EA1FD1"/>
    <w:rsid w:val="00EA20E9"/>
    <w:rsid w:val="00EA20FC"/>
    <w:rsid w:val="00EA2268"/>
    <w:rsid w:val="00EA230F"/>
    <w:rsid w:val="00EA2490"/>
    <w:rsid w:val="00EA2579"/>
    <w:rsid w:val="00EA27A2"/>
    <w:rsid w:val="00EA2944"/>
    <w:rsid w:val="00EA301E"/>
    <w:rsid w:val="00EA306E"/>
    <w:rsid w:val="00EA30E4"/>
    <w:rsid w:val="00EA368B"/>
    <w:rsid w:val="00EA3BA2"/>
    <w:rsid w:val="00EA3C31"/>
    <w:rsid w:val="00EA3F5A"/>
    <w:rsid w:val="00EA416B"/>
    <w:rsid w:val="00EA42BC"/>
    <w:rsid w:val="00EA43AA"/>
    <w:rsid w:val="00EA494F"/>
    <w:rsid w:val="00EA4D2A"/>
    <w:rsid w:val="00EA50E9"/>
    <w:rsid w:val="00EA51A4"/>
    <w:rsid w:val="00EA5571"/>
    <w:rsid w:val="00EA55F5"/>
    <w:rsid w:val="00EA56C6"/>
    <w:rsid w:val="00EA578E"/>
    <w:rsid w:val="00EA5858"/>
    <w:rsid w:val="00EA586B"/>
    <w:rsid w:val="00EA6108"/>
    <w:rsid w:val="00EA61A1"/>
    <w:rsid w:val="00EA6A28"/>
    <w:rsid w:val="00EA6B82"/>
    <w:rsid w:val="00EA6DE2"/>
    <w:rsid w:val="00EA724A"/>
    <w:rsid w:val="00EA7374"/>
    <w:rsid w:val="00EA7460"/>
    <w:rsid w:val="00EA78BA"/>
    <w:rsid w:val="00EA7AC3"/>
    <w:rsid w:val="00EA7B39"/>
    <w:rsid w:val="00EA7C75"/>
    <w:rsid w:val="00EA7CBE"/>
    <w:rsid w:val="00EA7CCF"/>
    <w:rsid w:val="00EB0042"/>
    <w:rsid w:val="00EB0311"/>
    <w:rsid w:val="00EB03C4"/>
    <w:rsid w:val="00EB060A"/>
    <w:rsid w:val="00EB0DB1"/>
    <w:rsid w:val="00EB0F31"/>
    <w:rsid w:val="00EB1051"/>
    <w:rsid w:val="00EB108B"/>
    <w:rsid w:val="00EB11FD"/>
    <w:rsid w:val="00EB1477"/>
    <w:rsid w:val="00EB16FB"/>
    <w:rsid w:val="00EB1864"/>
    <w:rsid w:val="00EB189A"/>
    <w:rsid w:val="00EB199E"/>
    <w:rsid w:val="00EB2207"/>
    <w:rsid w:val="00EB287E"/>
    <w:rsid w:val="00EB2A48"/>
    <w:rsid w:val="00EB3297"/>
    <w:rsid w:val="00EB3350"/>
    <w:rsid w:val="00EB34F0"/>
    <w:rsid w:val="00EB35C3"/>
    <w:rsid w:val="00EB37C3"/>
    <w:rsid w:val="00EB387F"/>
    <w:rsid w:val="00EB3B02"/>
    <w:rsid w:val="00EB3BAA"/>
    <w:rsid w:val="00EB3BEC"/>
    <w:rsid w:val="00EB3C84"/>
    <w:rsid w:val="00EB3DB3"/>
    <w:rsid w:val="00EB3DEF"/>
    <w:rsid w:val="00EB3E63"/>
    <w:rsid w:val="00EB3E85"/>
    <w:rsid w:val="00EB3FFA"/>
    <w:rsid w:val="00EB40E4"/>
    <w:rsid w:val="00EB417D"/>
    <w:rsid w:val="00EB4691"/>
    <w:rsid w:val="00EB46B7"/>
    <w:rsid w:val="00EB4885"/>
    <w:rsid w:val="00EB4AD4"/>
    <w:rsid w:val="00EB4B7D"/>
    <w:rsid w:val="00EB4DDF"/>
    <w:rsid w:val="00EB4E0B"/>
    <w:rsid w:val="00EB4F51"/>
    <w:rsid w:val="00EB53C9"/>
    <w:rsid w:val="00EB5594"/>
    <w:rsid w:val="00EB56FA"/>
    <w:rsid w:val="00EB587F"/>
    <w:rsid w:val="00EB5901"/>
    <w:rsid w:val="00EB5923"/>
    <w:rsid w:val="00EB597A"/>
    <w:rsid w:val="00EB59EC"/>
    <w:rsid w:val="00EB5A77"/>
    <w:rsid w:val="00EB5AD8"/>
    <w:rsid w:val="00EB5AE3"/>
    <w:rsid w:val="00EB5CD5"/>
    <w:rsid w:val="00EB5DEE"/>
    <w:rsid w:val="00EB5E89"/>
    <w:rsid w:val="00EB6014"/>
    <w:rsid w:val="00EB6350"/>
    <w:rsid w:val="00EB68D3"/>
    <w:rsid w:val="00EB68EE"/>
    <w:rsid w:val="00EB69D4"/>
    <w:rsid w:val="00EB6A67"/>
    <w:rsid w:val="00EB6C99"/>
    <w:rsid w:val="00EB6D43"/>
    <w:rsid w:val="00EB6F8C"/>
    <w:rsid w:val="00EB6FC8"/>
    <w:rsid w:val="00EB7081"/>
    <w:rsid w:val="00EB71C9"/>
    <w:rsid w:val="00EB7858"/>
    <w:rsid w:val="00EB7C33"/>
    <w:rsid w:val="00EB7C7D"/>
    <w:rsid w:val="00EB7C8B"/>
    <w:rsid w:val="00EB7F76"/>
    <w:rsid w:val="00EC020C"/>
    <w:rsid w:val="00EC0835"/>
    <w:rsid w:val="00EC0AF4"/>
    <w:rsid w:val="00EC0AF6"/>
    <w:rsid w:val="00EC0C14"/>
    <w:rsid w:val="00EC0C1E"/>
    <w:rsid w:val="00EC0ECC"/>
    <w:rsid w:val="00EC1297"/>
    <w:rsid w:val="00EC170D"/>
    <w:rsid w:val="00EC1749"/>
    <w:rsid w:val="00EC1864"/>
    <w:rsid w:val="00EC1A6F"/>
    <w:rsid w:val="00EC1B54"/>
    <w:rsid w:val="00EC1BCA"/>
    <w:rsid w:val="00EC1C5D"/>
    <w:rsid w:val="00EC1E1D"/>
    <w:rsid w:val="00EC1E62"/>
    <w:rsid w:val="00EC1EC5"/>
    <w:rsid w:val="00EC2096"/>
    <w:rsid w:val="00EC24E1"/>
    <w:rsid w:val="00EC2B08"/>
    <w:rsid w:val="00EC2BFD"/>
    <w:rsid w:val="00EC2E79"/>
    <w:rsid w:val="00EC31E0"/>
    <w:rsid w:val="00EC374E"/>
    <w:rsid w:val="00EC386D"/>
    <w:rsid w:val="00EC39A2"/>
    <w:rsid w:val="00EC3A62"/>
    <w:rsid w:val="00EC3E01"/>
    <w:rsid w:val="00EC4184"/>
    <w:rsid w:val="00EC4242"/>
    <w:rsid w:val="00EC43AD"/>
    <w:rsid w:val="00EC447A"/>
    <w:rsid w:val="00EC47D7"/>
    <w:rsid w:val="00EC4901"/>
    <w:rsid w:val="00EC49C1"/>
    <w:rsid w:val="00EC4BE8"/>
    <w:rsid w:val="00EC4C89"/>
    <w:rsid w:val="00EC4FD8"/>
    <w:rsid w:val="00EC5607"/>
    <w:rsid w:val="00EC5715"/>
    <w:rsid w:val="00EC5801"/>
    <w:rsid w:val="00EC64D7"/>
    <w:rsid w:val="00EC6537"/>
    <w:rsid w:val="00EC655E"/>
    <w:rsid w:val="00EC6B16"/>
    <w:rsid w:val="00EC6CBC"/>
    <w:rsid w:val="00EC6F6F"/>
    <w:rsid w:val="00EC6F85"/>
    <w:rsid w:val="00EC7180"/>
    <w:rsid w:val="00EC752F"/>
    <w:rsid w:val="00EC7649"/>
    <w:rsid w:val="00EC76F7"/>
    <w:rsid w:val="00EC779D"/>
    <w:rsid w:val="00EC79C0"/>
    <w:rsid w:val="00EC79F5"/>
    <w:rsid w:val="00EC7DD4"/>
    <w:rsid w:val="00EC7FC1"/>
    <w:rsid w:val="00EC7FED"/>
    <w:rsid w:val="00ED0259"/>
    <w:rsid w:val="00ED02CD"/>
    <w:rsid w:val="00ED0307"/>
    <w:rsid w:val="00ED04EC"/>
    <w:rsid w:val="00ED0839"/>
    <w:rsid w:val="00ED089E"/>
    <w:rsid w:val="00ED0B9E"/>
    <w:rsid w:val="00ED0C13"/>
    <w:rsid w:val="00ED0CDA"/>
    <w:rsid w:val="00ED0F4C"/>
    <w:rsid w:val="00ED102D"/>
    <w:rsid w:val="00ED114E"/>
    <w:rsid w:val="00ED135C"/>
    <w:rsid w:val="00ED15AC"/>
    <w:rsid w:val="00ED1602"/>
    <w:rsid w:val="00ED1838"/>
    <w:rsid w:val="00ED1A49"/>
    <w:rsid w:val="00ED1CB8"/>
    <w:rsid w:val="00ED1F7B"/>
    <w:rsid w:val="00ED23F9"/>
    <w:rsid w:val="00ED2635"/>
    <w:rsid w:val="00ED279D"/>
    <w:rsid w:val="00ED280A"/>
    <w:rsid w:val="00ED2FBD"/>
    <w:rsid w:val="00ED30BA"/>
    <w:rsid w:val="00ED3140"/>
    <w:rsid w:val="00ED342B"/>
    <w:rsid w:val="00ED362F"/>
    <w:rsid w:val="00ED3821"/>
    <w:rsid w:val="00ED3BDB"/>
    <w:rsid w:val="00ED3C29"/>
    <w:rsid w:val="00ED4248"/>
    <w:rsid w:val="00ED4254"/>
    <w:rsid w:val="00ED45FC"/>
    <w:rsid w:val="00ED46E0"/>
    <w:rsid w:val="00ED4C7A"/>
    <w:rsid w:val="00ED4EB7"/>
    <w:rsid w:val="00ED5013"/>
    <w:rsid w:val="00ED525F"/>
    <w:rsid w:val="00ED52A8"/>
    <w:rsid w:val="00ED577E"/>
    <w:rsid w:val="00ED5C71"/>
    <w:rsid w:val="00ED615F"/>
    <w:rsid w:val="00ED61A3"/>
    <w:rsid w:val="00ED62F6"/>
    <w:rsid w:val="00ED631B"/>
    <w:rsid w:val="00ED633B"/>
    <w:rsid w:val="00ED6428"/>
    <w:rsid w:val="00ED6442"/>
    <w:rsid w:val="00ED64FE"/>
    <w:rsid w:val="00ED653E"/>
    <w:rsid w:val="00ED65AD"/>
    <w:rsid w:val="00ED677E"/>
    <w:rsid w:val="00ED6A61"/>
    <w:rsid w:val="00ED6B07"/>
    <w:rsid w:val="00ED6D5C"/>
    <w:rsid w:val="00ED6F60"/>
    <w:rsid w:val="00ED757A"/>
    <w:rsid w:val="00ED7734"/>
    <w:rsid w:val="00ED789C"/>
    <w:rsid w:val="00ED7A41"/>
    <w:rsid w:val="00ED7FB5"/>
    <w:rsid w:val="00EE00C8"/>
    <w:rsid w:val="00EE067F"/>
    <w:rsid w:val="00EE06F5"/>
    <w:rsid w:val="00EE0718"/>
    <w:rsid w:val="00EE0730"/>
    <w:rsid w:val="00EE07D0"/>
    <w:rsid w:val="00EE089E"/>
    <w:rsid w:val="00EE0B6F"/>
    <w:rsid w:val="00EE0C02"/>
    <w:rsid w:val="00EE0D45"/>
    <w:rsid w:val="00EE0D5B"/>
    <w:rsid w:val="00EE0E6C"/>
    <w:rsid w:val="00EE1111"/>
    <w:rsid w:val="00EE11C9"/>
    <w:rsid w:val="00EE1335"/>
    <w:rsid w:val="00EE147C"/>
    <w:rsid w:val="00EE152D"/>
    <w:rsid w:val="00EE183D"/>
    <w:rsid w:val="00EE188E"/>
    <w:rsid w:val="00EE18C1"/>
    <w:rsid w:val="00EE1AA3"/>
    <w:rsid w:val="00EE1CE8"/>
    <w:rsid w:val="00EE1F51"/>
    <w:rsid w:val="00EE23B1"/>
    <w:rsid w:val="00EE290D"/>
    <w:rsid w:val="00EE2B9B"/>
    <w:rsid w:val="00EE2CB7"/>
    <w:rsid w:val="00EE3004"/>
    <w:rsid w:val="00EE30ED"/>
    <w:rsid w:val="00EE3167"/>
    <w:rsid w:val="00EE3237"/>
    <w:rsid w:val="00EE3289"/>
    <w:rsid w:val="00EE352C"/>
    <w:rsid w:val="00EE3574"/>
    <w:rsid w:val="00EE3622"/>
    <w:rsid w:val="00EE3735"/>
    <w:rsid w:val="00EE3C53"/>
    <w:rsid w:val="00EE3C7A"/>
    <w:rsid w:val="00EE4005"/>
    <w:rsid w:val="00EE4117"/>
    <w:rsid w:val="00EE44F6"/>
    <w:rsid w:val="00EE45AA"/>
    <w:rsid w:val="00EE48F0"/>
    <w:rsid w:val="00EE4900"/>
    <w:rsid w:val="00EE4B48"/>
    <w:rsid w:val="00EE4C83"/>
    <w:rsid w:val="00EE4DC0"/>
    <w:rsid w:val="00EE4E5E"/>
    <w:rsid w:val="00EE5024"/>
    <w:rsid w:val="00EE508B"/>
    <w:rsid w:val="00EE50BC"/>
    <w:rsid w:val="00EE5300"/>
    <w:rsid w:val="00EE544A"/>
    <w:rsid w:val="00EE5456"/>
    <w:rsid w:val="00EE5484"/>
    <w:rsid w:val="00EE559E"/>
    <w:rsid w:val="00EE56B7"/>
    <w:rsid w:val="00EE57B8"/>
    <w:rsid w:val="00EE5BD0"/>
    <w:rsid w:val="00EE5D67"/>
    <w:rsid w:val="00EE5EE3"/>
    <w:rsid w:val="00EE5F15"/>
    <w:rsid w:val="00EE5FA8"/>
    <w:rsid w:val="00EE604F"/>
    <w:rsid w:val="00EE60E8"/>
    <w:rsid w:val="00EE61AF"/>
    <w:rsid w:val="00EE6335"/>
    <w:rsid w:val="00EE633E"/>
    <w:rsid w:val="00EE6644"/>
    <w:rsid w:val="00EE68D4"/>
    <w:rsid w:val="00EE699C"/>
    <w:rsid w:val="00EE6C21"/>
    <w:rsid w:val="00EE6D6A"/>
    <w:rsid w:val="00EE72EE"/>
    <w:rsid w:val="00EE74E1"/>
    <w:rsid w:val="00EE75C6"/>
    <w:rsid w:val="00EE75F7"/>
    <w:rsid w:val="00EE780C"/>
    <w:rsid w:val="00EE7A52"/>
    <w:rsid w:val="00EE7DD0"/>
    <w:rsid w:val="00EE7EA8"/>
    <w:rsid w:val="00EE7F8E"/>
    <w:rsid w:val="00EE7FEA"/>
    <w:rsid w:val="00EF00DB"/>
    <w:rsid w:val="00EF017F"/>
    <w:rsid w:val="00EF0219"/>
    <w:rsid w:val="00EF0367"/>
    <w:rsid w:val="00EF049E"/>
    <w:rsid w:val="00EF05AE"/>
    <w:rsid w:val="00EF05F6"/>
    <w:rsid w:val="00EF060E"/>
    <w:rsid w:val="00EF0657"/>
    <w:rsid w:val="00EF0A17"/>
    <w:rsid w:val="00EF0C2C"/>
    <w:rsid w:val="00EF0CFB"/>
    <w:rsid w:val="00EF0F34"/>
    <w:rsid w:val="00EF1219"/>
    <w:rsid w:val="00EF1253"/>
    <w:rsid w:val="00EF1430"/>
    <w:rsid w:val="00EF1500"/>
    <w:rsid w:val="00EF16E3"/>
    <w:rsid w:val="00EF16FA"/>
    <w:rsid w:val="00EF1780"/>
    <w:rsid w:val="00EF17DC"/>
    <w:rsid w:val="00EF1825"/>
    <w:rsid w:val="00EF187F"/>
    <w:rsid w:val="00EF1967"/>
    <w:rsid w:val="00EF1B83"/>
    <w:rsid w:val="00EF1B97"/>
    <w:rsid w:val="00EF1B9B"/>
    <w:rsid w:val="00EF1D97"/>
    <w:rsid w:val="00EF220B"/>
    <w:rsid w:val="00EF246D"/>
    <w:rsid w:val="00EF265D"/>
    <w:rsid w:val="00EF2A65"/>
    <w:rsid w:val="00EF2C3F"/>
    <w:rsid w:val="00EF2C5F"/>
    <w:rsid w:val="00EF2CC6"/>
    <w:rsid w:val="00EF2EAD"/>
    <w:rsid w:val="00EF310D"/>
    <w:rsid w:val="00EF338B"/>
    <w:rsid w:val="00EF39B3"/>
    <w:rsid w:val="00EF3C71"/>
    <w:rsid w:val="00EF3C97"/>
    <w:rsid w:val="00EF3E3A"/>
    <w:rsid w:val="00EF3EC8"/>
    <w:rsid w:val="00EF3F20"/>
    <w:rsid w:val="00EF4000"/>
    <w:rsid w:val="00EF4011"/>
    <w:rsid w:val="00EF4178"/>
    <w:rsid w:val="00EF4328"/>
    <w:rsid w:val="00EF43EE"/>
    <w:rsid w:val="00EF441C"/>
    <w:rsid w:val="00EF4497"/>
    <w:rsid w:val="00EF472B"/>
    <w:rsid w:val="00EF4794"/>
    <w:rsid w:val="00EF47FF"/>
    <w:rsid w:val="00EF486E"/>
    <w:rsid w:val="00EF4EA6"/>
    <w:rsid w:val="00EF4FB6"/>
    <w:rsid w:val="00EF5141"/>
    <w:rsid w:val="00EF51DC"/>
    <w:rsid w:val="00EF5349"/>
    <w:rsid w:val="00EF53BA"/>
    <w:rsid w:val="00EF5462"/>
    <w:rsid w:val="00EF55C1"/>
    <w:rsid w:val="00EF56F3"/>
    <w:rsid w:val="00EF578B"/>
    <w:rsid w:val="00EF5822"/>
    <w:rsid w:val="00EF5831"/>
    <w:rsid w:val="00EF5CB5"/>
    <w:rsid w:val="00EF5FD9"/>
    <w:rsid w:val="00EF61F5"/>
    <w:rsid w:val="00EF635C"/>
    <w:rsid w:val="00EF645F"/>
    <w:rsid w:val="00EF6602"/>
    <w:rsid w:val="00EF66BF"/>
    <w:rsid w:val="00EF67A3"/>
    <w:rsid w:val="00EF6890"/>
    <w:rsid w:val="00EF6BA6"/>
    <w:rsid w:val="00EF6CEB"/>
    <w:rsid w:val="00EF74C0"/>
    <w:rsid w:val="00EF75A8"/>
    <w:rsid w:val="00EF77F0"/>
    <w:rsid w:val="00EF7B89"/>
    <w:rsid w:val="00EF7D61"/>
    <w:rsid w:val="00EF7DF2"/>
    <w:rsid w:val="00EF7F5E"/>
    <w:rsid w:val="00F000D3"/>
    <w:rsid w:val="00F00112"/>
    <w:rsid w:val="00F00141"/>
    <w:rsid w:val="00F0017D"/>
    <w:rsid w:val="00F00197"/>
    <w:rsid w:val="00F0048F"/>
    <w:rsid w:val="00F00630"/>
    <w:rsid w:val="00F00DD1"/>
    <w:rsid w:val="00F00E88"/>
    <w:rsid w:val="00F00FFF"/>
    <w:rsid w:val="00F01454"/>
    <w:rsid w:val="00F01653"/>
    <w:rsid w:val="00F016ED"/>
    <w:rsid w:val="00F01973"/>
    <w:rsid w:val="00F01ADF"/>
    <w:rsid w:val="00F01B19"/>
    <w:rsid w:val="00F01CEF"/>
    <w:rsid w:val="00F01DC1"/>
    <w:rsid w:val="00F020DF"/>
    <w:rsid w:val="00F022FA"/>
    <w:rsid w:val="00F023B2"/>
    <w:rsid w:val="00F024F3"/>
    <w:rsid w:val="00F02841"/>
    <w:rsid w:val="00F02B8E"/>
    <w:rsid w:val="00F02BC6"/>
    <w:rsid w:val="00F02C13"/>
    <w:rsid w:val="00F02FED"/>
    <w:rsid w:val="00F03248"/>
    <w:rsid w:val="00F035BB"/>
    <w:rsid w:val="00F03A2C"/>
    <w:rsid w:val="00F03C52"/>
    <w:rsid w:val="00F03DF7"/>
    <w:rsid w:val="00F03F8A"/>
    <w:rsid w:val="00F040FD"/>
    <w:rsid w:val="00F04157"/>
    <w:rsid w:val="00F042E1"/>
    <w:rsid w:val="00F04438"/>
    <w:rsid w:val="00F044A1"/>
    <w:rsid w:val="00F04642"/>
    <w:rsid w:val="00F04654"/>
    <w:rsid w:val="00F048F3"/>
    <w:rsid w:val="00F04A9C"/>
    <w:rsid w:val="00F04D23"/>
    <w:rsid w:val="00F04D42"/>
    <w:rsid w:val="00F04F2C"/>
    <w:rsid w:val="00F0517C"/>
    <w:rsid w:val="00F057B1"/>
    <w:rsid w:val="00F057CE"/>
    <w:rsid w:val="00F05826"/>
    <w:rsid w:val="00F058A0"/>
    <w:rsid w:val="00F05C46"/>
    <w:rsid w:val="00F05C57"/>
    <w:rsid w:val="00F05CAB"/>
    <w:rsid w:val="00F05FEE"/>
    <w:rsid w:val="00F0609B"/>
    <w:rsid w:val="00F063B6"/>
    <w:rsid w:val="00F063BC"/>
    <w:rsid w:val="00F063EE"/>
    <w:rsid w:val="00F065C2"/>
    <w:rsid w:val="00F06710"/>
    <w:rsid w:val="00F0676F"/>
    <w:rsid w:val="00F0677F"/>
    <w:rsid w:val="00F06792"/>
    <w:rsid w:val="00F06982"/>
    <w:rsid w:val="00F06B04"/>
    <w:rsid w:val="00F06F48"/>
    <w:rsid w:val="00F07026"/>
    <w:rsid w:val="00F074F8"/>
    <w:rsid w:val="00F075B8"/>
    <w:rsid w:val="00F075D5"/>
    <w:rsid w:val="00F075F6"/>
    <w:rsid w:val="00F077D3"/>
    <w:rsid w:val="00F07BB7"/>
    <w:rsid w:val="00F07CA5"/>
    <w:rsid w:val="00F07FC8"/>
    <w:rsid w:val="00F10062"/>
    <w:rsid w:val="00F102C3"/>
    <w:rsid w:val="00F1053F"/>
    <w:rsid w:val="00F10947"/>
    <w:rsid w:val="00F10B5C"/>
    <w:rsid w:val="00F10B86"/>
    <w:rsid w:val="00F10BC0"/>
    <w:rsid w:val="00F10CE2"/>
    <w:rsid w:val="00F10D02"/>
    <w:rsid w:val="00F10D81"/>
    <w:rsid w:val="00F10FD0"/>
    <w:rsid w:val="00F11205"/>
    <w:rsid w:val="00F11597"/>
    <w:rsid w:val="00F1162A"/>
    <w:rsid w:val="00F11699"/>
    <w:rsid w:val="00F1176A"/>
    <w:rsid w:val="00F11959"/>
    <w:rsid w:val="00F1195C"/>
    <w:rsid w:val="00F11966"/>
    <w:rsid w:val="00F11A79"/>
    <w:rsid w:val="00F11B97"/>
    <w:rsid w:val="00F11DD3"/>
    <w:rsid w:val="00F11F36"/>
    <w:rsid w:val="00F12136"/>
    <w:rsid w:val="00F122AC"/>
    <w:rsid w:val="00F1233E"/>
    <w:rsid w:val="00F12622"/>
    <w:rsid w:val="00F12A59"/>
    <w:rsid w:val="00F12A8D"/>
    <w:rsid w:val="00F12C13"/>
    <w:rsid w:val="00F12C54"/>
    <w:rsid w:val="00F12DFA"/>
    <w:rsid w:val="00F130DC"/>
    <w:rsid w:val="00F13305"/>
    <w:rsid w:val="00F13376"/>
    <w:rsid w:val="00F1343A"/>
    <w:rsid w:val="00F135C7"/>
    <w:rsid w:val="00F139C1"/>
    <w:rsid w:val="00F13AAE"/>
    <w:rsid w:val="00F13AD4"/>
    <w:rsid w:val="00F13B9B"/>
    <w:rsid w:val="00F13D3B"/>
    <w:rsid w:val="00F13E7C"/>
    <w:rsid w:val="00F14762"/>
    <w:rsid w:val="00F1485D"/>
    <w:rsid w:val="00F149F2"/>
    <w:rsid w:val="00F14A21"/>
    <w:rsid w:val="00F14A5D"/>
    <w:rsid w:val="00F14AA1"/>
    <w:rsid w:val="00F14BEF"/>
    <w:rsid w:val="00F14D32"/>
    <w:rsid w:val="00F15B77"/>
    <w:rsid w:val="00F15B9A"/>
    <w:rsid w:val="00F15D17"/>
    <w:rsid w:val="00F16193"/>
    <w:rsid w:val="00F1622C"/>
    <w:rsid w:val="00F16377"/>
    <w:rsid w:val="00F16567"/>
    <w:rsid w:val="00F16D67"/>
    <w:rsid w:val="00F16D99"/>
    <w:rsid w:val="00F16EBD"/>
    <w:rsid w:val="00F17139"/>
    <w:rsid w:val="00F17551"/>
    <w:rsid w:val="00F17665"/>
    <w:rsid w:val="00F1771B"/>
    <w:rsid w:val="00F17C2B"/>
    <w:rsid w:val="00F17CE9"/>
    <w:rsid w:val="00F20344"/>
    <w:rsid w:val="00F2048D"/>
    <w:rsid w:val="00F2094E"/>
    <w:rsid w:val="00F2101D"/>
    <w:rsid w:val="00F21030"/>
    <w:rsid w:val="00F2134C"/>
    <w:rsid w:val="00F21570"/>
    <w:rsid w:val="00F2179F"/>
    <w:rsid w:val="00F21899"/>
    <w:rsid w:val="00F219CA"/>
    <w:rsid w:val="00F21A0B"/>
    <w:rsid w:val="00F21CC7"/>
    <w:rsid w:val="00F21E12"/>
    <w:rsid w:val="00F22095"/>
    <w:rsid w:val="00F2212B"/>
    <w:rsid w:val="00F2248A"/>
    <w:rsid w:val="00F22778"/>
    <w:rsid w:val="00F22779"/>
    <w:rsid w:val="00F227BC"/>
    <w:rsid w:val="00F228C2"/>
    <w:rsid w:val="00F22A28"/>
    <w:rsid w:val="00F22A44"/>
    <w:rsid w:val="00F231B2"/>
    <w:rsid w:val="00F231BA"/>
    <w:rsid w:val="00F23484"/>
    <w:rsid w:val="00F234D5"/>
    <w:rsid w:val="00F23500"/>
    <w:rsid w:val="00F23502"/>
    <w:rsid w:val="00F2358C"/>
    <w:rsid w:val="00F235A5"/>
    <w:rsid w:val="00F237AC"/>
    <w:rsid w:val="00F23841"/>
    <w:rsid w:val="00F23CF0"/>
    <w:rsid w:val="00F23E13"/>
    <w:rsid w:val="00F2406B"/>
    <w:rsid w:val="00F241F0"/>
    <w:rsid w:val="00F2432B"/>
    <w:rsid w:val="00F243BD"/>
    <w:rsid w:val="00F244F7"/>
    <w:rsid w:val="00F2452D"/>
    <w:rsid w:val="00F24534"/>
    <w:rsid w:val="00F24576"/>
    <w:rsid w:val="00F246E6"/>
    <w:rsid w:val="00F24944"/>
    <w:rsid w:val="00F24C30"/>
    <w:rsid w:val="00F24D10"/>
    <w:rsid w:val="00F24E35"/>
    <w:rsid w:val="00F2518F"/>
    <w:rsid w:val="00F251D6"/>
    <w:rsid w:val="00F25328"/>
    <w:rsid w:val="00F25358"/>
    <w:rsid w:val="00F25637"/>
    <w:rsid w:val="00F25BD7"/>
    <w:rsid w:val="00F25EB7"/>
    <w:rsid w:val="00F25F7E"/>
    <w:rsid w:val="00F26083"/>
    <w:rsid w:val="00F2610E"/>
    <w:rsid w:val="00F261D7"/>
    <w:rsid w:val="00F263EA"/>
    <w:rsid w:val="00F265C8"/>
    <w:rsid w:val="00F2661E"/>
    <w:rsid w:val="00F26641"/>
    <w:rsid w:val="00F2683B"/>
    <w:rsid w:val="00F26B28"/>
    <w:rsid w:val="00F26EE3"/>
    <w:rsid w:val="00F271A7"/>
    <w:rsid w:val="00F27360"/>
    <w:rsid w:val="00F273E3"/>
    <w:rsid w:val="00F2740B"/>
    <w:rsid w:val="00F27565"/>
    <w:rsid w:val="00F278CD"/>
    <w:rsid w:val="00F279F4"/>
    <w:rsid w:val="00F27A5F"/>
    <w:rsid w:val="00F27B38"/>
    <w:rsid w:val="00F27CB0"/>
    <w:rsid w:val="00F27DE1"/>
    <w:rsid w:val="00F300FC"/>
    <w:rsid w:val="00F30119"/>
    <w:rsid w:val="00F301EE"/>
    <w:rsid w:val="00F30506"/>
    <w:rsid w:val="00F30600"/>
    <w:rsid w:val="00F30723"/>
    <w:rsid w:val="00F30726"/>
    <w:rsid w:val="00F308F3"/>
    <w:rsid w:val="00F309FA"/>
    <w:rsid w:val="00F30B45"/>
    <w:rsid w:val="00F30BAE"/>
    <w:rsid w:val="00F30C23"/>
    <w:rsid w:val="00F30CB4"/>
    <w:rsid w:val="00F30CE8"/>
    <w:rsid w:val="00F30EB8"/>
    <w:rsid w:val="00F30F7C"/>
    <w:rsid w:val="00F30FF4"/>
    <w:rsid w:val="00F31354"/>
    <w:rsid w:val="00F3135D"/>
    <w:rsid w:val="00F3153A"/>
    <w:rsid w:val="00F3153E"/>
    <w:rsid w:val="00F3167A"/>
    <w:rsid w:val="00F31966"/>
    <w:rsid w:val="00F32125"/>
    <w:rsid w:val="00F3215A"/>
    <w:rsid w:val="00F322F2"/>
    <w:rsid w:val="00F323E5"/>
    <w:rsid w:val="00F32440"/>
    <w:rsid w:val="00F3256B"/>
    <w:rsid w:val="00F3271A"/>
    <w:rsid w:val="00F32721"/>
    <w:rsid w:val="00F32D5F"/>
    <w:rsid w:val="00F32E3B"/>
    <w:rsid w:val="00F32E88"/>
    <w:rsid w:val="00F32F5A"/>
    <w:rsid w:val="00F33104"/>
    <w:rsid w:val="00F332F0"/>
    <w:rsid w:val="00F33368"/>
    <w:rsid w:val="00F33441"/>
    <w:rsid w:val="00F338FA"/>
    <w:rsid w:val="00F33B6B"/>
    <w:rsid w:val="00F33C27"/>
    <w:rsid w:val="00F341C6"/>
    <w:rsid w:val="00F34380"/>
    <w:rsid w:val="00F347F6"/>
    <w:rsid w:val="00F34B83"/>
    <w:rsid w:val="00F34E13"/>
    <w:rsid w:val="00F34EBC"/>
    <w:rsid w:val="00F352C5"/>
    <w:rsid w:val="00F3537E"/>
    <w:rsid w:val="00F3544B"/>
    <w:rsid w:val="00F356E4"/>
    <w:rsid w:val="00F35BDA"/>
    <w:rsid w:val="00F35C46"/>
    <w:rsid w:val="00F3619C"/>
    <w:rsid w:val="00F36390"/>
    <w:rsid w:val="00F366EF"/>
    <w:rsid w:val="00F368A9"/>
    <w:rsid w:val="00F368B9"/>
    <w:rsid w:val="00F36DE0"/>
    <w:rsid w:val="00F36F71"/>
    <w:rsid w:val="00F36FFE"/>
    <w:rsid w:val="00F37070"/>
    <w:rsid w:val="00F37165"/>
    <w:rsid w:val="00F3720B"/>
    <w:rsid w:val="00F3757F"/>
    <w:rsid w:val="00F377FD"/>
    <w:rsid w:val="00F37AF8"/>
    <w:rsid w:val="00F40183"/>
    <w:rsid w:val="00F40604"/>
    <w:rsid w:val="00F4075C"/>
    <w:rsid w:val="00F4078D"/>
    <w:rsid w:val="00F40CD9"/>
    <w:rsid w:val="00F40EC9"/>
    <w:rsid w:val="00F40F05"/>
    <w:rsid w:val="00F41516"/>
    <w:rsid w:val="00F41DBD"/>
    <w:rsid w:val="00F41E87"/>
    <w:rsid w:val="00F420A7"/>
    <w:rsid w:val="00F420A8"/>
    <w:rsid w:val="00F423BD"/>
    <w:rsid w:val="00F42458"/>
    <w:rsid w:val="00F426CE"/>
    <w:rsid w:val="00F42785"/>
    <w:rsid w:val="00F42A90"/>
    <w:rsid w:val="00F42BA9"/>
    <w:rsid w:val="00F42CCD"/>
    <w:rsid w:val="00F42DDE"/>
    <w:rsid w:val="00F42F1B"/>
    <w:rsid w:val="00F43064"/>
    <w:rsid w:val="00F43233"/>
    <w:rsid w:val="00F43451"/>
    <w:rsid w:val="00F43AF4"/>
    <w:rsid w:val="00F43B92"/>
    <w:rsid w:val="00F43C4A"/>
    <w:rsid w:val="00F43EF0"/>
    <w:rsid w:val="00F43F12"/>
    <w:rsid w:val="00F43FC4"/>
    <w:rsid w:val="00F44050"/>
    <w:rsid w:val="00F440CF"/>
    <w:rsid w:val="00F4441D"/>
    <w:rsid w:val="00F445FF"/>
    <w:rsid w:val="00F44725"/>
    <w:rsid w:val="00F447D4"/>
    <w:rsid w:val="00F448AE"/>
    <w:rsid w:val="00F448D6"/>
    <w:rsid w:val="00F448E4"/>
    <w:rsid w:val="00F449E1"/>
    <w:rsid w:val="00F44AD8"/>
    <w:rsid w:val="00F44B46"/>
    <w:rsid w:val="00F4537F"/>
    <w:rsid w:val="00F453AB"/>
    <w:rsid w:val="00F45447"/>
    <w:rsid w:val="00F45655"/>
    <w:rsid w:val="00F45891"/>
    <w:rsid w:val="00F45AEF"/>
    <w:rsid w:val="00F45B78"/>
    <w:rsid w:val="00F45C9A"/>
    <w:rsid w:val="00F460CA"/>
    <w:rsid w:val="00F46796"/>
    <w:rsid w:val="00F46A29"/>
    <w:rsid w:val="00F46D9C"/>
    <w:rsid w:val="00F46F3E"/>
    <w:rsid w:val="00F4747C"/>
    <w:rsid w:val="00F47512"/>
    <w:rsid w:val="00F47620"/>
    <w:rsid w:val="00F476AB"/>
    <w:rsid w:val="00F479CD"/>
    <w:rsid w:val="00F47F02"/>
    <w:rsid w:val="00F50269"/>
    <w:rsid w:val="00F503BC"/>
    <w:rsid w:val="00F505C5"/>
    <w:rsid w:val="00F505F9"/>
    <w:rsid w:val="00F508F7"/>
    <w:rsid w:val="00F50943"/>
    <w:rsid w:val="00F50945"/>
    <w:rsid w:val="00F50AD1"/>
    <w:rsid w:val="00F50CFA"/>
    <w:rsid w:val="00F51596"/>
    <w:rsid w:val="00F51602"/>
    <w:rsid w:val="00F517F4"/>
    <w:rsid w:val="00F5188D"/>
    <w:rsid w:val="00F5212A"/>
    <w:rsid w:val="00F525A5"/>
    <w:rsid w:val="00F525B1"/>
    <w:rsid w:val="00F5274B"/>
    <w:rsid w:val="00F52781"/>
    <w:rsid w:val="00F52840"/>
    <w:rsid w:val="00F529E7"/>
    <w:rsid w:val="00F52AA5"/>
    <w:rsid w:val="00F52BD8"/>
    <w:rsid w:val="00F52BE4"/>
    <w:rsid w:val="00F52C77"/>
    <w:rsid w:val="00F530C7"/>
    <w:rsid w:val="00F5326B"/>
    <w:rsid w:val="00F53547"/>
    <w:rsid w:val="00F536D9"/>
    <w:rsid w:val="00F539B4"/>
    <w:rsid w:val="00F53A20"/>
    <w:rsid w:val="00F53C78"/>
    <w:rsid w:val="00F53DA6"/>
    <w:rsid w:val="00F540AF"/>
    <w:rsid w:val="00F54253"/>
    <w:rsid w:val="00F542CD"/>
    <w:rsid w:val="00F5430F"/>
    <w:rsid w:val="00F54389"/>
    <w:rsid w:val="00F54487"/>
    <w:rsid w:val="00F54AF7"/>
    <w:rsid w:val="00F54C06"/>
    <w:rsid w:val="00F54CD1"/>
    <w:rsid w:val="00F54E4A"/>
    <w:rsid w:val="00F55212"/>
    <w:rsid w:val="00F55674"/>
    <w:rsid w:val="00F55684"/>
    <w:rsid w:val="00F5585C"/>
    <w:rsid w:val="00F559C5"/>
    <w:rsid w:val="00F55E2E"/>
    <w:rsid w:val="00F56017"/>
    <w:rsid w:val="00F56169"/>
    <w:rsid w:val="00F56270"/>
    <w:rsid w:val="00F562E4"/>
    <w:rsid w:val="00F56391"/>
    <w:rsid w:val="00F56523"/>
    <w:rsid w:val="00F56646"/>
    <w:rsid w:val="00F56760"/>
    <w:rsid w:val="00F56838"/>
    <w:rsid w:val="00F56ACF"/>
    <w:rsid w:val="00F56D34"/>
    <w:rsid w:val="00F56D8F"/>
    <w:rsid w:val="00F56E99"/>
    <w:rsid w:val="00F5727B"/>
    <w:rsid w:val="00F57305"/>
    <w:rsid w:val="00F57412"/>
    <w:rsid w:val="00F57CF5"/>
    <w:rsid w:val="00F57D3A"/>
    <w:rsid w:val="00F60076"/>
    <w:rsid w:val="00F600B0"/>
    <w:rsid w:val="00F601AB"/>
    <w:rsid w:val="00F60238"/>
    <w:rsid w:val="00F606CA"/>
    <w:rsid w:val="00F607F6"/>
    <w:rsid w:val="00F60879"/>
    <w:rsid w:val="00F608BC"/>
    <w:rsid w:val="00F608F5"/>
    <w:rsid w:val="00F60A0B"/>
    <w:rsid w:val="00F60B4C"/>
    <w:rsid w:val="00F60BE8"/>
    <w:rsid w:val="00F60C36"/>
    <w:rsid w:val="00F60D1F"/>
    <w:rsid w:val="00F60E81"/>
    <w:rsid w:val="00F6103B"/>
    <w:rsid w:val="00F613A3"/>
    <w:rsid w:val="00F61458"/>
    <w:rsid w:val="00F61A31"/>
    <w:rsid w:val="00F61B24"/>
    <w:rsid w:val="00F61B55"/>
    <w:rsid w:val="00F61DB8"/>
    <w:rsid w:val="00F61E07"/>
    <w:rsid w:val="00F61E1B"/>
    <w:rsid w:val="00F61E87"/>
    <w:rsid w:val="00F61EA9"/>
    <w:rsid w:val="00F61F55"/>
    <w:rsid w:val="00F620A9"/>
    <w:rsid w:val="00F62166"/>
    <w:rsid w:val="00F621F9"/>
    <w:rsid w:val="00F62266"/>
    <w:rsid w:val="00F624D3"/>
    <w:rsid w:val="00F624FB"/>
    <w:rsid w:val="00F62936"/>
    <w:rsid w:val="00F62CF4"/>
    <w:rsid w:val="00F62F27"/>
    <w:rsid w:val="00F62F2E"/>
    <w:rsid w:val="00F632B3"/>
    <w:rsid w:val="00F637D5"/>
    <w:rsid w:val="00F639CC"/>
    <w:rsid w:val="00F63ACE"/>
    <w:rsid w:val="00F63BA3"/>
    <w:rsid w:val="00F63CF9"/>
    <w:rsid w:val="00F63EC6"/>
    <w:rsid w:val="00F64062"/>
    <w:rsid w:val="00F642B8"/>
    <w:rsid w:val="00F642EC"/>
    <w:rsid w:val="00F64506"/>
    <w:rsid w:val="00F64A15"/>
    <w:rsid w:val="00F64ADC"/>
    <w:rsid w:val="00F64B2D"/>
    <w:rsid w:val="00F64DE0"/>
    <w:rsid w:val="00F64FC3"/>
    <w:rsid w:val="00F652F7"/>
    <w:rsid w:val="00F6549B"/>
    <w:rsid w:val="00F6553C"/>
    <w:rsid w:val="00F659A2"/>
    <w:rsid w:val="00F65BA8"/>
    <w:rsid w:val="00F65D7B"/>
    <w:rsid w:val="00F661DB"/>
    <w:rsid w:val="00F66206"/>
    <w:rsid w:val="00F66464"/>
    <w:rsid w:val="00F664AC"/>
    <w:rsid w:val="00F66561"/>
    <w:rsid w:val="00F668EA"/>
    <w:rsid w:val="00F6696D"/>
    <w:rsid w:val="00F66B41"/>
    <w:rsid w:val="00F66CBC"/>
    <w:rsid w:val="00F66E0C"/>
    <w:rsid w:val="00F66F33"/>
    <w:rsid w:val="00F67300"/>
    <w:rsid w:val="00F673A4"/>
    <w:rsid w:val="00F67797"/>
    <w:rsid w:val="00F677EB"/>
    <w:rsid w:val="00F678A6"/>
    <w:rsid w:val="00F67B73"/>
    <w:rsid w:val="00F67B88"/>
    <w:rsid w:val="00F67D3B"/>
    <w:rsid w:val="00F67F87"/>
    <w:rsid w:val="00F70221"/>
    <w:rsid w:val="00F702CE"/>
    <w:rsid w:val="00F7034E"/>
    <w:rsid w:val="00F7043A"/>
    <w:rsid w:val="00F7047F"/>
    <w:rsid w:val="00F70522"/>
    <w:rsid w:val="00F705B4"/>
    <w:rsid w:val="00F706B6"/>
    <w:rsid w:val="00F707C6"/>
    <w:rsid w:val="00F7082B"/>
    <w:rsid w:val="00F709BC"/>
    <w:rsid w:val="00F70C38"/>
    <w:rsid w:val="00F70D50"/>
    <w:rsid w:val="00F70DDD"/>
    <w:rsid w:val="00F70F8A"/>
    <w:rsid w:val="00F71035"/>
    <w:rsid w:val="00F7131A"/>
    <w:rsid w:val="00F7148F"/>
    <w:rsid w:val="00F71651"/>
    <w:rsid w:val="00F718C7"/>
    <w:rsid w:val="00F718F4"/>
    <w:rsid w:val="00F719B7"/>
    <w:rsid w:val="00F71B75"/>
    <w:rsid w:val="00F71D1B"/>
    <w:rsid w:val="00F71EC2"/>
    <w:rsid w:val="00F71F53"/>
    <w:rsid w:val="00F72055"/>
    <w:rsid w:val="00F72374"/>
    <w:rsid w:val="00F72522"/>
    <w:rsid w:val="00F727E8"/>
    <w:rsid w:val="00F72862"/>
    <w:rsid w:val="00F72987"/>
    <w:rsid w:val="00F72D24"/>
    <w:rsid w:val="00F72F79"/>
    <w:rsid w:val="00F7329F"/>
    <w:rsid w:val="00F73CC1"/>
    <w:rsid w:val="00F73ED8"/>
    <w:rsid w:val="00F73F67"/>
    <w:rsid w:val="00F74281"/>
    <w:rsid w:val="00F74524"/>
    <w:rsid w:val="00F74776"/>
    <w:rsid w:val="00F74795"/>
    <w:rsid w:val="00F74890"/>
    <w:rsid w:val="00F749A2"/>
    <w:rsid w:val="00F74A1A"/>
    <w:rsid w:val="00F74A1C"/>
    <w:rsid w:val="00F7523F"/>
    <w:rsid w:val="00F75385"/>
    <w:rsid w:val="00F755ED"/>
    <w:rsid w:val="00F7583D"/>
    <w:rsid w:val="00F75E3B"/>
    <w:rsid w:val="00F75F57"/>
    <w:rsid w:val="00F761B7"/>
    <w:rsid w:val="00F762DF"/>
    <w:rsid w:val="00F7645E"/>
    <w:rsid w:val="00F764A3"/>
    <w:rsid w:val="00F76839"/>
    <w:rsid w:val="00F769E6"/>
    <w:rsid w:val="00F76C9C"/>
    <w:rsid w:val="00F76F8D"/>
    <w:rsid w:val="00F77011"/>
    <w:rsid w:val="00F772E9"/>
    <w:rsid w:val="00F773E1"/>
    <w:rsid w:val="00F7758F"/>
    <w:rsid w:val="00F77720"/>
    <w:rsid w:val="00F77788"/>
    <w:rsid w:val="00F7794E"/>
    <w:rsid w:val="00F7797D"/>
    <w:rsid w:val="00F77A26"/>
    <w:rsid w:val="00F77B77"/>
    <w:rsid w:val="00F77CE3"/>
    <w:rsid w:val="00F8007C"/>
    <w:rsid w:val="00F801F4"/>
    <w:rsid w:val="00F80242"/>
    <w:rsid w:val="00F802E6"/>
    <w:rsid w:val="00F804E5"/>
    <w:rsid w:val="00F80533"/>
    <w:rsid w:val="00F805F8"/>
    <w:rsid w:val="00F80782"/>
    <w:rsid w:val="00F80832"/>
    <w:rsid w:val="00F8092A"/>
    <w:rsid w:val="00F80931"/>
    <w:rsid w:val="00F80B00"/>
    <w:rsid w:val="00F80EA6"/>
    <w:rsid w:val="00F80F4D"/>
    <w:rsid w:val="00F81074"/>
    <w:rsid w:val="00F81154"/>
    <w:rsid w:val="00F815AB"/>
    <w:rsid w:val="00F81798"/>
    <w:rsid w:val="00F81B93"/>
    <w:rsid w:val="00F81E99"/>
    <w:rsid w:val="00F820D8"/>
    <w:rsid w:val="00F8227B"/>
    <w:rsid w:val="00F822AC"/>
    <w:rsid w:val="00F823CC"/>
    <w:rsid w:val="00F82C75"/>
    <w:rsid w:val="00F82C77"/>
    <w:rsid w:val="00F82DC6"/>
    <w:rsid w:val="00F82F33"/>
    <w:rsid w:val="00F82F64"/>
    <w:rsid w:val="00F838D2"/>
    <w:rsid w:val="00F838D9"/>
    <w:rsid w:val="00F83963"/>
    <w:rsid w:val="00F83A1B"/>
    <w:rsid w:val="00F83BC7"/>
    <w:rsid w:val="00F83D38"/>
    <w:rsid w:val="00F841EB"/>
    <w:rsid w:val="00F84606"/>
    <w:rsid w:val="00F84886"/>
    <w:rsid w:val="00F84918"/>
    <w:rsid w:val="00F84C7B"/>
    <w:rsid w:val="00F84DF9"/>
    <w:rsid w:val="00F8505C"/>
    <w:rsid w:val="00F850A4"/>
    <w:rsid w:val="00F85123"/>
    <w:rsid w:val="00F855E8"/>
    <w:rsid w:val="00F85658"/>
    <w:rsid w:val="00F8568A"/>
    <w:rsid w:val="00F85B90"/>
    <w:rsid w:val="00F8609C"/>
    <w:rsid w:val="00F8616B"/>
    <w:rsid w:val="00F861F6"/>
    <w:rsid w:val="00F86813"/>
    <w:rsid w:val="00F86B2B"/>
    <w:rsid w:val="00F86C8E"/>
    <w:rsid w:val="00F86D4A"/>
    <w:rsid w:val="00F86ED5"/>
    <w:rsid w:val="00F86EE7"/>
    <w:rsid w:val="00F870E8"/>
    <w:rsid w:val="00F872CF"/>
    <w:rsid w:val="00F873C1"/>
    <w:rsid w:val="00F873FA"/>
    <w:rsid w:val="00F8754B"/>
    <w:rsid w:val="00F87608"/>
    <w:rsid w:val="00F8770A"/>
    <w:rsid w:val="00F8794B"/>
    <w:rsid w:val="00F87996"/>
    <w:rsid w:val="00F87B59"/>
    <w:rsid w:val="00F87C40"/>
    <w:rsid w:val="00F87C71"/>
    <w:rsid w:val="00F87DD9"/>
    <w:rsid w:val="00F87DDA"/>
    <w:rsid w:val="00F87EE7"/>
    <w:rsid w:val="00F87F0C"/>
    <w:rsid w:val="00F87FD8"/>
    <w:rsid w:val="00F90064"/>
    <w:rsid w:val="00F9084E"/>
    <w:rsid w:val="00F90945"/>
    <w:rsid w:val="00F9095D"/>
    <w:rsid w:val="00F90A3F"/>
    <w:rsid w:val="00F90C18"/>
    <w:rsid w:val="00F90C30"/>
    <w:rsid w:val="00F90D34"/>
    <w:rsid w:val="00F90DB1"/>
    <w:rsid w:val="00F90EFA"/>
    <w:rsid w:val="00F90FBC"/>
    <w:rsid w:val="00F914F3"/>
    <w:rsid w:val="00F916B9"/>
    <w:rsid w:val="00F916FC"/>
    <w:rsid w:val="00F919F4"/>
    <w:rsid w:val="00F91B1F"/>
    <w:rsid w:val="00F91B2D"/>
    <w:rsid w:val="00F91C6A"/>
    <w:rsid w:val="00F91CD5"/>
    <w:rsid w:val="00F91D47"/>
    <w:rsid w:val="00F91DB7"/>
    <w:rsid w:val="00F9202A"/>
    <w:rsid w:val="00F9219D"/>
    <w:rsid w:val="00F92382"/>
    <w:rsid w:val="00F9251B"/>
    <w:rsid w:val="00F926B9"/>
    <w:rsid w:val="00F928FA"/>
    <w:rsid w:val="00F929E2"/>
    <w:rsid w:val="00F92D63"/>
    <w:rsid w:val="00F92E65"/>
    <w:rsid w:val="00F93037"/>
    <w:rsid w:val="00F93364"/>
    <w:rsid w:val="00F939A4"/>
    <w:rsid w:val="00F93BB0"/>
    <w:rsid w:val="00F93C93"/>
    <w:rsid w:val="00F93CE9"/>
    <w:rsid w:val="00F93DEB"/>
    <w:rsid w:val="00F93EBB"/>
    <w:rsid w:val="00F93EF3"/>
    <w:rsid w:val="00F93FE5"/>
    <w:rsid w:val="00F9412E"/>
    <w:rsid w:val="00F9440A"/>
    <w:rsid w:val="00F94437"/>
    <w:rsid w:val="00F9474D"/>
    <w:rsid w:val="00F94836"/>
    <w:rsid w:val="00F94961"/>
    <w:rsid w:val="00F94A44"/>
    <w:rsid w:val="00F94A76"/>
    <w:rsid w:val="00F94AA9"/>
    <w:rsid w:val="00F94B64"/>
    <w:rsid w:val="00F94C34"/>
    <w:rsid w:val="00F95202"/>
    <w:rsid w:val="00F95466"/>
    <w:rsid w:val="00F957C2"/>
    <w:rsid w:val="00F9598C"/>
    <w:rsid w:val="00F95DA4"/>
    <w:rsid w:val="00F95E1C"/>
    <w:rsid w:val="00F95EBC"/>
    <w:rsid w:val="00F96032"/>
    <w:rsid w:val="00F9608D"/>
    <w:rsid w:val="00F961B4"/>
    <w:rsid w:val="00F963F4"/>
    <w:rsid w:val="00F9646D"/>
    <w:rsid w:val="00F9687B"/>
    <w:rsid w:val="00F9696B"/>
    <w:rsid w:val="00F96B1E"/>
    <w:rsid w:val="00F96B42"/>
    <w:rsid w:val="00F96E8B"/>
    <w:rsid w:val="00F9728A"/>
    <w:rsid w:val="00F972ED"/>
    <w:rsid w:val="00F9768D"/>
    <w:rsid w:val="00F979AB"/>
    <w:rsid w:val="00F979E2"/>
    <w:rsid w:val="00F97DC1"/>
    <w:rsid w:val="00FA028F"/>
    <w:rsid w:val="00FA02FF"/>
    <w:rsid w:val="00FA0550"/>
    <w:rsid w:val="00FA05CC"/>
    <w:rsid w:val="00FA0652"/>
    <w:rsid w:val="00FA075D"/>
    <w:rsid w:val="00FA0851"/>
    <w:rsid w:val="00FA08DD"/>
    <w:rsid w:val="00FA0923"/>
    <w:rsid w:val="00FA0A78"/>
    <w:rsid w:val="00FA0A83"/>
    <w:rsid w:val="00FA10CD"/>
    <w:rsid w:val="00FA129A"/>
    <w:rsid w:val="00FA12C5"/>
    <w:rsid w:val="00FA12E1"/>
    <w:rsid w:val="00FA12FD"/>
    <w:rsid w:val="00FA15CC"/>
    <w:rsid w:val="00FA17DB"/>
    <w:rsid w:val="00FA184A"/>
    <w:rsid w:val="00FA18D8"/>
    <w:rsid w:val="00FA1E91"/>
    <w:rsid w:val="00FA1FB2"/>
    <w:rsid w:val="00FA2085"/>
    <w:rsid w:val="00FA2208"/>
    <w:rsid w:val="00FA2396"/>
    <w:rsid w:val="00FA250C"/>
    <w:rsid w:val="00FA2542"/>
    <w:rsid w:val="00FA257A"/>
    <w:rsid w:val="00FA2CF9"/>
    <w:rsid w:val="00FA2FF4"/>
    <w:rsid w:val="00FA30F9"/>
    <w:rsid w:val="00FA31DF"/>
    <w:rsid w:val="00FA33A3"/>
    <w:rsid w:val="00FA3570"/>
    <w:rsid w:val="00FA38F1"/>
    <w:rsid w:val="00FA39B3"/>
    <w:rsid w:val="00FA39BA"/>
    <w:rsid w:val="00FA404B"/>
    <w:rsid w:val="00FA44C9"/>
    <w:rsid w:val="00FA45FB"/>
    <w:rsid w:val="00FA46CA"/>
    <w:rsid w:val="00FA46D8"/>
    <w:rsid w:val="00FA4705"/>
    <w:rsid w:val="00FA47A7"/>
    <w:rsid w:val="00FA4896"/>
    <w:rsid w:val="00FA4EB0"/>
    <w:rsid w:val="00FA51AB"/>
    <w:rsid w:val="00FA5253"/>
    <w:rsid w:val="00FA54EB"/>
    <w:rsid w:val="00FA56D1"/>
    <w:rsid w:val="00FA56EB"/>
    <w:rsid w:val="00FA5914"/>
    <w:rsid w:val="00FA59E2"/>
    <w:rsid w:val="00FA5A11"/>
    <w:rsid w:val="00FA5A81"/>
    <w:rsid w:val="00FA5AAD"/>
    <w:rsid w:val="00FA5B20"/>
    <w:rsid w:val="00FA5C5F"/>
    <w:rsid w:val="00FA5E4D"/>
    <w:rsid w:val="00FA5E90"/>
    <w:rsid w:val="00FA5EEA"/>
    <w:rsid w:val="00FA5FEB"/>
    <w:rsid w:val="00FA6408"/>
    <w:rsid w:val="00FA643B"/>
    <w:rsid w:val="00FA6746"/>
    <w:rsid w:val="00FA68E9"/>
    <w:rsid w:val="00FA6A06"/>
    <w:rsid w:val="00FA6C65"/>
    <w:rsid w:val="00FA6D02"/>
    <w:rsid w:val="00FA6ED0"/>
    <w:rsid w:val="00FA6F7C"/>
    <w:rsid w:val="00FA71DC"/>
    <w:rsid w:val="00FA7281"/>
    <w:rsid w:val="00FA73B9"/>
    <w:rsid w:val="00FA757B"/>
    <w:rsid w:val="00FA78FA"/>
    <w:rsid w:val="00FA7919"/>
    <w:rsid w:val="00FA7F0B"/>
    <w:rsid w:val="00FB0043"/>
    <w:rsid w:val="00FB01E9"/>
    <w:rsid w:val="00FB024D"/>
    <w:rsid w:val="00FB09DE"/>
    <w:rsid w:val="00FB0B8E"/>
    <w:rsid w:val="00FB0E63"/>
    <w:rsid w:val="00FB0E9F"/>
    <w:rsid w:val="00FB0F8A"/>
    <w:rsid w:val="00FB1262"/>
    <w:rsid w:val="00FB1271"/>
    <w:rsid w:val="00FB129E"/>
    <w:rsid w:val="00FB12BB"/>
    <w:rsid w:val="00FB1352"/>
    <w:rsid w:val="00FB1382"/>
    <w:rsid w:val="00FB13AD"/>
    <w:rsid w:val="00FB13C0"/>
    <w:rsid w:val="00FB145E"/>
    <w:rsid w:val="00FB1584"/>
    <w:rsid w:val="00FB16A7"/>
    <w:rsid w:val="00FB16AA"/>
    <w:rsid w:val="00FB1773"/>
    <w:rsid w:val="00FB1BDC"/>
    <w:rsid w:val="00FB1CE7"/>
    <w:rsid w:val="00FB1D4E"/>
    <w:rsid w:val="00FB1D59"/>
    <w:rsid w:val="00FB203A"/>
    <w:rsid w:val="00FB20AE"/>
    <w:rsid w:val="00FB247C"/>
    <w:rsid w:val="00FB271E"/>
    <w:rsid w:val="00FB2755"/>
    <w:rsid w:val="00FB27AB"/>
    <w:rsid w:val="00FB27BD"/>
    <w:rsid w:val="00FB29D8"/>
    <w:rsid w:val="00FB2A3A"/>
    <w:rsid w:val="00FB2BCA"/>
    <w:rsid w:val="00FB2CA6"/>
    <w:rsid w:val="00FB2D4A"/>
    <w:rsid w:val="00FB2FEE"/>
    <w:rsid w:val="00FB314A"/>
    <w:rsid w:val="00FB31CC"/>
    <w:rsid w:val="00FB3434"/>
    <w:rsid w:val="00FB3B1F"/>
    <w:rsid w:val="00FB3C29"/>
    <w:rsid w:val="00FB43F8"/>
    <w:rsid w:val="00FB4937"/>
    <w:rsid w:val="00FB4955"/>
    <w:rsid w:val="00FB4B8A"/>
    <w:rsid w:val="00FB4B9A"/>
    <w:rsid w:val="00FB4C17"/>
    <w:rsid w:val="00FB557D"/>
    <w:rsid w:val="00FB5653"/>
    <w:rsid w:val="00FB5719"/>
    <w:rsid w:val="00FB590A"/>
    <w:rsid w:val="00FB5C64"/>
    <w:rsid w:val="00FB5D79"/>
    <w:rsid w:val="00FB63EB"/>
    <w:rsid w:val="00FB680D"/>
    <w:rsid w:val="00FB68BE"/>
    <w:rsid w:val="00FB6E22"/>
    <w:rsid w:val="00FB6E9F"/>
    <w:rsid w:val="00FB7197"/>
    <w:rsid w:val="00FB72D4"/>
    <w:rsid w:val="00FB7828"/>
    <w:rsid w:val="00FB78D0"/>
    <w:rsid w:val="00FB79DA"/>
    <w:rsid w:val="00FB7CF0"/>
    <w:rsid w:val="00FC0165"/>
    <w:rsid w:val="00FC040C"/>
    <w:rsid w:val="00FC0583"/>
    <w:rsid w:val="00FC0B19"/>
    <w:rsid w:val="00FC0ED3"/>
    <w:rsid w:val="00FC162C"/>
    <w:rsid w:val="00FC1D15"/>
    <w:rsid w:val="00FC2328"/>
    <w:rsid w:val="00FC24BF"/>
    <w:rsid w:val="00FC2608"/>
    <w:rsid w:val="00FC2683"/>
    <w:rsid w:val="00FC26FC"/>
    <w:rsid w:val="00FC2A62"/>
    <w:rsid w:val="00FC2AD4"/>
    <w:rsid w:val="00FC2BEE"/>
    <w:rsid w:val="00FC2F32"/>
    <w:rsid w:val="00FC33A9"/>
    <w:rsid w:val="00FC3593"/>
    <w:rsid w:val="00FC3826"/>
    <w:rsid w:val="00FC3877"/>
    <w:rsid w:val="00FC398F"/>
    <w:rsid w:val="00FC3ADD"/>
    <w:rsid w:val="00FC3B79"/>
    <w:rsid w:val="00FC3C78"/>
    <w:rsid w:val="00FC3E36"/>
    <w:rsid w:val="00FC404A"/>
    <w:rsid w:val="00FC406E"/>
    <w:rsid w:val="00FC4109"/>
    <w:rsid w:val="00FC4123"/>
    <w:rsid w:val="00FC4379"/>
    <w:rsid w:val="00FC4415"/>
    <w:rsid w:val="00FC441F"/>
    <w:rsid w:val="00FC491D"/>
    <w:rsid w:val="00FC4B05"/>
    <w:rsid w:val="00FC4BC5"/>
    <w:rsid w:val="00FC4CAB"/>
    <w:rsid w:val="00FC4CC7"/>
    <w:rsid w:val="00FC52EE"/>
    <w:rsid w:val="00FC568C"/>
    <w:rsid w:val="00FC5694"/>
    <w:rsid w:val="00FC591A"/>
    <w:rsid w:val="00FC5940"/>
    <w:rsid w:val="00FC5FFB"/>
    <w:rsid w:val="00FC6261"/>
    <w:rsid w:val="00FC6416"/>
    <w:rsid w:val="00FC6678"/>
    <w:rsid w:val="00FC677E"/>
    <w:rsid w:val="00FC689B"/>
    <w:rsid w:val="00FC68B2"/>
    <w:rsid w:val="00FC6A92"/>
    <w:rsid w:val="00FC6C56"/>
    <w:rsid w:val="00FC6F99"/>
    <w:rsid w:val="00FC72E2"/>
    <w:rsid w:val="00FC7459"/>
    <w:rsid w:val="00FC7914"/>
    <w:rsid w:val="00FC7981"/>
    <w:rsid w:val="00FC7CD9"/>
    <w:rsid w:val="00FD04E0"/>
    <w:rsid w:val="00FD0AC8"/>
    <w:rsid w:val="00FD0B71"/>
    <w:rsid w:val="00FD0C46"/>
    <w:rsid w:val="00FD0CB5"/>
    <w:rsid w:val="00FD15E1"/>
    <w:rsid w:val="00FD1683"/>
    <w:rsid w:val="00FD1C46"/>
    <w:rsid w:val="00FD1C9D"/>
    <w:rsid w:val="00FD1E9D"/>
    <w:rsid w:val="00FD1F7E"/>
    <w:rsid w:val="00FD215D"/>
    <w:rsid w:val="00FD2A52"/>
    <w:rsid w:val="00FD2C59"/>
    <w:rsid w:val="00FD2DFC"/>
    <w:rsid w:val="00FD2E5B"/>
    <w:rsid w:val="00FD2FE1"/>
    <w:rsid w:val="00FD33F8"/>
    <w:rsid w:val="00FD3418"/>
    <w:rsid w:val="00FD34FE"/>
    <w:rsid w:val="00FD3891"/>
    <w:rsid w:val="00FD38D6"/>
    <w:rsid w:val="00FD3E88"/>
    <w:rsid w:val="00FD4152"/>
    <w:rsid w:val="00FD41B2"/>
    <w:rsid w:val="00FD42DA"/>
    <w:rsid w:val="00FD46CE"/>
    <w:rsid w:val="00FD4AF1"/>
    <w:rsid w:val="00FD4B2A"/>
    <w:rsid w:val="00FD4FF9"/>
    <w:rsid w:val="00FD514F"/>
    <w:rsid w:val="00FD5223"/>
    <w:rsid w:val="00FD55A7"/>
    <w:rsid w:val="00FD574C"/>
    <w:rsid w:val="00FD58AA"/>
    <w:rsid w:val="00FD58CA"/>
    <w:rsid w:val="00FD58E2"/>
    <w:rsid w:val="00FD5912"/>
    <w:rsid w:val="00FD5C08"/>
    <w:rsid w:val="00FD5C1E"/>
    <w:rsid w:val="00FD5ECB"/>
    <w:rsid w:val="00FD6092"/>
    <w:rsid w:val="00FD60E4"/>
    <w:rsid w:val="00FD64E4"/>
    <w:rsid w:val="00FD65C0"/>
    <w:rsid w:val="00FD6757"/>
    <w:rsid w:val="00FD688A"/>
    <w:rsid w:val="00FD6902"/>
    <w:rsid w:val="00FD6B84"/>
    <w:rsid w:val="00FD6D89"/>
    <w:rsid w:val="00FD6E6C"/>
    <w:rsid w:val="00FD6E9D"/>
    <w:rsid w:val="00FD6F8F"/>
    <w:rsid w:val="00FD71D1"/>
    <w:rsid w:val="00FD7301"/>
    <w:rsid w:val="00FD73B4"/>
    <w:rsid w:val="00FD785F"/>
    <w:rsid w:val="00FD7A8D"/>
    <w:rsid w:val="00FD7A93"/>
    <w:rsid w:val="00FD7ECB"/>
    <w:rsid w:val="00FE0230"/>
    <w:rsid w:val="00FE02DA"/>
    <w:rsid w:val="00FE0353"/>
    <w:rsid w:val="00FE040D"/>
    <w:rsid w:val="00FE0557"/>
    <w:rsid w:val="00FE0AE1"/>
    <w:rsid w:val="00FE0D7B"/>
    <w:rsid w:val="00FE0E3B"/>
    <w:rsid w:val="00FE0E50"/>
    <w:rsid w:val="00FE101B"/>
    <w:rsid w:val="00FE11F2"/>
    <w:rsid w:val="00FE1323"/>
    <w:rsid w:val="00FE1607"/>
    <w:rsid w:val="00FE1A60"/>
    <w:rsid w:val="00FE1C54"/>
    <w:rsid w:val="00FE1D63"/>
    <w:rsid w:val="00FE205B"/>
    <w:rsid w:val="00FE257E"/>
    <w:rsid w:val="00FE25AB"/>
    <w:rsid w:val="00FE2979"/>
    <w:rsid w:val="00FE2AFC"/>
    <w:rsid w:val="00FE2EFE"/>
    <w:rsid w:val="00FE2FD4"/>
    <w:rsid w:val="00FE327C"/>
    <w:rsid w:val="00FE3711"/>
    <w:rsid w:val="00FE373D"/>
    <w:rsid w:val="00FE379A"/>
    <w:rsid w:val="00FE3A95"/>
    <w:rsid w:val="00FE3ADC"/>
    <w:rsid w:val="00FE40F5"/>
    <w:rsid w:val="00FE42C9"/>
    <w:rsid w:val="00FE48A2"/>
    <w:rsid w:val="00FE4951"/>
    <w:rsid w:val="00FE4A38"/>
    <w:rsid w:val="00FE4D4C"/>
    <w:rsid w:val="00FE4F34"/>
    <w:rsid w:val="00FE5052"/>
    <w:rsid w:val="00FE554B"/>
    <w:rsid w:val="00FE55BD"/>
    <w:rsid w:val="00FE58C4"/>
    <w:rsid w:val="00FE58CA"/>
    <w:rsid w:val="00FE5A7C"/>
    <w:rsid w:val="00FE5DD8"/>
    <w:rsid w:val="00FE6257"/>
    <w:rsid w:val="00FE64E5"/>
    <w:rsid w:val="00FE698A"/>
    <w:rsid w:val="00FE6A3E"/>
    <w:rsid w:val="00FE6A97"/>
    <w:rsid w:val="00FE6EA4"/>
    <w:rsid w:val="00FE6F20"/>
    <w:rsid w:val="00FE7158"/>
    <w:rsid w:val="00FE7598"/>
    <w:rsid w:val="00FE7659"/>
    <w:rsid w:val="00FE7795"/>
    <w:rsid w:val="00FE7B3A"/>
    <w:rsid w:val="00FE7F23"/>
    <w:rsid w:val="00FE7F2C"/>
    <w:rsid w:val="00FF017F"/>
    <w:rsid w:val="00FF03C9"/>
    <w:rsid w:val="00FF0466"/>
    <w:rsid w:val="00FF0798"/>
    <w:rsid w:val="00FF080C"/>
    <w:rsid w:val="00FF0870"/>
    <w:rsid w:val="00FF090D"/>
    <w:rsid w:val="00FF116A"/>
    <w:rsid w:val="00FF1C83"/>
    <w:rsid w:val="00FF1F99"/>
    <w:rsid w:val="00FF1FC6"/>
    <w:rsid w:val="00FF1FDB"/>
    <w:rsid w:val="00FF2211"/>
    <w:rsid w:val="00FF22AA"/>
    <w:rsid w:val="00FF2339"/>
    <w:rsid w:val="00FF23DC"/>
    <w:rsid w:val="00FF2466"/>
    <w:rsid w:val="00FF247E"/>
    <w:rsid w:val="00FF251B"/>
    <w:rsid w:val="00FF25B4"/>
    <w:rsid w:val="00FF2607"/>
    <w:rsid w:val="00FF26A1"/>
    <w:rsid w:val="00FF270E"/>
    <w:rsid w:val="00FF2897"/>
    <w:rsid w:val="00FF299B"/>
    <w:rsid w:val="00FF2E63"/>
    <w:rsid w:val="00FF2F87"/>
    <w:rsid w:val="00FF305E"/>
    <w:rsid w:val="00FF31AD"/>
    <w:rsid w:val="00FF32EA"/>
    <w:rsid w:val="00FF335A"/>
    <w:rsid w:val="00FF3386"/>
    <w:rsid w:val="00FF33C5"/>
    <w:rsid w:val="00FF3421"/>
    <w:rsid w:val="00FF34DF"/>
    <w:rsid w:val="00FF3A94"/>
    <w:rsid w:val="00FF3B33"/>
    <w:rsid w:val="00FF3F6B"/>
    <w:rsid w:val="00FF413C"/>
    <w:rsid w:val="00FF4390"/>
    <w:rsid w:val="00FF4A82"/>
    <w:rsid w:val="00FF4AC2"/>
    <w:rsid w:val="00FF4E5B"/>
    <w:rsid w:val="00FF4EBD"/>
    <w:rsid w:val="00FF4FA5"/>
    <w:rsid w:val="00FF5288"/>
    <w:rsid w:val="00FF5332"/>
    <w:rsid w:val="00FF54BB"/>
    <w:rsid w:val="00FF56B0"/>
    <w:rsid w:val="00FF575C"/>
    <w:rsid w:val="00FF578D"/>
    <w:rsid w:val="00FF5799"/>
    <w:rsid w:val="00FF57B2"/>
    <w:rsid w:val="00FF599B"/>
    <w:rsid w:val="00FF5A58"/>
    <w:rsid w:val="00FF5DBC"/>
    <w:rsid w:val="00FF5E37"/>
    <w:rsid w:val="00FF6091"/>
    <w:rsid w:val="00FF60AC"/>
    <w:rsid w:val="00FF616B"/>
    <w:rsid w:val="00FF6251"/>
    <w:rsid w:val="00FF62AA"/>
    <w:rsid w:val="00FF639B"/>
    <w:rsid w:val="00FF63C0"/>
    <w:rsid w:val="00FF677D"/>
    <w:rsid w:val="00FF6B51"/>
    <w:rsid w:val="00FF6CA7"/>
    <w:rsid w:val="00FF700E"/>
    <w:rsid w:val="00FF73FF"/>
    <w:rsid w:val="00FF77B8"/>
    <w:rsid w:val="00FF77EA"/>
    <w:rsid w:val="00FF7901"/>
    <w:rsid w:val="00FF7B22"/>
    <w:rsid w:val="00FF7B9C"/>
    <w:rsid w:val="02E055BF"/>
    <w:rsid w:val="1CF90005"/>
    <w:rsid w:val="316A5E54"/>
    <w:rsid w:val="3233903A"/>
    <w:rsid w:val="42850DB3"/>
    <w:rsid w:val="43A0F889"/>
    <w:rsid w:val="77799E6B"/>
    <w:rsid w:val="79D11462"/>
    <w:rsid w:val="7AD94CD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BFD798"/>
  <w14:defaultImageDpi w14:val="330"/>
  <w15:chartTrackingRefBased/>
  <w15:docId w15:val="{C0885B25-B1A5-46AD-AE68-2EF9CADB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uiPriority w:val="1"/>
    <w:qFormat/>
    <w:rsid w:val="00515C59"/>
    <w:pPr>
      <w:spacing w:before="120" w:after="120" w:line="276" w:lineRule="auto"/>
      <w:jc w:val="both"/>
    </w:pPr>
    <w:rPr>
      <w:lang w:val="lv-LV"/>
    </w:rPr>
  </w:style>
  <w:style w:type="paragraph" w:styleId="Virsraksts1">
    <w:name w:val="heading 1"/>
    <w:basedOn w:val="Parasts"/>
    <w:next w:val="Parasts"/>
    <w:link w:val="Virsraksts1Rakstz"/>
    <w:uiPriority w:val="9"/>
    <w:qFormat/>
    <w:rsid w:val="00A019FA"/>
    <w:pPr>
      <w:keepNext/>
      <w:keepLines/>
      <w:spacing w:before="400" w:line="264" w:lineRule="auto"/>
      <w:outlineLvl w:val="0"/>
    </w:pPr>
    <w:rPr>
      <w:rFonts w:asciiTheme="majorHAnsi" w:eastAsiaTheme="majorEastAsia" w:hAnsiTheme="majorHAnsi" w:cstheme="majorBidi"/>
      <w:color w:val="1A1A1A" w:themeColor="accent1" w:themeShade="BF"/>
      <w:sz w:val="40"/>
      <w:szCs w:val="32"/>
    </w:rPr>
  </w:style>
  <w:style w:type="paragraph" w:styleId="Virsraksts2">
    <w:name w:val="heading 2"/>
    <w:basedOn w:val="Virsraksts1"/>
    <w:next w:val="Parasts"/>
    <w:link w:val="Virsraksts2Rakstz"/>
    <w:uiPriority w:val="9"/>
    <w:qFormat/>
    <w:rsid w:val="00A019FA"/>
    <w:pPr>
      <w:spacing w:before="200"/>
      <w:outlineLvl w:val="1"/>
    </w:pPr>
    <w:rPr>
      <w:sz w:val="28"/>
      <w:szCs w:val="26"/>
    </w:rPr>
  </w:style>
  <w:style w:type="paragraph" w:styleId="Virsraksts3">
    <w:name w:val="heading 3"/>
    <w:basedOn w:val="Parasts"/>
    <w:next w:val="Parasts"/>
    <w:link w:val="Virsraksts3Rakstz"/>
    <w:uiPriority w:val="2"/>
    <w:qFormat/>
    <w:rsid w:val="00A019FA"/>
    <w:pPr>
      <w:keepNext/>
      <w:keepLines/>
      <w:spacing w:before="160"/>
      <w:outlineLvl w:val="2"/>
    </w:pPr>
    <w:rPr>
      <w:rFonts w:asciiTheme="majorHAnsi" w:eastAsiaTheme="majorEastAsia" w:hAnsiTheme="majorHAnsi" w:cstheme="majorBidi"/>
      <w:color w:val="111111" w:themeColor="accent1" w:themeShade="7F"/>
      <w:sz w:val="24"/>
      <w:szCs w:val="24"/>
    </w:rPr>
  </w:style>
  <w:style w:type="paragraph" w:styleId="Virsraksts4">
    <w:name w:val="heading 4"/>
    <w:basedOn w:val="Parasts"/>
    <w:next w:val="Parasts"/>
    <w:link w:val="Virsraksts4Rakstz"/>
    <w:uiPriority w:val="2"/>
    <w:unhideWhenUsed/>
    <w:qFormat/>
    <w:rsid w:val="00A019FA"/>
    <w:pPr>
      <w:keepNext/>
      <w:keepLines/>
      <w:spacing w:before="40" w:after="0"/>
      <w:outlineLvl w:val="3"/>
    </w:pPr>
    <w:rPr>
      <w:rFonts w:asciiTheme="majorHAnsi" w:eastAsiaTheme="majorEastAsia" w:hAnsiTheme="majorHAnsi" w:cstheme="majorBidi"/>
      <w:iCs/>
      <w:color w:val="1A1A1A" w:themeColor="accent1" w:themeShade="BF"/>
    </w:rPr>
  </w:style>
  <w:style w:type="paragraph" w:styleId="Virsraksts5">
    <w:name w:val="heading 5"/>
    <w:basedOn w:val="Parasts"/>
    <w:next w:val="Parasts"/>
    <w:link w:val="Virsraksts5Rakstz"/>
    <w:uiPriority w:val="2"/>
    <w:unhideWhenUsed/>
    <w:qFormat/>
    <w:rsid w:val="006774A8"/>
    <w:pPr>
      <w:keepNext/>
      <w:keepLines/>
      <w:spacing w:before="40" w:after="0"/>
      <w:outlineLvl w:val="4"/>
    </w:pPr>
    <w:rPr>
      <w:rFonts w:asciiTheme="majorHAnsi" w:eastAsiaTheme="majorEastAsia" w:hAnsiTheme="majorHAnsi" w:cstheme="majorBidi"/>
      <w:color w:val="82009B" w:themeColor="accent6"/>
    </w:rPr>
  </w:style>
  <w:style w:type="paragraph" w:styleId="Virsraksts6">
    <w:name w:val="heading 6"/>
    <w:basedOn w:val="Parasts"/>
    <w:next w:val="Parasts"/>
    <w:link w:val="Virsraksts6Rakstz"/>
    <w:uiPriority w:val="2"/>
    <w:unhideWhenUsed/>
    <w:qFormat/>
    <w:rsid w:val="00A019FA"/>
    <w:pPr>
      <w:keepNext/>
      <w:keepLines/>
      <w:spacing w:before="40" w:after="0"/>
      <w:outlineLvl w:val="5"/>
    </w:pPr>
    <w:rPr>
      <w:rFonts w:asciiTheme="majorHAnsi" w:eastAsiaTheme="majorEastAsia" w:hAnsiTheme="majorHAnsi" w:cstheme="majorBidi"/>
      <w:color w:val="3CEB9D" w:themeColor="accent5"/>
    </w:rPr>
  </w:style>
  <w:style w:type="paragraph" w:styleId="Virsraksts7">
    <w:name w:val="heading 7"/>
    <w:basedOn w:val="Parasts"/>
    <w:next w:val="Parasts"/>
    <w:link w:val="Virsraksts7Rakstz"/>
    <w:uiPriority w:val="2"/>
    <w:unhideWhenUsed/>
    <w:qFormat/>
    <w:rsid w:val="00E80984"/>
    <w:pPr>
      <w:keepNext/>
      <w:keepLines/>
      <w:spacing w:before="40" w:after="0"/>
      <w:outlineLvl w:val="6"/>
    </w:pPr>
    <w:rPr>
      <w:rFonts w:asciiTheme="majorHAnsi" w:eastAsiaTheme="majorEastAsia" w:hAnsiTheme="majorHAnsi" w:cstheme="majorBidi"/>
      <w:iCs/>
      <w:color w:val="ACAEAC" w:themeColor="accent2"/>
    </w:rPr>
  </w:style>
  <w:style w:type="paragraph" w:styleId="Virsraksts8">
    <w:name w:val="heading 8"/>
    <w:basedOn w:val="Parasts"/>
    <w:next w:val="Parasts"/>
    <w:link w:val="Virsraksts8Rakstz"/>
    <w:uiPriority w:val="2"/>
    <w:semiHidden/>
    <w:unhideWhenUsed/>
    <w:qFormat/>
    <w:rsid w:val="00E80984"/>
    <w:pPr>
      <w:keepNext/>
      <w:keepLines/>
      <w:spacing w:before="40" w:after="0"/>
      <w:outlineLvl w:val="7"/>
    </w:pPr>
    <w:rPr>
      <w:rFonts w:asciiTheme="majorHAnsi" w:eastAsiaTheme="majorEastAsia" w:hAnsiTheme="majorHAnsi" w:cstheme="majorBidi"/>
      <w:color w:val="E6E6E6" w:themeColor="accent3"/>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07FA1"/>
    <w:rPr>
      <w:rFonts w:asciiTheme="majorHAnsi" w:eastAsiaTheme="majorEastAsia" w:hAnsiTheme="majorHAnsi" w:cstheme="majorBidi"/>
      <w:color w:val="1A1A1A" w:themeColor="accent1" w:themeShade="BF"/>
      <w:sz w:val="40"/>
      <w:szCs w:val="32"/>
      <w:lang w:val="en-US"/>
    </w:rPr>
  </w:style>
  <w:style w:type="character" w:customStyle="1" w:styleId="Virsraksts2Rakstz">
    <w:name w:val="Virsraksts 2 Rakstz."/>
    <w:basedOn w:val="Noklusjumarindkopasfonts"/>
    <w:link w:val="Virsraksts2"/>
    <w:uiPriority w:val="9"/>
    <w:rsid w:val="00707FA1"/>
    <w:rPr>
      <w:rFonts w:asciiTheme="majorHAnsi" w:eastAsiaTheme="majorEastAsia" w:hAnsiTheme="majorHAnsi" w:cstheme="majorBidi"/>
      <w:color w:val="1A1A1A" w:themeColor="accent1" w:themeShade="BF"/>
      <w:sz w:val="28"/>
      <w:szCs w:val="26"/>
      <w:lang w:val="en-US"/>
    </w:rPr>
  </w:style>
  <w:style w:type="character" w:customStyle="1" w:styleId="Virsraksts3Rakstz">
    <w:name w:val="Virsraksts 3 Rakstz."/>
    <w:basedOn w:val="Noklusjumarindkopasfonts"/>
    <w:link w:val="Virsraksts3"/>
    <w:uiPriority w:val="2"/>
    <w:rsid w:val="00707FA1"/>
    <w:rPr>
      <w:rFonts w:asciiTheme="majorHAnsi" w:eastAsiaTheme="majorEastAsia" w:hAnsiTheme="majorHAnsi" w:cstheme="majorBidi"/>
      <w:color w:val="111111" w:themeColor="accent1" w:themeShade="7F"/>
      <w:sz w:val="24"/>
      <w:szCs w:val="24"/>
      <w:lang w:val="en-US"/>
    </w:rPr>
  </w:style>
  <w:style w:type="character" w:customStyle="1" w:styleId="Virsraksts4Rakstz">
    <w:name w:val="Virsraksts 4 Rakstz."/>
    <w:basedOn w:val="Noklusjumarindkopasfonts"/>
    <w:link w:val="Virsraksts4"/>
    <w:uiPriority w:val="2"/>
    <w:rsid w:val="00707FA1"/>
    <w:rPr>
      <w:rFonts w:asciiTheme="majorHAnsi" w:eastAsiaTheme="majorEastAsia" w:hAnsiTheme="majorHAnsi" w:cstheme="majorBidi"/>
      <w:iCs/>
      <w:color w:val="1A1A1A" w:themeColor="accent1" w:themeShade="BF"/>
      <w:lang w:val="en-US"/>
    </w:rPr>
  </w:style>
  <w:style w:type="character" w:customStyle="1" w:styleId="Virsraksts5Rakstz">
    <w:name w:val="Virsraksts 5 Rakstz."/>
    <w:basedOn w:val="Noklusjumarindkopasfonts"/>
    <w:link w:val="Virsraksts5"/>
    <w:uiPriority w:val="2"/>
    <w:rsid w:val="00707FA1"/>
    <w:rPr>
      <w:rFonts w:asciiTheme="majorHAnsi" w:eastAsiaTheme="majorEastAsia" w:hAnsiTheme="majorHAnsi" w:cstheme="majorBidi"/>
      <w:color w:val="82009B" w:themeColor="accent6"/>
      <w:lang w:val="en-US"/>
    </w:rPr>
  </w:style>
  <w:style w:type="character" w:customStyle="1" w:styleId="Virsraksts6Rakstz">
    <w:name w:val="Virsraksts 6 Rakstz."/>
    <w:basedOn w:val="Noklusjumarindkopasfonts"/>
    <w:link w:val="Virsraksts6"/>
    <w:uiPriority w:val="2"/>
    <w:rsid w:val="00707FA1"/>
    <w:rPr>
      <w:rFonts w:asciiTheme="majorHAnsi" w:eastAsiaTheme="majorEastAsia" w:hAnsiTheme="majorHAnsi" w:cstheme="majorBidi"/>
      <w:color w:val="3CEB9D" w:themeColor="accent5"/>
      <w:lang w:val="en-US"/>
    </w:rPr>
  </w:style>
  <w:style w:type="paragraph" w:styleId="Nosaukums">
    <w:name w:val="Title"/>
    <w:basedOn w:val="Parasts"/>
    <w:next w:val="Parasts"/>
    <w:link w:val="NosaukumsRakstz"/>
    <w:uiPriority w:val="10"/>
    <w:qFormat/>
    <w:rsid w:val="00F53547"/>
    <w:pPr>
      <w:spacing w:after="0" w:line="240" w:lineRule="auto"/>
      <w:contextualSpacing/>
    </w:pPr>
    <w:rPr>
      <w:rFonts w:asciiTheme="majorHAnsi" w:eastAsiaTheme="majorEastAsia" w:hAnsiTheme="majorHAnsi" w:cstheme="majorBidi"/>
      <w:b/>
      <w:kern w:val="28"/>
      <w:sz w:val="64"/>
      <w:szCs w:val="56"/>
    </w:rPr>
  </w:style>
  <w:style w:type="character" w:customStyle="1" w:styleId="NosaukumsRakstz">
    <w:name w:val="Nosaukums Rakstz."/>
    <w:basedOn w:val="Noklusjumarindkopasfonts"/>
    <w:link w:val="Nosaukums"/>
    <w:uiPriority w:val="10"/>
    <w:rsid w:val="00F53547"/>
    <w:rPr>
      <w:rFonts w:asciiTheme="majorHAnsi" w:eastAsiaTheme="majorEastAsia" w:hAnsiTheme="majorHAnsi" w:cstheme="majorBidi"/>
      <w:b/>
      <w:kern w:val="28"/>
      <w:sz w:val="64"/>
      <w:szCs w:val="56"/>
    </w:rPr>
  </w:style>
  <w:style w:type="paragraph" w:styleId="Apakvirsraksts">
    <w:name w:val="Subtitle"/>
    <w:basedOn w:val="Parasts"/>
    <w:next w:val="Parasts"/>
    <w:link w:val="ApakvirsrakstsRakstz"/>
    <w:uiPriority w:val="11"/>
    <w:qFormat/>
    <w:rsid w:val="00BD2319"/>
    <w:pPr>
      <w:numPr>
        <w:ilvl w:val="1"/>
      </w:numPr>
      <w:spacing w:before="240" w:after="240"/>
    </w:pPr>
    <w:rPr>
      <w:rFonts w:eastAsiaTheme="minorEastAsia"/>
      <w:color w:val="ACAEAC" w:themeColor="accent2"/>
      <w:sz w:val="40"/>
    </w:rPr>
  </w:style>
  <w:style w:type="character" w:customStyle="1" w:styleId="ApakvirsrakstsRakstz">
    <w:name w:val="Apakšvirsraksts Rakstz."/>
    <w:basedOn w:val="Noklusjumarindkopasfonts"/>
    <w:link w:val="Apakvirsraksts"/>
    <w:uiPriority w:val="11"/>
    <w:rsid w:val="00BD2319"/>
    <w:rPr>
      <w:rFonts w:eastAsiaTheme="minorEastAsia"/>
      <w:color w:val="ACAEAC" w:themeColor="accent2"/>
      <w:sz w:val="40"/>
    </w:rPr>
  </w:style>
  <w:style w:type="character" w:styleId="Grmatasnosaukums">
    <w:name w:val="Book Title"/>
    <w:basedOn w:val="Noklusjumarindkopasfonts"/>
    <w:uiPriority w:val="33"/>
    <w:semiHidden/>
    <w:qFormat/>
    <w:rsid w:val="0056786E"/>
    <w:rPr>
      <w:b/>
      <w:bCs/>
      <w:i/>
      <w:iCs/>
      <w:spacing w:val="5"/>
    </w:rPr>
  </w:style>
  <w:style w:type="paragraph" w:styleId="Saturardtjavirsraksts">
    <w:name w:val="TOC Heading"/>
    <w:basedOn w:val="Virsraksts1"/>
    <w:next w:val="Parasts"/>
    <w:uiPriority w:val="39"/>
    <w:qFormat/>
    <w:rsid w:val="003619A6"/>
    <w:pPr>
      <w:outlineLvl w:val="9"/>
    </w:pPr>
    <w:rPr>
      <w:color w:val="232323" w:themeColor="accent1"/>
      <w:kern w:val="0"/>
      <w:sz w:val="72"/>
      <w14:ligatures w14:val="none"/>
    </w:rPr>
  </w:style>
  <w:style w:type="paragraph" w:styleId="Saturs1">
    <w:name w:val="toc 1"/>
    <w:basedOn w:val="Parasts"/>
    <w:next w:val="Parasts"/>
    <w:autoRedefine/>
    <w:uiPriority w:val="39"/>
    <w:rsid w:val="00D653D2"/>
    <w:pPr>
      <w:tabs>
        <w:tab w:val="left" w:pos="397"/>
        <w:tab w:val="right" w:leader="dot" w:pos="10252"/>
      </w:tabs>
      <w:spacing w:before="240" w:after="100"/>
      <w:ind w:left="57" w:firstLine="57"/>
    </w:pPr>
  </w:style>
  <w:style w:type="paragraph" w:styleId="Saturs2">
    <w:name w:val="toc 2"/>
    <w:basedOn w:val="Parasts"/>
    <w:next w:val="Parasts"/>
    <w:autoRedefine/>
    <w:uiPriority w:val="39"/>
    <w:rsid w:val="00D653D2"/>
    <w:pPr>
      <w:spacing w:after="100"/>
      <w:ind w:left="340" w:firstLine="340"/>
    </w:pPr>
  </w:style>
  <w:style w:type="paragraph" w:styleId="Saturs3">
    <w:name w:val="toc 3"/>
    <w:basedOn w:val="Parasts"/>
    <w:next w:val="Parasts"/>
    <w:autoRedefine/>
    <w:uiPriority w:val="39"/>
    <w:rsid w:val="00D653D2"/>
    <w:pPr>
      <w:spacing w:after="100"/>
      <w:ind w:left="1361" w:hanging="340"/>
    </w:pPr>
  </w:style>
  <w:style w:type="character" w:styleId="Hipersaite">
    <w:name w:val="Hyperlink"/>
    <w:basedOn w:val="Noklusjumarindkopasfonts"/>
    <w:uiPriority w:val="99"/>
    <w:rsid w:val="0056786E"/>
    <w:rPr>
      <w:color w:val="82009B" w:themeColor="hyperlink"/>
      <w:u w:val="single"/>
    </w:rPr>
  </w:style>
  <w:style w:type="character" w:styleId="Izteiksmgs">
    <w:name w:val="Strong"/>
    <w:basedOn w:val="Noklusjumarindkopasfonts"/>
    <w:uiPriority w:val="22"/>
    <w:qFormat/>
    <w:rsid w:val="0089712F"/>
    <w:rPr>
      <w:b/>
      <w:bCs/>
    </w:rPr>
  </w:style>
  <w:style w:type="character" w:styleId="Izclums">
    <w:name w:val="Emphasis"/>
    <w:basedOn w:val="Noklusjumarindkopasfonts"/>
    <w:uiPriority w:val="20"/>
    <w:qFormat/>
    <w:rsid w:val="0089712F"/>
    <w:rPr>
      <w:i/>
      <w:iCs/>
    </w:rPr>
  </w:style>
  <w:style w:type="character" w:customStyle="1" w:styleId="YellowText">
    <w:name w:val="Yellow Text"/>
    <w:basedOn w:val="Noklusjumarindkopasfonts"/>
    <w:uiPriority w:val="4"/>
    <w:qFormat/>
    <w:rsid w:val="0089712F"/>
    <w:rPr>
      <w:color w:val="EBFE41" w:themeColor="accent4"/>
    </w:rPr>
  </w:style>
  <w:style w:type="paragraph" w:customStyle="1" w:styleId="DarkBlock">
    <w:name w:val="Dark Block"/>
    <w:basedOn w:val="Parasts"/>
    <w:link w:val="DarkBlockChar"/>
    <w:uiPriority w:val="14"/>
    <w:qFormat/>
    <w:rsid w:val="001F1D08"/>
    <w:pPr>
      <w:pBdr>
        <w:top w:val="single" w:sz="48" w:space="31" w:color="232323" w:themeColor="text2"/>
        <w:left w:val="single" w:sz="48" w:space="31" w:color="232323" w:themeColor="text2"/>
        <w:bottom w:val="single" w:sz="48" w:space="31" w:color="232323" w:themeColor="text2"/>
        <w:right w:val="single" w:sz="48" w:space="31" w:color="232323" w:themeColor="text2"/>
      </w:pBdr>
      <w:shd w:val="clear" w:color="auto" w:fill="232323" w:themeFill="text2"/>
      <w:ind w:left="-68" w:right="-68"/>
    </w:pPr>
    <w:rPr>
      <w:rFonts w:asciiTheme="majorHAnsi" w:hAnsiTheme="majorHAnsi"/>
      <w:color w:val="FEFEFE" w:themeColor="background1"/>
      <w:sz w:val="56"/>
    </w:rPr>
  </w:style>
  <w:style w:type="paragraph" w:styleId="Bezatstarpm">
    <w:name w:val="No Spacing"/>
    <w:link w:val="BezatstarpmRakstz"/>
    <w:uiPriority w:val="1"/>
    <w:qFormat/>
    <w:rsid w:val="009174DF"/>
    <w:pPr>
      <w:spacing w:after="0" w:line="240" w:lineRule="auto"/>
    </w:pPr>
  </w:style>
  <w:style w:type="paragraph" w:styleId="Galvene">
    <w:name w:val="header"/>
    <w:basedOn w:val="Parasts"/>
    <w:link w:val="GalveneRakstz"/>
    <w:uiPriority w:val="99"/>
    <w:semiHidden/>
    <w:rsid w:val="00F00630"/>
    <w:pPr>
      <w:tabs>
        <w:tab w:val="center" w:pos="4513"/>
        <w:tab w:val="right" w:pos="9026"/>
      </w:tabs>
      <w:spacing w:before="40" w:after="40" w:line="240" w:lineRule="auto"/>
      <w:jc w:val="right"/>
    </w:pPr>
    <w:rPr>
      <w:color w:val="909090" w:themeColor="text1" w:themeTint="80"/>
      <w:sz w:val="19"/>
    </w:rPr>
  </w:style>
  <w:style w:type="character" w:customStyle="1" w:styleId="GalveneRakstz">
    <w:name w:val="Galvene Rakstz."/>
    <w:basedOn w:val="Noklusjumarindkopasfonts"/>
    <w:link w:val="Galvene"/>
    <w:uiPriority w:val="99"/>
    <w:semiHidden/>
    <w:rsid w:val="00707FA1"/>
    <w:rPr>
      <w:color w:val="909090" w:themeColor="text1" w:themeTint="80"/>
      <w:sz w:val="19"/>
      <w:lang w:val="en-US"/>
    </w:rPr>
  </w:style>
  <w:style w:type="paragraph" w:styleId="Kjene">
    <w:name w:val="footer"/>
    <w:basedOn w:val="Parasts"/>
    <w:link w:val="KjeneRakstz"/>
    <w:uiPriority w:val="99"/>
    <w:rsid w:val="00BA2BE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07FA1"/>
    <w:rPr>
      <w:lang w:val="en-US"/>
    </w:rPr>
  </w:style>
  <w:style w:type="paragraph" w:customStyle="1" w:styleId="SectionHeader">
    <w:name w:val="Section Header"/>
    <w:basedOn w:val="Virsraksts1"/>
    <w:link w:val="SectionHeaderChar"/>
    <w:uiPriority w:val="13"/>
    <w:qFormat/>
    <w:rsid w:val="003C0669"/>
    <w:pPr>
      <w:numPr>
        <w:numId w:val="6"/>
      </w:numPr>
      <w:ind w:left="0" w:firstLine="0"/>
    </w:pPr>
    <w:rPr>
      <w:sz w:val="72"/>
    </w:rPr>
  </w:style>
  <w:style w:type="paragraph" w:customStyle="1" w:styleId="SectionSubtitle">
    <w:name w:val="Section Subtitle"/>
    <w:basedOn w:val="Apakvirsraksts"/>
    <w:uiPriority w:val="24"/>
    <w:qFormat/>
    <w:rsid w:val="00A019FA"/>
    <w:pPr>
      <w:spacing w:before="160" w:line="269" w:lineRule="auto"/>
    </w:pPr>
    <w:rPr>
      <w:color w:val="82009B" w:themeColor="accent6"/>
    </w:rPr>
  </w:style>
  <w:style w:type="character" w:styleId="Vietturateksts">
    <w:name w:val="Placeholder Text"/>
    <w:basedOn w:val="Noklusjumarindkopasfonts"/>
    <w:uiPriority w:val="99"/>
    <w:semiHidden/>
    <w:rsid w:val="00450ED5"/>
    <w:rPr>
      <w:color w:val="666666"/>
    </w:rPr>
  </w:style>
  <w:style w:type="paragraph" w:customStyle="1" w:styleId="GraphiteBlock">
    <w:name w:val="Graphite Block"/>
    <w:basedOn w:val="DarkBlock"/>
    <w:uiPriority w:val="8"/>
    <w:qFormat/>
    <w:rsid w:val="007D745F"/>
    <w:pPr>
      <w:pBdr>
        <w:top w:val="single" w:sz="48" w:space="20" w:color="232323" w:themeColor="text2"/>
        <w:bottom w:val="single" w:sz="48" w:space="20" w:color="232323" w:themeColor="text2"/>
      </w:pBdr>
      <w:spacing w:line="264" w:lineRule="auto"/>
    </w:pPr>
    <w:rPr>
      <w:rFonts w:asciiTheme="minorHAnsi" w:hAnsiTheme="minorHAnsi"/>
      <w:noProof/>
      <w:sz w:val="28"/>
    </w:rPr>
  </w:style>
  <w:style w:type="paragraph" w:customStyle="1" w:styleId="MintBlock">
    <w:name w:val="Mint Block"/>
    <w:basedOn w:val="GraphiteBlock"/>
    <w:uiPriority w:val="8"/>
    <w:qFormat/>
    <w:rsid w:val="007D745F"/>
    <w:pPr>
      <w:pBdr>
        <w:top w:val="single" w:sz="48" w:space="20" w:color="3CEB9D" w:themeColor="accent5"/>
        <w:left w:val="single" w:sz="48" w:space="31" w:color="3CEB9D" w:themeColor="accent5"/>
        <w:bottom w:val="single" w:sz="48" w:space="20" w:color="3CEB9D" w:themeColor="accent5"/>
        <w:right w:val="single" w:sz="48" w:space="31" w:color="3CEB9D" w:themeColor="accent5"/>
      </w:pBdr>
      <w:shd w:val="clear" w:color="auto" w:fill="3CEB9D" w:themeFill="accent5"/>
    </w:pPr>
    <w:rPr>
      <w:color w:val="auto"/>
    </w:rPr>
  </w:style>
  <w:style w:type="paragraph" w:customStyle="1" w:styleId="PurpleBlock">
    <w:name w:val="Purple Block"/>
    <w:basedOn w:val="MintBlock"/>
    <w:uiPriority w:val="8"/>
    <w:qFormat/>
    <w:rsid w:val="007D745F"/>
    <w:pPr>
      <w:pBdr>
        <w:top w:val="single" w:sz="48" w:space="20" w:color="82009B" w:themeColor="accent6"/>
        <w:left w:val="single" w:sz="48" w:space="31" w:color="82009B" w:themeColor="accent6"/>
        <w:bottom w:val="single" w:sz="48" w:space="20" w:color="82009B" w:themeColor="accent6"/>
        <w:right w:val="single" w:sz="48" w:space="31" w:color="82009B" w:themeColor="accent6"/>
      </w:pBdr>
      <w:shd w:val="clear" w:color="auto" w:fill="82009B" w:themeFill="accent6"/>
    </w:pPr>
  </w:style>
  <w:style w:type="paragraph" w:customStyle="1" w:styleId="YellowBlock">
    <w:name w:val="Yellow Block"/>
    <w:basedOn w:val="PurpleBlock"/>
    <w:uiPriority w:val="8"/>
    <w:qFormat/>
    <w:rsid w:val="007D745F"/>
    <w:pPr>
      <w:pBdr>
        <w:top w:val="single" w:sz="48" w:space="20" w:color="EBFE41" w:themeColor="accent4"/>
        <w:left w:val="single" w:sz="48" w:space="31" w:color="EBFE41" w:themeColor="accent4"/>
        <w:bottom w:val="single" w:sz="48" w:space="20" w:color="EBFE41" w:themeColor="accent4"/>
        <w:right w:val="single" w:sz="48" w:space="31" w:color="EBFE41" w:themeColor="accent4"/>
      </w:pBdr>
      <w:shd w:val="clear" w:color="auto" w:fill="EBFE41" w:themeFill="accent4"/>
    </w:pPr>
  </w:style>
  <w:style w:type="paragraph" w:customStyle="1" w:styleId="AshGreyBlock">
    <w:name w:val="Ash Grey Block"/>
    <w:basedOn w:val="YellowBlock"/>
    <w:uiPriority w:val="8"/>
    <w:qFormat/>
    <w:rsid w:val="007D745F"/>
    <w:pPr>
      <w:pBdr>
        <w:top w:val="single" w:sz="48" w:space="20" w:color="ACAEAC" w:themeColor="accent2"/>
        <w:left w:val="single" w:sz="48" w:space="31" w:color="ACAEAC" w:themeColor="accent2"/>
        <w:bottom w:val="single" w:sz="48" w:space="20" w:color="ACAEAC" w:themeColor="accent2"/>
        <w:right w:val="single" w:sz="48" w:space="31" w:color="ACAEAC" w:themeColor="accent2"/>
      </w:pBdr>
      <w:shd w:val="clear" w:color="auto" w:fill="ACAEAC" w:themeFill="accent2"/>
    </w:pPr>
  </w:style>
  <w:style w:type="paragraph" w:customStyle="1" w:styleId="PaleGreyBlock">
    <w:name w:val="Pale Grey Block"/>
    <w:basedOn w:val="AshGreyBlock"/>
    <w:uiPriority w:val="8"/>
    <w:qFormat/>
    <w:rsid w:val="007D745F"/>
    <w:pPr>
      <w:pBdr>
        <w:top w:val="single" w:sz="48" w:space="20" w:color="E6E6E6" w:themeColor="accent3"/>
        <w:left w:val="single" w:sz="48" w:space="31" w:color="E6E6E6" w:themeColor="accent3"/>
        <w:bottom w:val="single" w:sz="48" w:space="20" w:color="E6E6E6" w:themeColor="accent3"/>
        <w:right w:val="single" w:sz="48" w:space="31" w:color="E6E6E6" w:themeColor="accent3"/>
      </w:pBdr>
      <w:shd w:val="clear" w:color="auto" w:fill="E6E6E6" w:themeFill="accent3"/>
    </w:pPr>
  </w:style>
  <w:style w:type="paragraph" w:styleId="Sarakstaaizzme">
    <w:name w:val="List Bullet"/>
    <w:basedOn w:val="Parasts"/>
    <w:uiPriority w:val="3"/>
    <w:unhideWhenUsed/>
    <w:rsid w:val="00B3744D"/>
    <w:pPr>
      <w:numPr>
        <w:numId w:val="1"/>
      </w:numPr>
      <w:ind w:left="340" w:hanging="340"/>
      <w:contextualSpacing/>
    </w:pPr>
  </w:style>
  <w:style w:type="paragraph" w:styleId="Sarakstaaizzme2">
    <w:name w:val="List Bullet 2"/>
    <w:basedOn w:val="Parasts"/>
    <w:uiPriority w:val="3"/>
    <w:unhideWhenUsed/>
    <w:rsid w:val="00B3744D"/>
    <w:pPr>
      <w:numPr>
        <w:numId w:val="2"/>
      </w:numPr>
      <w:ind w:left="680" w:hanging="340"/>
      <w:contextualSpacing/>
    </w:pPr>
  </w:style>
  <w:style w:type="paragraph" w:styleId="Sarakstaaizzme3">
    <w:name w:val="List Bullet 3"/>
    <w:basedOn w:val="Parasts"/>
    <w:uiPriority w:val="3"/>
    <w:unhideWhenUsed/>
    <w:rsid w:val="00B3744D"/>
    <w:pPr>
      <w:numPr>
        <w:numId w:val="3"/>
      </w:numPr>
      <w:ind w:left="1020" w:hanging="340"/>
      <w:contextualSpacing/>
    </w:pPr>
  </w:style>
  <w:style w:type="paragraph" w:styleId="Sarakstaaizzme4">
    <w:name w:val="List Bullet 4"/>
    <w:basedOn w:val="Parasts"/>
    <w:uiPriority w:val="3"/>
    <w:semiHidden/>
    <w:rsid w:val="00B3744D"/>
    <w:pPr>
      <w:numPr>
        <w:numId w:val="4"/>
      </w:numPr>
      <w:ind w:left="1361" w:hanging="340"/>
      <w:contextualSpacing/>
    </w:pPr>
  </w:style>
  <w:style w:type="paragraph" w:styleId="Sarakstaaizzme5">
    <w:name w:val="List Bullet 5"/>
    <w:basedOn w:val="Parasts"/>
    <w:uiPriority w:val="3"/>
    <w:semiHidden/>
    <w:unhideWhenUsed/>
    <w:rsid w:val="00B3744D"/>
    <w:pPr>
      <w:numPr>
        <w:numId w:val="5"/>
      </w:numPr>
      <w:ind w:left="1701" w:hanging="340"/>
      <w:contextualSpacing/>
    </w:pPr>
  </w:style>
  <w:style w:type="table" w:styleId="Reatabula">
    <w:name w:val="Table Grid"/>
    <w:basedOn w:val="Parastatabula"/>
    <w:uiPriority w:val="39"/>
    <w:rsid w:val="004C4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table" w:styleId="Vienkratabula5">
    <w:name w:val="Plain Table 5"/>
    <w:basedOn w:val="Parastatabula"/>
    <w:uiPriority w:val="45"/>
    <w:rsid w:val="000146F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90" w:themeColor="text1" w:themeTint="80"/>
        </w:tcBorders>
        <w:shd w:val="clear" w:color="auto" w:fill="FEFEFE" w:themeFill="background1"/>
      </w:tcPr>
    </w:tblStylePr>
    <w:tblStylePr w:type="lastRow">
      <w:rPr>
        <w:rFonts w:asciiTheme="majorHAnsi" w:eastAsiaTheme="majorEastAsia" w:hAnsiTheme="majorHAnsi" w:cstheme="majorBidi"/>
        <w:i/>
        <w:iCs/>
        <w:sz w:val="26"/>
      </w:rPr>
      <w:tblPr/>
      <w:tcPr>
        <w:tcBorders>
          <w:top w:val="single" w:sz="4" w:space="0" w:color="909090" w:themeColor="text1" w:themeTint="80"/>
        </w:tcBorders>
        <w:shd w:val="clear" w:color="auto" w:fill="FEFE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90" w:themeColor="text1" w:themeTint="80"/>
        </w:tcBorders>
        <w:shd w:val="clear" w:color="auto" w:fill="FEFEFE" w:themeFill="background1"/>
      </w:tcPr>
    </w:tblStylePr>
    <w:tblStylePr w:type="lastCol">
      <w:rPr>
        <w:rFonts w:asciiTheme="majorHAnsi" w:eastAsiaTheme="majorEastAsia" w:hAnsiTheme="majorHAnsi" w:cstheme="majorBidi"/>
        <w:i/>
        <w:iCs/>
        <w:sz w:val="26"/>
      </w:rPr>
      <w:tblPr/>
      <w:tcPr>
        <w:tcBorders>
          <w:left w:val="single" w:sz="4" w:space="0" w:color="909090" w:themeColor="text1" w:themeTint="80"/>
        </w:tcBorders>
        <w:shd w:val="clear" w:color="auto" w:fill="FEFEFE" w:themeFill="background1"/>
      </w:tcPr>
    </w:tblStylePr>
    <w:tblStylePr w:type="band1Vert">
      <w:tblPr/>
      <w:tcPr>
        <w:shd w:val="clear" w:color="auto" w:fill="F1F1F1" w:themeFill="background1" w:themeFillShade="F2"/>
      </w:tcPr>
    </w:tblStylePr>
    <w:tblStylePr w:type="band1Horz">
      <w:tblPr/>
      <w:tcPr>
        <w:shd w:val="clear" w:color="auto" w:fill="F1F1F1"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ezatstarpmRakstz">
    <w:name w:val="Bez atstarpēm Rakstz."/>
    <w:basedOn w:val="Noklusjumarindkopasfonts"/>
    <w:link w:val="Bezatstarpm"/>
    <w:uiPriority w:val="1"/>
    <w:rsid w:val="00707FA1"/>
  </w:style>
  <w:style w:type="character" w:customStyle="1" w:styleId="PurpleText">
    <w:name w:val="Purple Text"/>
    <w:basedOn w:val="YellowText"/>
    <w:uiPriority w:val="4"/>
    <w:qFormat/>
    <w:rsid w:val="00BD2319"/>
    <w:rPr>
      <w:color w:val="82009B" w:themeColor="accent6"/>
    </w:rPr>
  </w:style>
  <w:style w:type="character" w:customStyle="1" w:styleId="MintText">
    <w:name w:val="Mint Text"/>
    <w:basedOn w:val="PurpleText"/>
    <w:uiPriority w:val="4"/>
    <w:qFormat/>
    <w:rsid w:val="00BD2319"/>
    <w:rPr>
      <w:color w:val="3CEB9D" w:themeColor="accent5"/>
    </w:rPr>
  </w:style>
  <w:style w:type="paragraph" w:styleId="Vresteksts">
    <w:name w:val="footnote text"/>
    <w:aliases w:val="Footnote Text Char2,Footnote Text Char Char1,Fußnotentext Char Char2 Char1,Char Char1 Char2 Char1,Fußnotentext Char Char Char1 Char1,Char Char1 Char Char1 Char1,Fußnotentext Char Char Char Char Char1,Char Char1 Char Char Char Char1,Fußnot"/>
    <w:basedOn w:val="Parasts"/>
    <w:link w:val="VrestekstsRakstz"/>
    <w:uiPriority w:val="99"/>
    <w:unhideWhenUsed/>
    <w:rsid w:val="00251CE1"/>
    <w:pPr>
      <w:pBdr>
        <w:left w:val="double" w:sz="6" w:space="5" w:color="3CEB9D" w:themeColor="accent5"/>
      </w:pBdr>
      <w:spacing w:after="0" w:line="288" w:lineRule="auto"/>
    </w:pPr>
    <w:rPr>
      <w:sz w:val="18"/>
      <w:szCs w:val="20"/>
    </w:rPr>
  </w:style>
  <w:style w:type="character" w:customStyle="1" w:styleId="VrestekstsRakstz">
    <w:name w:val="Vēres teksts Rakstz."/>
    <w:aliases w:val="Footnote Text Char2 Rakstz.,Footnote Text Char Char1 Rakstz.,Fußnotentext Char Char2 Char1 Rakstz.,Char Char1 Char2 Char1 Rakstz.,Fußnotentext Char Char Char1 Char1 Rakstz.,Char Char1 Char Char1 Char1 Rakstz.,Fußnot Rakstz."/>
    <w:basedOn w:val="Noklusjumarindkopasfonts"/>
    <w:link w:val="Vresteksts"/>
    <w:uiPriority w:val="99"/>
    <w:rsid w:val="00251CE1"/>
    <w:rPr>
      <w:sz w:val="18"/>
      <w:szCs w:val="20"/>
      <w:lang w:val="en-US"/>
    </w:rPr>
  </w:style>
  <w:style w:type="character" w:styleId="Vresatsauce">
    <w:name w:val="footnote reference"/>
    <w:aliases w:val="BVI fnr,fr,ftref,Footnote symbol,4_G,Footnotes refss,Appel note de bas de p.,Appel note de bas de p,Footnote Reference Number,Fussnota,stylish,Footnote Refernece,Fußnotenzeichen_Raxen,callout,-E Fußnotenzeichen,SUPERS,Times 10 Point"/>
    <w:basedOn w:val="Noklusjumarindkopasfonts"/>
    <w:link w:val="Char2"/>
    <w:uiPriority w:val="99"/>
    <w:unhideWhenUsed/>
    <w:qFormat/>
    <w:rsid w:val="00BD2319"/>
    <w:rPr>
      <w:vertAlign w:val="superscript"/>
    </w:rPr>
  </w:style>
  <w:style w:type="character" w:styleId="Atsaucestags">
    <w:name w:val="Hashtag"/>
    <w:basedOn w:val="Noklusjumarindkopasfonts"/>
    <w:uiPriority w:val="99"/>
    <w:semiHidden/>
    <w:unhideWhenUsed/>
    <w:rsid w:val="00A019FA"/>
    <w:rPr>
      <w:color w:val="82009B" w:themeColor="accent6"/>
      <w:shd w:val="clear" w:color="auto" w:fill="E1DFDD"/>
    </w:rPr>
  </w:style>
  <w:style w:type="character" w:customStyle="1" w:styleId="Virsraksts7Rakstz">
    <w:name w:val="Virsraksts 7 Rakstz."/>
    <w:basedOn w:val="Noklusjumarindkopasfonts"/>
    <w:link w:val="Virsraksts7"/>
    <w:uiPriority w:val="2"/>
    <w:rsid w:val="00707FA1"/>
    <w:rPr>
      <w:rFonts w:asciiTheme="majorHAnsi" w:eastAsiaTheme="majorEastAsia" w:hAnsiTheme="majorHAnsi" w:cstheme="majorBidi"/>
      <w:iCs/>
      <w:color w:val="ACAEAC" w:themeColor="accent2"/>
      <w:lang w:val="en-US"/>
    </w:rPr>
  </w:style>
  <w:style w:type="table" w:styleId="Reatabula5tuma-izclums6">
    <w:name w:val="Grid Table 5 Dark Accent 6"/>
    <w:basedOn w:val="Parastatabula"/>
    <w:uiPriority w:val="50"/>
    <w:rsid w:val="00C21E0C"/>
    <w:pPr>
      <w:spacing w:after="0" w:line="240" w:lineRule="auto"/>
    </w:pPr>
    <w:tblPr>
      <w:tblStyleRowBandSize w:val="1"/>
      <w:tblStyleColBandSize w:val="1"/>
      <w:tblBorders>
        <w:top w:val="single" w:sz="4" w:space="0" w:color="FEFEFE" w:themeColor="background1"/>
        <w:left w:val="single" w:sz="4" w:space="0" w:color="FEFEFE" w:themeColor="background1"/>
        <w:bottom w:val="single" w:sz="4" w:space="0" w:color="FEFEFE" w:themeColor="background1"/>
        <w:right w:val="single" w:sz="4" w:space="0" w:color="FEFEFE" w:themeColor="background1"/>
        <w:insideH w:val="single" w:sz="4" w:space="0" w:color="FEFEFE" w:themeColor="background1"/>
        <w:insideV w:val="single" w:sz="4" w:space="0" w:color="FEFEFE" w:themeColor="background1"/>
      </w:tblBorders>
    </w:tblPr>
    <w:tcPr>
      <w:shd w:val="clear" w:color="auto" w:fill="F3B8FF" w:themeFill="accent6"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82009B" w:themeFill="accent6"/>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82009B" w:themeFill="accent6"/>
      </w:tcPr>
    </w:tblStylePr>
    <w:tblStylePr w:type="firstCol">
      <w:rPr>
        <w:b/>
        <w:bCs/>
        <w:color w:val="FEFEFE" w:themeColor="background1"/>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82009B" w:themeFill="accent6"/>
      </w:tcPr>
    </w:tblStylePr>
    <w:tblStylePr w:type="lastCol">
      <w:rPr>
        <w:b/>
        <w:bCs/>
        <w:color w:val="FEFEFE" w:themeColor="background1"/>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82009B" w:themeFill="accent6"/>
      </w:tcPr>
    </w:tblStylePr>
    <w:tblStylePr w:type="band1Vert">
      <w:tblPr/>
      <w:tcPr>
        <w:shd w:val="clear" w:color="auto" w:fill="E771FF" w:themeFill="accent6" w:themeFillTint="66"/>
      </w:tcPr>
    </w:tblStylePr>
    <w:tblStylePr w:type="band1Horz">
      <w:tblPr/>
      <w:tcPr>
        <w:shd w:val="clear" w:color="auto" w:fill="E771FF" w:themeFill="accent6" w:themeFillTint="66"/>
      </w:tcPr>
    </w:tblStylePr>
  </w:style>
  <w:style w:type="table" w:styleId="Sarakstatabula1gaia-izclums3">
    <w:name w:val="List Table 1 Light Accent 3"/>
    <w:basedOn w:val="Parastatabula"/>
    <w:uiPriority w:val="46"/>
    <w:rsid w:val="00C21E0C"/>
    <w:pPr>
      <w:spacing w:after="0" w:line="240" w:lineRule="auto"/>
    </w:pPr>
    <w:tblPr>
      <w:tblStyleRowBandSize w:val="1"/>
      <w:tblStyleColBandSize w:val="1"/>
    </w:tblPr>
    <w:tblStylePr w:type="firstRow">
      <w:rPr>
        <w:b/>
        <w:bCs/>
      </w:rPr>
      <w:tblPr/>
      <w:tcPr>
        <w:tcBorders>
          <w:bottom w:val="single" w:sz="4" w:space="0" w:color="F0F0F0" w:themeColor="accent3" w:themeTint="99"/>
        </w:tcBorders>
      </w:tcPr>
    </w:tblStylePr>
    <w:tblStylePr w:type="lastRow">
      <w:rPr>
        <w:b/>
        <w:bCs/>
      </w:rPr>
      <w:tblPr/>
      <w:tcPr>
        <w:tcBorders>
          <w:top w:val="single" w:sz="4" w:space="0" w:color="F0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Sarakstatabula7krsaina-izclums3">
    <w:name w:val="List Table 7 Colorful Accent 3"/>
    <w:basedOn w:val="Parastatabula"/>
    <w:uiPriority w:val="52"/>
    <w:rsid w:val="00C21E0C"/>
    <w:pPr>
      <w:spacing w:after="0" w:line="240" w:lineRule="auto"/>
    </w:pPr>
    <w:rPr>
      <w:color w:val="ACACAC" w:themeColor="accent3" w:themeShade="BF"/>
    </w:rPr>
    <w:tblPr>
      <w:tblStyleRowBandSize w:val="1"/>
      <w:tblStyleColBandSize w:val="1"/>
    </w:tblPr>
    <w:tblStylePr w:type="firstRow">
      <w:rPr>
        <w:rFonts w:asciiTheme="majorHAnsi" w:eastAsiaTheme="majorEastAsia" w:hAnsiTheme="majorHAnsi" w:cstheme="majorBidi"/>
        <w:i w:val="0"/>
        <w:iCs/>
        <w:sz w:val="26"/>
      </w:rPr>
      <w:tblPr/>
      <w:tcPr>
        <w:tcBorders>
          <w:bottom w:val="single" w:sz="4" w:space="0" w:color="E6E6E6" w:themeColor="accent3"/>
        </w:tcBorders>
        <w:shd w:val="clear" w:color="auto" w:fill="FEFEFE" w:themeFill="background1"/>
      </w:tcPr>
    </w:tblStylePr>
    <w:tblStylePr w:type="lastRow">
      <w:rPr>
        <w:rFonts w:asciiTheme="majorHAnsi" w:eastAsiaTheme="majorEastAsia" w:hAnsiTheme="majorHAnsi" w:cstheme="majorBidi"/>
        <w:i/>
        <w:iCs/>
        <w:sz w:val="26"/>
      </w:rPr>
      <w:tblPr/>
      <w:tcPr>
        <w:tcBorders>
          <w:top w:val="single" w:sz="4" w:space="0" w:color="E6E6E6" w:themeColor="accent3"/>
        </w:tcBorders>
        <w:shd w:val="clear" w:color="auto" w:fill="FEFE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E6E6" w:themeColor="accent3"/>
        </w:tcBorders>
        <w:shd w:val="clear" w:color="auto" w:fill="FEFEFE" w:themeFill="background1"/>
      </w:tcPr>
    </w:tblStylePr>
    <w:tblStylePr w:type="lastCol">
      <w:rPr>
        <w:rFonts w:asciiTheme="majorHAnsi" w:eastAsiaTheme="majorEastAsia" w:hAnsiTheme="majorHAnsi" w:cstheme="majorBidi"/>
        <w:i/>
        <w:iCs/>
        <w:sz w:val="26"/>
      </w:rPr>
      <w:tblPr/>
      <w:tcPr>
        <w:tcBorders>
          <w:left w:val="single" w:sz="4" w:space="0" w:color="E6E6E6" w:themeColor="accent3"/>
        </w:tcBorders>
        <w:shd w:val="clear" w:color="auto" w:fill="FEFEFE"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eatabula7krsaina-izclums4">
    <w:name w:val="Grid Table 7 Colorful Accent 4"/>
    <w:basedOn w:val="Parastatabula"/>
    <w:uiPriority w:val="52"/>
    <w:rsid w:val="00C21E0C"/>
    <w:pPr>
      <w:spacing w:after="0" w:line="240" w:lineRule="auto"/>
    </w:pPr>
    <w:rPr>
      <w:color w:val="D5ED01" w:themeColor="accent4" w:themeShade="BF"/>
    </w:rPr>
    <w:tblPr>
      <w:tblStyleRowBandSize w:val="1"/>
      <w:tblStyleColBandSize w:val="1"/>
      <w:tblBorders>
        <w:top w:val="single" w:sz="4" w:space="0" w:color="F2FE8C" w:themeColor="accent4" w:themeTint="99"/>
        <w:left w:val="single" w:sz="4" w:space="0" w:color="F2FE8C" w:themeColor="accent4" w:themeTint="99"/>
        <w:bottom w:val="single" w:sz="4" w:space="0" w:color="F2FE8C" w:themeColor="accent4" w:themeTint="99"/>
        <w:right w:val="single" w:sz="4" w:space="0" w:color="F2FE8C" w:themeColor="accent4" w:themeTint="99"/>
        <w:insideH w:val="single" w:sz="4" w:space="0" w:color="F2FE8C" w:themeColor="accent4" w:themeTint="99"/>
        <w:insideV w:val="single" w:sz="4" w:space="0" w:color="F2FE8C" w:themeColor="accent4" w:themeTint="99"/>
      </w:tblBorders>
    </w:tblPr>
    <w:tblStylePr w:type="firstRow">
      <w:rPr>
        <w:b/>
        <w:bCs/>
      </w:rPr>
      <w:tblPr/>
      <w:tcPr>
        <w:tcBorders>
          <w:top w:val="nil"/>
          <w:left w:val="nil"/>
          <w:right w:val="nil"/>
          <w:insideH w:val="nil"/>
          <w:insideV w:val="nil"/>
        </w:tcBorders>
        <w:shd w:val="clear" w:color="auto" w:fill="FEFEFE" w:themeFill="background1"/>
      </w:tcPr>
    </w:tblStylePr>
    <w:tblStylePr w:type="lastRow">
      <w:rPr>
        <w:b/>
        <w:bCs/>
      </w:rPr>
      <w:tblPr/>
      <w:tcPr>
        <w:tcBorders>
          <w:left w:val="nil"/>
          <w:bottom w:val="nil"/>
          <w:right w:val="nil"/>
          <w:insideH w:val="nil"/>
          <w:insideV w:val="nil"/>
        </w:tcBorders>
        <w:shd w:val="clear" w:color="auto" w:fill="FEFEFE" w:themeFill="background1"/>
      </w:tcPr>
    </w:tblStylePr>
    <w:tblStylePr w:type="firstCol">
      <w:pPr>
        <w:jc w:val="right"/>
      </w:pPr>
      <w:rPr>
        <w:i/>
        <w:iCs/>
      </w:rPr>
      <w:tblPr/>
      <w:tcPr>
        <w:tcBorders>
          <w:top w:val="nil"/>
          <w:left w:val="nil"/>
          <w:bottom w:val="nil"/>
          <w:insideH w:val="nil"/>
          <w:insideV w:val="nil"/>
        </w:tcBorders>
        <w:shd w:val="clear" w:color="auto" w:fill="FEFEFE" w:themeFill="background1"/>
      </w:tcPr>
    </w:tblStylePr>
    <w:tblStylePr w:type="lastCol">
      <w:rPr>
        <w:i/>
        <w:iCs/>
      </w:rPr>
      <w:tblPr/>
      <w:tcPr>
        <w:tcBorders>
          <w:top w:val="nil"/>
          <w:bottom w:val="nil"/>
          <w:right w:val="nil"/>
          <w:insideH w:val="nil"/>
          <w:insideV w:val="nil"/>
        </w:tcBorders>
        <w:shd w:val="clear" w:color="auto" w:fill="FEFEFE" w:themeFill="background1"/>
      </w:tcPr>
    </w:tblStylePr>
    <w:tblStylePr w:type="band1Vert">
      <w:tblPr/>
      <w:tcPr>
        <w:shd w:val="clear" w:color="auto" w:fill="FAFED8" w:themeFill="accent4" w:themeFillTint="33"/>
      </w:tcPr>
    </w:tblStylePr>
    <w:tblStylePr w:type="band1Horz">
      <w:tblPr/>
      <w:tcPr>
        <w:shd w:val="clear" w:color="auto" w:fill="FAFED8" w:themeFill="accent4" w:themeFillTint="33"/>
      </w:tcPr>
    </w:tblStylePr>
    <w:tblStylePr w:type="neCell">
      <w:tblPr/>
      <w:tcPr>
        <w:tcBorders>
          <w:bottom w:val="single" w:sz="4" w:space="0" w:color="F2FE8C" w:themeColor="accent4" w:themeTint="99"/>
        </w:tcBorders>
      </w:tcPr>
    </w:tblStylePr>
    <w:tblStylePr w:type="nwCell">
      <w:tblPr/>
      <w:tcPr>
        <w:tcBorders>
          <w:bottom w:val="single" w:sz="4" w:space="0" w:color="F2FE8C" w:themeColor="accent4" w:themeTint="99"/>
        </w:tcBorders>
      </w:tcPr>
    </w:tblStylePr>
    <w:tblStylePr w:type="seCell">
      <w:tblPr/>
      <w:tcPr>
        <w:tcBorders>
          <w:top w:val="single" w:sz="4" w:space="0" w:color="F2FE8C" w:themeColor="accent4" w:themeTint="99"/>
        </w:tcBorders>
      </w:tcPr>
    </w:tblStylePr>
    <w:tblStylePr w:type="swCell">
      <w:tblPr/>
      <w:tcPr>
        <w:tcBorders>
          <w:top w:val="single" w:sz="4" w:space="0" w:color="F2FE8C" w:themeColor="accent4" w:themeTint="99"/>
        </w:tcBorders>
      </w:tcPr>
    </w:tblStylePr>
  </w:style>
  <w:style w:type="table" w:styleId="Reatabula6krsaina">
    <w:name w:val="Grid Table 6 Colorful"/>
    <w:basedOn w:val="Parastatabula"/>
    <w:uiPriority w:val="51"/>
    <w:rsid w:val="00C21E0C"/>
    <w:pPr>
      <w:spacing w:after="0" w:line="240" w:lineRule="auto"/>
    </w:pPr>
    <w:rPr>
      <w:color w:val="232323" w:themeColor="text1"/>
    </w:r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rPr>
      <w:tblPr/>
      <w:tcPr>
        <w:tcBorders>
          <w:bottom w:val="single" w:sz="12" w:space="0" w:color="7B7B7B" w:themeColor="text1" w:themeTint="99"/>
        </w:tcBorders>
      </w:tcPr>
    </w:tblStylePr>
    <w:tblStylePr w:type="lastRow">
      <w:rPr>
        <w:b/>
        <w:bCs/>
      </w:rPr>
      <w:tblPr/>
      <w:tcPr>
        <w:tcBorders>
          <w:top w:val="double" w:sz="4" w:space="0" w:color="7B7B7B" w:themeColor="text1" w:themeTint="99"/>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Reatabula7krsaina-izclums2">
    <w:name w:val="Grid Table 7 Colorful Accent 2"/>
    <w:basedOn w:val="Parastatabula"/>
    <w:uiPriority w:val="52"/>
    <w:rsid w:val="00C21E0C"/>
    <w:pPr>
      <w:spacing w:after="0" w:line="240" w:lineRule="auto"/>
    </w:pPr>
    <w:rPr>
      <w:color w:val="808380" w:themeColor="accent2" w:themeShade="BF"/>
    </w:rPr>
    <w:tblPr>
      <w:tblStyleRowBandSize w:val="1"/>
      <w:tblStyleColBandSize w:val="1"/>
      <w:tblBorders>
        <w:top w:val="single" w:sz="4" w:space="0" w:color="CDCECD" w:themeColor="accent2" w:themeTint="99"/>
        <w:left w:val="single" w:sz="4" w:space="0" w:color="CDCECD" w:themeColor="accent2" w:themeTint="99"/>
        <w:bottom w:val="single" w:sz="4" w:space="0" w:color="CDCECD" w:themeColor="accent2" w:themeTint="99"/>
        <w:right w:val="single" w:sz="4" w:space="0" w:color="CDCECD" w:themeColor="accent2" w:themeTint="99"/>
        <w:insideH w:val="single" w:sz="4" w:space="0" w:color="CDCECD" w:themeColor="accent2" w:themeTint="99"/>
        <w:insideV w:val="single" w:sz="4" w:space="0" w:color="CDCECD" w:themeColor="accent2" w:themeTint="99"/>
      </w:tblBorders>
    </w:tblPr>
    <w:tblStylePr w:type="firstRow">
      <w:rPr>
        <w:b/>
        <w:bCs/>
      </w:rPr>
      <w:tblPr/>
      <w:tcPr>
        <w:tcBorders>
          <w:top w:val="nil"/>
          <w:left w:val="nil"/>
          <w:right w:val="nil"/>
          <w:insideH w:val="nil"/>
          <w:insideV w:val="nil"/>
        </w:tcBorders>
        <w:shd w:val="clear" w:color="auto" w:fill="FEFEFE" w:themeFill="background1"/>
      </w:tcPr>
    </w:tblStylePr>
    <w:tblStylePr w:type="lastRow">
      <w:rPr>
        <w:b/>
        <w:bCs/>
      </w:rPr>
      <w:tblPr/>
      <w:tcPr>
        <w:tcBorders>
          <w:left w:val="nil"/>
          <w:bottom w:val="nil"/>
          <w:right w:val="nil"/>
          <w:insideH w:val="nil"/>
          <w:insideV w:val="nil"/>
        </w:tcBorders>
        <w:shd w:val="clear" w:color="auto" w:fill="FEFEFE" w:themeFill="background1"/>
      </w:tcPr>
    </w:tblStylePr>
    <w:tblStylePr w:type="firstCol">
      <w:pPr>
        <w:jc w:val="right"/>
      </w:pPr>
      <w:rPr>
        <w:i/>
        <w:iCs/>
      </w:rPr>
      <w:tblPr/>
      <w:tcPr>
        <w:tcBorders>
          <w:top w:val="nil"/>
          <w:left w:val="nil"/>
          <w:bottom w:val="nil"/>
          <w:insideH w:val="nil"/>
          <w:insideV w:val="nil"/>
        </w:tcBorders>
        <w:shd w:val="clear" w:color="auto" w:fill="FEFEFE" w:themeFill="background1"/>
      </w:tcPr>
    </w:tblStylePr>
    <w:tblStylePr w:type="lastCol">
      <w:rPr>
        <w:i/>
        <w:iCs/>
      </w:rPr>
      <w:tblPr/>
      <w:tcPr>
        <w:tcBorders>
          <w:top w:val="nil"/>
          <w:bottom w:val="nil"/>
          <w:right w:val="nil"/>
          <w:insideH w:val="nil"/>
          <w:insideV w:val="nil"/>
        </w:tcBorders>
        <w:shd w:val="clear" w:color="auto" w:fill="FEFEFE" w:themeFill="background1"/>
      </w:tcPr>
    </w:tblStylePr>
    <w:tblStylePr w:type="band1Vert">
      <w:tblPr/>
      <w:tcPr>
        <w:shd w:val="clear" w:color="auto" w:fill="EEEEEE" w:themeFill="accent2" w:themeFillTint="33"/>
      </w:tcPr>
    </w:tblStylePr>
    <w:tblStylePr w:type="band1Horz">
      <w:tblPr/>
      <w:tcPr>
        <w:shd w:val="clear" w:color="auto" w:fill="EEEEEE" w:themeFill="accent2" w:themeFillTint="33"/>
      </w:tcPr>
    </w:tblStylePr>
    <w:tblStylePr w:type="neCell">
      <w:tblPr/>
      <w:tcPr>
        <w:tcBorders>
          <w:bottom w:val="single" w:sz="4" w:space="0" w:color="CDCECD" w:themeColor="accent2" w:themeTint="99"/>
        </w:tcBorders>
      </w:tcPr>
    </w:tblStylePr>
    <w:tblStylePr w:type="nwCell">
      <w:tblPr/>
      <w:tcPr>
        <w:tcBorders>
          <w:bottom w:val="single" w:sz="4" w:space="0" w:color="CDCECD" w:themeColor="accent2" w:themeTint="99"/>
        </w:tcBorders>
      </w:tcPr>
    </w:tblStylePr>
    <w:tblStylePr w:type="seCell">
      <w:tblPr/>
      <w:tcPr>
        <w:tcBorders>
          <w:top w:val="single" w:sz="4" w:space="0" w:color="CDCECD" w:themeColor="accent2" w:themeTint="99"/>
        </w:tcBorders>
      </w:tcPr>
    </w:tblStylePr>
    <w:tblStylePr w:type="swCell">
      <w:tblPr/>
      <w:tcPr>
        <w:tcBorders>
          <w:top w:val="single" w:sz="4" w:space="0" w:color="CDCECD" w:themeColor="accent2" w:themeTint="99"/>
        </w:tcBorders>
      </w:tcPr>
    </w:tblStylePr>
  </w:style>
  <w:style w:type="table" w:styleId="Sarakstatabula7krsaina-izclums2">
    <w:name w:val="List Table 7 Colorful Accent 2"/>
    <w:basedOn w:val="Parastatabula"/>
    <w:uiPriority w:val="52"/>
    <w:rsid w:val="00C21E0C"/>
    <w:pPr>
      <w:spacing w:after="0" w:line="240" w:lineRule="auto"/>
    </w:pPr>
    <w:rPr>
      <w:color w:val="80838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CAEAC" w:themeColor="accent2"/>
        </w:tcBorders>
        <w:shd w:val="clear" w:color="auto" w:fill="FEFEFE" w:themeFill="background1"/>
      </w:tcPr>
    </w:tblStylePr>
    <w:tblStylePr w:type="lastRow">
      <w:rPr>
        <w:rFonts w:asciiTheme="majorHAnsi" w:eastAsiaTheme="majorEastAsia" w:hAnsiTheme="majorHAnsi" w:cstheme="majorBidi"/>
        <w:i/>
        <w:iCs/>
        <w:sz w:val="26"/>
      </w:rPr>
      <w:tblPr/>
      <w:tcPr>
        <w:tcBorders>
          <w:top w:val="single" w:sz="4" w:space="0" w:color="ACAEAC" w:themeColor="accent2"/>
        </w:tcBorders>
        <w:shd w:val="clear" w:color="auto" w:fill="FEFEF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CAEAC" w:themeColor="accent2"/>
        </w:tcBorders>
        <w:shd w:val="clear" w:color="auto" w:fill="FEFEFE" w:themeFill="background1"/>
      </w:tcPr>
    </w:tblStylePr>
    <w:tblStylePr w:type="lastCol">
      <w:rPr>
        <w:rFonts w:asciiTheme="majorHAnsi" w:eastAsiaTheme="majorEastAsia" w:hAnsiTheme="majorHAnsi" w:cstheme="majorBidi"/>
        <w:i/>
        <w:iCs/>
        <w:sz w:val="26"/>
      </w:rPr>
      <w:tblPr/>
      <w:tcPr>
        <w:tcBorders>
          <w:left w:val="single" w:sz="4" w:space="0" w:color="ACAEAC" w:themeColor="accent2"/>
        </w:tcBorders>
        <w:shd w:val="clear" w:color="auto" w:fill="FEFEFE" w:themeFill="background1"/>
      </w:tcPr>
    </w:tblStylePr>
    <w:tblStylePr w:type="band1Vert">
      <w:tblPr/>
      <w:tcPr>
        <w:shd w:val="clear" w:color="auto" w:fill="EEEEEE" w:themeFill="accent2" w:themeFillTint="33"/>
      </w:tcPr>
    </w:tblStylePr>
    <w:tblStylePr w:type="band1Horz">
      <w:tblPr/>
      <w:tcPr>
        <w:shd w:val="clear" w:color="auto" w:fill="EEEE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ienkratabula2">
    <w:name w:val="Plain Table 2"/>
    <w:basedOn w:val="Parastatabula"/>
    <w:uiPriority w:val="42"/>
    <w:rsid w:val="00C21E0C"/>
    <w:pPr>
      <w:spacing w:after="0" w:line="240" w:lineRule="auto"/>
    </w:pPr>
    <w:tblPr>
      <w:tblStyleRowBandSize w:val="1"/>
      <w:tblStyleColBandSize w:val="1"/>
      <w:tblBorders>
        <w:top w:val="single" w:sz="4" w:space="0" w:color="909090" w:themeColor="text1" w:themeTint="80"/>
        <w:bottom w:val="single" w:sz="4" w:space="0" w:color="909090" w:themeColor="text1" w:themeTint="80"/>
      </w:tblBorders>
    </w:tblPr>
    <w:tblStylePr w:type="firstRow">
      <w:rPr>
        <w:b/>
        <w:bCs/>
      </w:rPr>
      <w:tblPr/>
      <w:tcPr>
        <w:tcBorders>
          <w:bottom w:val="single" w:sz="4" w:space="0" w:color="909090" w:themeColor="text1" w:themeTint="80"/>
        </w:tcBorders>
      </w:tcPr>
    </w:tblStylePr>
    <w:tblStylePr w:type="lastRow">
      <w:rPr>
        <w:b/>
        <w:bCs/>
      </w:rPr>
      <w:tblPr/>
      <w:tcPr>
        <w:tcBorders>
          <w:top w:val="single" w:sz="4" w:space="0" w:color="909090" w:themeColor="text1" w:themeTint="80"/>
        </w:tcBorders>
      </w:tcPr>
    </w:tblStylePr>
    <w:tblStylePr w:type="firstCol">
      <w:rPr>
        <w:b/>
        <w:bCs/>
      </w:rPr>
    </w:tblStylePr>
    <w:tblStylePr w:type="lastCol">
      <w:rPr>
        <w:b/>
        <w:bCs/>
      </w:rPr>
    </w:tblStylePr>
    <w:tblStylePr w:type="band1Vert">
      <w:tblPr/>
      <w:tcPr>
        <w:tcBorders>
          <w:left w:val="single" w:sz="4" w:space="0" w:color="909090" w:themeColor="text1" w:themeTint="80"/>
          <w:right w:val="single" w:sz="4" w:space="0" w:color="909090" w:themeColor="text1" w:themeTint="80"/>
        </w:tcBorders>
      </w:tcPr>
    </w:tblStylePr>
    <w:tblStylePr w:type="band2Vert">
      <w:tblPr/>
      <w:tcPr>
        <w:tcBorders>
          <w:left w:val="single" w:sz="4" w:space="0" w:color="909090" w:themeColor="text1" w:themeTint="80"/>
          <w:right w:val="single" w:sz="4" w:space="0" w:color="909090" w:themeColor="text1" w:themeTint="80"/>
        </w:tcBorders>
      </w:tcPr>
    </w:tblStylePr>
    <w:tblStylePr w:type="band1Horz">
      <w:tblPr/>
      <w:tcPr>
        <w:tcBorders>
          <w:top w:val="single" w:sz="4" w:space="0" w:color="909090" w:themeColor="text1" w:themeTint="80"/>
          <w:bottom w:val="single" w:sz="4" w:space="0" w:color="909090" w:themeColor="text1" w:themeTint="80"/>
        </w:tcBorders>
      </w:tcPr>
    </w:tblStylePr>
  </w:style>
  <w:style w:type="table" w:styleId="Sarakstatabula3-izclums1">
    <w:name w:val="List Table 3 Accent 1"/>
    <w:basedOn w:val="Parastatabula"/>
    <w:uiPriority w:val="48"/>
    <w:rsid w:val="004C47BD"/>
    <w:pPr>
      <w:spacing w:after="0" w:line="240" w:lineRule="auto"/>
    </w:pPr>
    <w:tblPr>
      <w:tblStyleRowBandSize w:val="1"/>
      <w:tblStyleColBandSize w:val="1"/>
      <w:tblBorders>
        <w:top w:val="single" w:sz="4" w:space="0" w:color="232323" w:themeColor="accent1"/>
        <w:left w:val="single" w:sz="4" w:space="0" w:color="232323" w:themeColor="accent1"/>
        <w:bottom w:val="single" w:sz="4" w:space="0" w:color="232323" w:themeColor="accent1"/>
        <w:right w:val="single" w:sz="4" w:space="0" w:color="232323" w:themeColor="accent1"/>
      </w:tblBorders>
      <w:tblCellMar>
        <w:top w:w="57" w:type="dxa"/>
        <w:bottom w:w="57" w:type="dxa"/>
      </w:tblCellMar>
    </w:tblPr>
    <w:tblStylePr w:type="firstRow">
      <w:rPr>
        <w:b/>
        <w:bCs/>
        <w:color w:val="FEFEFE" w:themeColor="background1"/>
      </w:rPr>
      <w:tblPr/>
      <w:tcPr>
        <w:shd w:val="clear" w:color="auto" w:fill="232323" w:themeFill="accent1"/>
      </w:tcPr>
    </w:tblStylePr>
    <w:tblStylePr w:type="lastRow">
      <w:rPr>
        <w:b/>
        <w:bCs/>
      </w:rPr>
      <w:tblPr/>
      <w:tcPr>
        <w:tcBorders>
          <w:top w:val="double" w:sz="4" w:space="0" w:color="232323" w:themeColor="accent1"/>
        </w:tcBorders>
        <w:shd w:val="clear" w:color="auto" w:fill="FEFEFE" w:themeFill="background1"/>
      </w:tcPr>
    </w:tblStylePr>
    <w:tblStylePr w:type="firstCol">
      <w:rPr>
        <w:b/>
        <w:bCs/>
      </w:rPr>
      <w:tblPr/>
      <w:tcPr>
        <w:tcBorders>
          <w:right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232323" w:themeColor="accent1"/>
          <w:right w:val="single" w:sz="4" w:space="0" w:color="232323" w:themeColor="accent1"/>
        </w:tcBorders>
      </w:tcPr>
    </w:tblStylePr>
    <w:tblStylePr w:type="band1Horz">
      <w:tblPr/>
      <w:tcPr>
        <w:tcBorders>
          <w:top w:val="single" w:sz="4" w:space="0" w:color="232323" w:themeColor="accent1"/>
          <w:bottom w:val="single" w:sz="4" w:space="0" w:color="23232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themeColor="accent1"/>
          <w:left w:val="nil"/>
        </w:tcBorders>
      </w:tcPr>
    </w:tblStylePr>
    <w:tblStylePr w:type="swCell">
      <w:tblPr/>
      <w:tcPr>
        <w:tcBorders>
          <w:top w:val="double" w:sz="4" w:space="0" w:color="232323" w:themeColor="accent1"/>
          <w:right w:val="nil"/>
        </w:tcBorders>
      </w:tcPr>
    </w:tblStylePr>
  </w:style>
  <w:style w:type="table" w:styleId="Sarakstatabula3-izclums5">
    <w:name w:val="List Table 3 Accent 5"/>
    <w:basedOn w:val="Parastatabula"/>
    <w:uiPriority w:val="48"/>
    <w:rsid w:val="00664653"/>
    <w:pPr>
      <w:spacing w:after="0" w:line="240" w:lineRule="auto"/>
    </w:pPr>
    <w:tblPr>
      <w:tblStyleRowBandSize w:val="1"/>
      <w:tblStyleColBandSize w:val="1"/>
      <w:tblBorders>
        <w:top w:val="single" w:sz="4" w:space="0" w:color="3CEB9D" w:themeColor="accent5"/>
        <w:left w:val="single" w:sz="4" w:space="0" w:color="3CEB9D" w:themeColor="accent5"/>
        <w:bottom w:val="single" w:sz="4" w:space="0" w:color="3CEB9D" w:themeColor="accent5"/>
        <w:right w:val="single" w:sz="4" w:space="0" w:color="3CEB9D" w:themeColor="accent5"/>
        <w:insideH w:val="single" w:sz="4" w:space="0" w:color="3CEB9D" w:themeColor="accent5"/>
      </w:tblBorders>
    </w:tblPr>
    <w:tblStylePr w:type="firstRow">
      <w:rPr>
        <w:b/>
        <w:bCs/>
        <w:color w:val="FEFEFE" w:themeColor="background1"/>
      </w:rPr>
      <w:tblPr/>
      <w:tcPr>
        <w:tcBorders>
          <w:top w:val="single" w:sz="4" w:space="0" w:color="3CEB9D" w:themeColor="accent5"/>
          <w:left w:val="single" w:sz="4" w:space="0" w:color="3CEB9D" w:themeColor="accent5"/>
          <w:bottom w:val="single" w:sz="4" w:space="0" w:color="3CEB9D" w:themeColor="accent5"/>
          <w:right w:val="single" w:sz="4" w:space="0" w:color="3CEB9D" w:themeColor="accent5"/>
          <w:insideH w:val="nil"/>
          <w:insideV w:val="nil"/>
          <w:tl2br w:val="nil"/>
          <w:tr2bl w:val="nil"/>
        </w:tcBorders>
        <w:shd w:val="clear" w:color="auto" w:fill="3CEB9D" w:themeFill="accent5"/>
      </w:tcPr>
    </w:tblStylePr>
    <w:tblStylePr w:type="lastRow">
      <w:rPr>
        <w:b/>
        <w:bCs/>
      </w:rPr>
      <w:tblPr/>
      <w:tcPr>
        <w:tcBorders>
          <w:top w:val="single" w:sz="4" w:space="0" w:color="3CEB9D" w:themeColor="accent5"/>
        </w:tcBorders>
        <w:shd w:val="clear" w:color="auto" w:fill="FEFEFE" w:themeFill="background1"/>
      </w:tcPr>
    </w:tblStylePr>
    <w:tblStylePr w:type="firstCol">
      <w:rPr>
        <w:b/>
        <w:bCs/>
      </w:rPr>
      <w:tblPr/>
      <w:tcPr>
        <w:tcBorders>
          <w:top w:val="single" w:sz="4" w:space="0" w:color="3CEB9D" w:themeColor="accent5"/>
          <w:left w:val="single" w:sz="4" w:space="0" w:color="3CEB9D" w:themeColor="accent5"/>
          <w:bottom w:val="single" w:sz="4" w:space="0" w:color="3CEB9D" w:themeColor="accent5"/>
          <w:right w:val="nil"/>
          <w:insideH w:val="single" w:sz="4" w:space="0" w:color="3CEB9D" w:themeColor="accent5"/>
          <w:insideV w:val="nil"/>
          <w:tl2br w:val="nil"/>
          <w:tr2bl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3CEB9D" w:themeColor="accent5"/>
          <w:right w:val="single" w:sz="4" w:space="0" w:color="3CEB9D" w:themeColor="accent5"/>
        </w:tcBorders>
      </w:tcPr>
    </w:tblStylePr>
    <w:tblStylePr w:type="band1Horz">
      <w:tblPr/>
      <w:tcPr>
        <w:tcBorders>
          <w:top w:val="single" w:sz="4" w:space="0" w:color="3CEB9D" w:themeColor="accent5"/>
          <w:bottom w:val="single" w:sz="4" w:space="0" w:color="3CEB9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EB9D" w:themeColor="accent5"/>
          <w:left w:val="nil"/>
        </w:tcBorders>
      </w:tcPr>
    </w:tblStylePr>
    <w:tblStylePr w:type="swCell">
      <w:tblPr/>
      <w:tcPr>
        <w:tcBorders>
          <w:top w:val="double" w:sz="4" w:space="0" w:color="3CEB9D" w:themeColor="accent5"/>
          <w:right w:val="nil"/>
        </w:tcBorders>
      </w:tcPr>
    </w:tblStylePr>
  </w:style>
  <w:style w:type="paragraph" w:customStyle="1" w:styleId="CoverTitle">
    <w:name w:val="Cover Title"/>
    <w:basedOn w:val="Nosaukums"/>
    <w:uiPriority w:val="24"/>
    <w:unhideWhenUsed/>
    <w:qFormat/>
    <w:rsid w:val="001E0CF3"/>
    <w:pPr>
      <w:spacing w:after="240"/>
      <w:jc w:val="right"/>
    </w:pPr>
    <w:rPr>
      <w:sz w:val="80"/>
    </w:rPr>
  </w:style>
  <w:style w:type="paragraph" w:customStyle="1" w:styleId="CoverSubject">
    <w:name w:val="Cover Subject"/>
    <w:basedOn w:val="CoverTitle"/>
    <w:uiPriority w:val="24"/>
    <w:unhideWhenUsed/>
    <w:qFormat/>
    <w:rsid w:val="001E0CF3"/>
    <w:pPr>
      <w:spacing w:after="360"/>
    </w:pPr>
    <w:rPr>
      <w:b w:val="0"/>
      <w:bCs/>
      <w:color w:val="ACAEAC" w:themeColor="accent2"/>
    </w:rPr>
  </w:style>
  <w:style w:type="paragraph" w:customStyle="1" w:styleId="CoverText">
    <w:name w:val="Cover Text"/>
    <w:basedOn w:val="Parasts"/>
    <w:uiPriority w:val="24"/>
    <w:unhideWhenUsed/>
    <w:qFormat/>
    <w:rsid w:val="003333FD"/>
    <w:pPr>
      <w:spacing w:before="240"/>
      <w:contextualSpacing/>
      <w:jc w:val="right"/>
      <w:textDirection w:val="btLr"/>
    </w:pPr>
    <w:rPr>
      <w:rFonts w:cs="Calibri"/>
      <w:color w:val="232323"/>
      <w:sz w:val="24"/>
    </w:rPr>
  </w:style>
  <w:style w:type="character" w:customStyle="1" w:styleId="GreyText">
    <w:name w:val="Grey Text"/>
    <w:basedOn w:val="PurpleText"/>
    <w:uiPriority w:val="4"/>
    <w:qFormat/>
    <w:rsid w:val="009C37DF"/>
    <w:rPr>
      <w:rFonts w:asciiTheme="minorHAnsi" w:hAnsiTheme="minorHAnsi"/>
      <w:i/>
      <w:color w:val="ACAEAC" w:themeColor="accent2"/>
      <w:sz w:val="20"/>
    </w:rPr>
  </w:style>
  <w:style w:type="paragraph" w:customStyle="1" w:styleId="Disclaimer">
    <w:name w:val="Disclaimer"/>
    <w:basedOn w:val="Parasts"/>
    <w:uiPriority w:val="25"/>
    <w:semiHidden/>
    <w:qFormat/>
    <w:rsid w:val="00CC16BE"/>
    <w:pPr>
      <w:pBdr>
        <w:top w:val="single" w:sz="8" w:space="20" w:color="3CEB9D" w:themeColor="accent5"/>
        <w:bottom w:val="dotted" w:sz="2" w:space="8" w:color="E6E6E6" w:themeColor="accent3"/>
      </w:pBdr>
      <w:spacing w:before="40" w:after="40" w:line="240" w:lineRule="auto"/>
    </w:pPr>
    <w:rPr>
      <w:rFonts w:asciiTheme="majorHAnsi" w:hAnsiTheme="majorHAnsi"/>
      <w:color w:val="ACAEAC" w:themeColor="accent2"/>
      <w:sz w:val="24"/>
    </w:rPr>
  </w:style>
  <w:style w:type="character" w:customStyle="1" w:styleId="Virsraksts8Rakstz">
    <w:name w:val="Virsraksts 8 Rakstz."/>
    <w:basedOn w:val="Noklusjumarindkopasfonts"/>
    <w:link w:val="Virsraksts8"/>
    <w:uiPriority w:val="2"/>
    <w:semiHidden/>
    <w:rsid w:val="00707FA1"/>
    <w:rPr>
      <w:rFonts w:asciiTheme="majorHAnsi" w:eastAsiaTheme="majorEastAsia" w:hAnsiTheme="majorHAnsi" w:cstheme="majorBidi"/>
      <w:color w:val="E6E6E6" w:themeColor="accent3"/>
      <w:sz w:val="21"/>
      <w:szCs w:val="21"/>
      <w:lang w:val="en-US"/>
    </w:rPr>
  </w:style>
  <w:style w:type="paragraph" w:customStyle="1" w:styleId="TableTitle">
    <w:name w:val="Table Title"/>
    <w:basedOn w:val="Ilustrcijusaraksts"/>
    <w:next w:val="Parasts"/>
    <w:uiPriority w:val="3"/>
    <w:qFormat/>
    <w:rsid w:val="00E83540"/>
    <w:pPr>
      <w:pBdr>
        <w:left w:val="single" w:sz="4" w:space="5" w:color="82009B" w:themeColor="accent6"/>
      </w:pBdr>
      <w:spacing w:before="160"/>
    </w:pPr>
    <w:rPr>
      <w:noProof/>
      <w:color w:val="82009B" w:themeColor="accent6"/>
    </w:rPr>
  </w:style>
  <w:style w:type="paragraph" w:styleId="Ilustrcijusaraksts">
    <w:name w:val="table of figures"/>
    <w:basedOn w:val="Parasts"/>
    <w:next w:val="Parasts"/>
    <w:uiPriority w:val="99"/>
    <w:unhideWhenUsed/>
    <w:rsid w:val="00DD655F"/>
    <w:pPr>
      <w:spacing w:after="0"/>
    </w:pPr>
  </w:style>
  <w:style w:type="paragraph" w:styleId="Intensvscitts">
    <w:name w:val="Intense Quote"/>
    <w:basedOn w:val="Parasts"/>
    <w:next w:val="Parasts"/>
    <w:link w:val="IntensvscittsRakstz"/>
    <w:uiPriority w:val="30"/>
    <w:semiHidden/>
    <w:qFormat/>
    <w:rsid w:val="003C0669"/>
    <w:pPr>
      <w:pBdr>
        <w:top w:val="single" w:sz="4" w:space="10" w:color="232323" w:themeColor="accent1"/>
        <w:bottom w:val="single" w:sz="4" w:space="10" w:color="232323" w:themeColor="accent1"/>
      </w:pBdr>
      <w:spacing w:before="360" w:after="360"/>
      <w:ind w:left="864" w:right="864"/>
      <w:jc w:val="center"/>
    </w:pPr>
    <w:rPr>
      <w:i/>
      <w:iCs/>
      <w:color w:val="232323" w:themeColor="accent1"/>
    </w:rPr>
  </w:style>
  <w:style w:type="character" w:customStyle="1" w:styleId="IntensvscittsRakstz">
    <w:name w:val="Intensīvs citāts Rakstz."/>
    <w:basedOn w:val="Noklusjumarindkopasfonts"/>
    <w:link w:val="Intensvscitts"/>
    <w:uiPriority w:val="30"/>
    <w:semiHidden/>
    <w:rsid w:val="00707FA1"/>
    <w:rPr>
      <w:i/>
      <w:iCs/>
      <w:color w:val="232323" w:themeColor="accent1"/>
      <w:lang w:val="en-US"/>
    </w:rPr>
  </w:style>
  <w:style w:type="paragraph" w:styleId="Citts">
    <w:name w:val="Quote"/>
    <w:basedOn w:val="Parasts"/>
    <w:next w:val="Parasts"/>
    <w:link w:val="CittsRakstz"/>
    <w:uiPriority w:val="29"/>
    <w:semiHidden/>
    <w:qFormat/>
    <w:rsid w:val="003C0669"/>
    <w:pPr>
      <w:spacing w:before="200"/>
      <w:ind w:left="864" w:right="864"/>
      <w:jc w:val="center"/>
    </w:pPr>
    <w:rPr>
      <w:i/>
      <w:iCs/>
      <w:color w:val="5A5A5A" w:themeColor="text1" w:themeTint="BF"/>
    </w:rPr>
  </w:style>
  <w:style w:type="character" w:customStyle="1" w:styleId="CittsRakstz">
    <w:name w:val="Citāts Rakstz."/>
    <w:basedOn w:val="Noklusjumarindkopasfonts"/>
    <w:link w:val="Citts"/>
    <w:uiPriority w:val="29"/>
    <w:semiHidden/>
    <w:rsid w:val="00707FA1"/>
    <w:rPr>
      <w:i/>
      <w:iCs/>
      <w:color w:val="5A5A5A" w:themeColor="text1" w:themeTint="BF"/>
      <w:lang w:val="en-US"/>
    </w:rPr>
  </w:style>
  <w:style w:type="paragraph" w:customStyle="1" w:styleId="NumberedDarkBlock">
    <w:name w:val="Numbered Dark Block"/>
    <w:basedOn w:val="SectionHeader"/>
    <w:uiPriority w:val="14"/>
    <w:qFormat/>
    <w:rsid w:val="00DD7BC4"/>
    <w:pPr>
      <w:pBdr>
        <w:top w:val="single" w:sz="48" w:space="31" w:color="232323" w:themeColor="text1"/>
        <w:left w:val="single" w:sz="48" w:space="31" w:color="232323" w:themeColor="text1"/>
        <w:bottom w:val="single" w:sz="48" w:space="31" w:color="232323" w:themeColor="text1"/>
        <w:right w:val="single" w:sz="48" w:space="31" w:color="232323" w:themeColor="text1"/>
      </w:pBdr>
      <w:shd w:val="clear" w:color="auto" w:fill="232323" w:themeFill="text1"/>
      <w:spacing w:before="120" w:line="276" w:lineRule="auto"/>
      <w:ind w:left="-68" w:right="-68"/>
    </w:pPr>
    <w:rPr>
      <w:color w:val="auto"/>
      <w:sz w:val="56"/>
    </w:rPr>
  </w:style>
  <w:style w:type="table" w:styleId="Sarakstatabula3-izclums4">
    <w:name w:val="List Table 3 Accent 4"/>
    <w:basedOn w:val="Parastatabula"/>
    <w:uiPriority w:val="48"/>
    <w:rsid w:val="0046767C"/>
    <w:pPr>
      <w:spacing w:after="0" w:line="240" w:lineRule="auto"/>
    </w:pPr>
    <w:tblPr>
      <w:tblStyleRowBandSize w:val="1"/>
      <w:tblStyleColBandSize w:val="1"/>
      <w:tblBorders>
        <w:top w:val="single" w:sz="4" w:space="0" w:color="EBFE41" w:themeColor="accent4"/>
        <w:left w:val="single" w:sz="4" w:space="0" w:color="EBFE41" w:themeColor="accent4"/>
        <w:bottom w:val="single" w:sz="4" w:space="0" w:color="EBFE41" w:themeColor="accent4"/>
        <w:right w:val="single" w:sz="4" w:space="0" w:color="EBFE41" w:themeColor="accent4"/>
      </w:tblBorders>
    </w:tblPr>
    <w:tblStylePr w:type="firstRow">
      <w:rPr>
        <w:b/>
        <w:bCs/>
        <w:color w:val="FEFEFE" w:themeColor="background1"/>
      </w:rPr>
      <w:tblPr/>
      <w:tcPr>
        <w:shd w:val="clear" w:color="auto" w:fill="EBFE41" w:themeFill="accent4"/>
      </w:tcPr>
    </w:tblStylePr>
    <w:tblStylePr w:type="lastRow">
      <w:rPr>
        <w:b/>
        <w:bCs/>
      </w:rPr>
      <w:tblPr/>
      <w:tcPr>
        <w:tcBorders>
          <w:top w:val="double" w:sz="4" w:space="0" w:color="EBFE41" w:themeColor="accent4"/>
        </w:tcBorders>
        <w:shd w:val="clear" w:color="auto" w:fill="FEFEFE" w:themeFill="background1"/>
      </w:tcPr>
    </w:tblStylePr>
    <w:tblStylePr w:type="firstCol">
      <w:rPr>
        <w:b/>
        <w:bCs/>
      </w:rPr>
      <w:tblPr/>
      <w:tcPr>
        <w:tcBorders>
          <w:right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EBFE41" w:themeColor="accent4"/>
          <w:right w:val="single" w:sz="4" w:space="0" w:color="EBFE41" w:themeColor="accent4"/>
        </w:tcBorders>
      </w:tcPr>
    </w:tblStylePr>
    <w:tblStylePr w:type="band1Horz">
      <w:tblPr/>
      <w:tcPr>
        <w:tcBorders>
          <w:top w:val="single" w:sz="4" w:space="0" w:color="EBFE41" w:themeColor="accent4"/>
          <w:bottom w:val="single" w:sz="4" w:space="0" w:color="EBFE4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FE41" w:themeColor="accent4"/>
          <w:left w:val="nil"/>
        </w:tcBorders>
      </w:tcPr>
    </w:tblStylePr>
    <w:tblStylePr w:type="swCell">
      <w:tblPr/>
      <w:tcPr>
        <w:tcBorders>
          <w:top w:val="double" w:sz="4" w:space="0" w:color="EBFE41" w:themeColor="accent4"/>
          <w:right w:val="nil"/>
        </w:tcBorders>
      </w:tcPr>
    </w:tblStylePr>
  </w:style>
  <w:style w:type="table" w:styleId="Reatabula5tuma">
    <w:name w:val="Grid Table 5 Dark"/>
    <w:basedOn w:val="Parastatabula"/>
    <w:uiPriority w:val="50"/>
    <w:rsid w:val="00E90C6C"/>
    <w:pPr>
      <w:spacing w:after="0" w:line="240" w:lineRule="auto"/>
    </w:pPr>
    <w:tblPr>
      <w:tblStyleRowBandSize w:val="1"/>
      <w:tblStyleColBandSize w:val="1"/>
      <w:tblBorders>
        <w:top w:val="single" w:sz="4" w:space="0" w:color="FEFEFE" w:themeColor="background1"/>
        <w:left w:val="single" w:sz="4" w:space="0" w:color="FEFEFE" w:themeColor="background1"/>
        <w:bottom w:val="single" w:sz="4" w:space="0" w:color="FEFEFE" w:themeColor="background1"/>
        <w:right w:val="single" w:sz="4" w:space="0" w:color="FEFEFE" w:themeColor="background1"/>
        <w:insideH w:val="single" w:sz="4" w:space="0" w:color="FEFEFE" w:themeColor="background1"/>
        <w:insideV w:val="single" w:sz="4" w:space="0" w:color="FEFEFE" w:themeColor="background1"/>
      </w:tblBorders>
    </w:tblPr>
    <w:tcPr>
      <w:shd w:val="clear" w:color="auto" w:fill="D3D3D3" w:themeFill="tex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tex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text1"/>
      </w:tcPr>
    </w:tblStylePr>
    <w:tblStylePr w:type="firstCol">
      <w:rPr>
        <w:b/>
        <w:bCs/>
        <w:color w:val="FEFEFE" w:themeColor="background1"/>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text1"/>
      </w:tcPr>
    </w:tblStylePr>
    <w:tblStylePr w:type="lastCol">
      <w:rPr>
        <w:b/>
        <w:bCs/>
        <w:color w:val="FEFEFE" w:themeColor="background1"/>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232323" w:themeFill="text1"/>
      </w:tcPr>
    </w:tblStylePr>
    <w:tblStylePr w:type="band1Vert">
      <w:tblPr/>
      <w:tcPr>
        <w:shd w:val="clear" w:color="auto" w:fill="A7A7A7" w:themeFill="text1" w:themeFillTint="66"/>
      </w:tcPr>
    </w:tblStylePr>
    <w:tblStylePr w:type="band1Horz">
      <w:tblPr/>
      <w:tcPr>
        <w:shd w:val="clear" w:color="auto" w:fill="A7A7A7" w:themeFill="text1" w:themeFillTint="66"/>
      </w:tcPr>
    </w:tblStylePr>
  </w:style>
  <w:style w:type="table" w:styleId="Reatabula4-izclums1">
    <w:name w:val="Grid Table 4 Accent 1"/>
    <w:basedOn w:val="Parastatabula"/>
    <w:uiPriority w:val="49"/>
    <w:rsid w:val="00E90C6C"/>
    <w:pPr>
      <w:spacing w:after="0" w:line="240" w:lineRule="auto"/>
    </w:pPr>
    <w:tblPr>
      <w:tblStyleRowBandSize w:val="1"/>
      <w:tblStyleColBandSize w:val="1"/>
      <w:tblBorders>
        <w:top w:val="single" w:sz="4" w:space="0" w:color="7B7B7B" w:themeColor="accent1" w:themeTint="99"/>
        <w:left w:val="single" w:sz="4" w:space="0" w:color="7B7B7B" w:themeColor="accent1" w:themeTint="99"/>
        <w:bottom w:val="single" w:sz="4" w:space="0" w:color="7B7B7B" w:themeColor="accent1" w:themeTint="99"/>
        <w:right w:val="single" w:sz="4" w:space="0" w:color="7B7B7B" w:themeColor="accent1" w:themeTint="99"/>
        <w:insideH w:val="single" w:sz="4" w:space="0" w:color="7B7B7B" w:themeColor="accent1" w:themeTint="99"/>
        <w:insideV w:val="single" w:sz="4" w:space="0" w:color="7B7B7B" w:themeColor="accent1" w:themeTint="99"/>
      </w:tblBorders>
    </w:tblPr>
    <w:tblStylePr w:type="firstRow">
      <w:rPr>
        <w:b/>
        <w:bCs/>
        <w:color w:val="FEFEFE" w:themeColor="background1"/>
      </w:rPr>
      <w:tblPr/>
      <w:tcPr>
        <w:tcBorders>
          <w:top w:val="single" w:sz="4" w:space="0" w:color="232323" w:themeColor="accent1"/>
          <w:left w:val="single" w:sz="4" w:space="0" w:color="232323" w:themeColor="accent1"/>
          <w:bottom w:val="single" w:sz="4" w:space="0" w:color="232323" w:themeColor="accent1"/>
          <w:right w:val="single" w:sz="4" w:space="0" w:color="232323" w:themeColor="accent1"/>
          <w:insideH w:val="nil"/>
          <w:insideV w:val="nil"/>
        </w:tcBorders>
        <w:shd w:val="clear" w:color="auto" w:fill="232323" w:themeFill="accent1"/>
      </w:tcPr>
    </w:tblStylePr>
    <w:tblStylePr w:type="lastRow">
      <w:rPr>
        <w:b/>
        <w:bCs/>
      </w:rPr>
      <w:tblPr/>
      <w:tcPr>
        <w:tcBorders>
          <w:top w:val="double" w:sz="4" w:space="0" w:color="232323" w:themeColor="accent1"/>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table" w:styleId="Reatabula4">
    <w:name w:val="Grid Table 4"/>
    <w:basedOn w:val="Parastatabula"/>
    <w:uiPriority w:val="49"/>
    <w:rsid w:val="00E90C6C"/>
    <w:pPr>
      <w:spacing w:after="0" w:line="240" w:lineRule="auto"/>
    </w:p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color w:val="FEFEFE" w:themeColor="background1"/>
      </w:rPr>
      <w:tblPr/>
      <w:tcPr>
        <w:tcBorders>
          <w:top w:val="single" w:sz="4" w:space="0" w:color="232323" w:themeColor="text1"/>
          <w:left w:val="single" w:sz="4" w:space="0" w:color="232323" w:themeColor="text1"/>
          <w:bottom w:val="single" w:sz="4" w:space="0" w:color="232323" w:themeColor="text1"/>
          <w:right w:val="single" w:sz="4" w:space="0" w:color="232323" w:themeColor="text1"/>
          <w:insideH w:val="nil"/>
          <w:insideV w:val="nil"/>
        </w:tcBorders>
        <w:shd w:val="clear" w:color="auto" w:fill="232323" w:themeFill="text1"/>
      </w:tcPr>
    </w:tblStylePr>
    <w:tblStylePr w:type="lastRow">
      <w:rPr>
        <w:b/>
        <w:bCs/>
      </w:rPr>
      <w:tblPr/>
      <w:tcPr>
        <w:tcBorders>
          <w:top w:val="double" w:sz="4" w:space="0" w:color="232323" w:themeColor="text1"/>
        </w:tcBorders>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Reatabula3">
    <w:name w:val="Grid Table 3"/>
    <w:basedOn w:val="Parastatabula"/>
    <w:uiPriority w:val="48"/>
    <w:rsid w:val="009610F4"/>
    <w:pPr>
      <w:spacing w:after="0" w:line="240" w:lineRule="auto"/>
    </w:pPr>
    <w:tblPr>
      <w:tblStyleRowBandSize w:val="1"/>
      <w:tblStyleColBandSize w:val="1"/>
      <w:tblBorders>
        <w:top w:val="single" w:sz="4" w:space="0" w:color="7B7B7B" w:themeColor="text1" w:themeTint="99"/>
        <w:left w:val="single" w:sz="4" w:space="0" w:color="7B7B7B" w:themeColor="text1" w:themeTint="99"/>
        <w:bottom w:val="single" w:sz="4" w:space="0" w:color="7B7B7B" w:themeColor="text1" w:themeTint="99"/>
        <w:right w:val="single" w:sz="4" w:space="0" w:color="7B7B7B" w:themeColor="text1" w:themeTint="99"/>
        <w:insideH w:val="single" w:sz="4" w:space="0" w:color="7B7B7B" w:themeColor="text1" w:themeTint="99"/>
        <w:insideV w:val="single" w:sz="4" w:space="0" w:color="7B7B7B" w:themeColor="text1" w:themeTint="99"/>
      </w:tblBorders>
    </w:tblPr>
    <w:tblStylePr w:type="firstRow">
      <w:rPr>
        <w:b/>
        <w:bCs/>
      </w:rPr>
      <w:tblPr/>
      <w:tcPr>
        <w:tcBorders>
          <w:top w:val="nil"/>
          <w:left w:val="nil"/>
          <w:right w:val="nil"/>
          <w:insideH w:val="nil"/>
          <w:insideV w:val="nil"/>
        </w:tcBorders>
        <w:shd w:val="clear" w:color="auto" w:fill="FEFEFE" w:themeFill="background1"/>
      </w:tcPr>
    </w:tblStylePr>
    <w:tblStylePr w:type="lastRow">
      <w:rPr>
        <w:b/>
        <w:bCs/>
      </w:rPr>
      <w:tblPr/>
      <w:tcPr>
        <w:tcBorders>
          <w:left w:val="nil"/>
          <w:bottom w:val="nil"/>
          <w:right w:val="nil"/>
          <w:insideH w:val="nil"/>
          <w:insideV w:val="nil"/>
        </w:tcBorders>
        <w:shd w:val="clear" w:color="auto" w:fill="FEFEFE" w:themeFill="background1"/>
      </w:tcPr>
    </w:tblStylePr>
    <w:tblStylePr w:type="firstCol">
      <w:pPr>
        <w:jc w:val="right"/>
      </w:pPr>
      <w:rPr>
        <w:b/>
        <w:i w:val="0"/>
        <w:iCs/>
      </w:rPr>
      <w:tblPr/>
      <w:tcPr>
        <w:tcBorders>
          <w:top w:val="nil"/>
          <w:left w:val="nil"/>
          <w:bottom w:val="nil"/>
          <w:insideH w:val="nil"/>
          <w:insideV w:val="nil"/>
        </w:tcBorders>
        <w:shd w:val="clear" w:color="auto" w:fill="FEFEFE" w:themeFill="background1"/>
      </w:tcPr>
    </w:tblStylePr>
    <w:tblStylePr w:type="lastCol">
      <w:rPr>
        <w:i/>
        <w:iCs/>
      </w:rPr>
      <w:tblPr/>
      <w:tcPr>
        <w:tcBorders>
          <w:top w:val="nil"/>
          <w:bottom w:val="nil"/>
          <w:right w:val="nil"/>
          <w:insideH w:val="nil"/>
          <w:insideV w:val="nil"/>
        </w:tcBorders>
        <w:shd w:val="clear" w:color="auto" w:fill="FEFEFE" w:themeFill="background1"/>
      </w:tcPr>
    </w:tblStylePr>
    <w:tblStylePr w:type="band1Vert">
      <w:tblPr/>
      <w:tcPr>
        <w:shd w:val="clear" w:color="auto" w:fill="D3D3D3" w:themeFill="text1" w:themeFillTint="33"/>
      </w:tcPr>
    </w:tblStylePr>
    <w:tblStylePr w:type="band1Horz">
      <w:tblPr/>
      <w:tcPr>
        <w:shd w:val="clear" w:color="auto" w:fill="D3D3D3" w:themeFill="text1" w:themeFillTint="33"/>
      </w:tcPr>
    </w:tblStylePr>
    <w:tblStylePr w:type="neCell">
      <w:tblPr/>
      <w:tcPr>
        <w:tcBorders>
          <w:bottom w:val="single" w:sz="4" w:space="0" w:color="7B7B7B" w:themeColor="text1" w:themeTint="99"/>
        </w:tcBorders>
      </w:tcPr>
    </w:tblStylePr>
    <w:tblStylePr w:type="nwCell">
      <w:rPr>
        <w:color w:val="FEFEFE" w:themeColor="background1"/>
      </w:rPr>
      <w:tblPr/>
      <w:tcPr>
        <w:tcBorders>
          <w:top w:val="single" w:sz="4" w:space="0" w:color="232323" w:themeColor="text1"/>
          <w:left w:val="single" w:sz="4" w:space="0" w:color="232323" w:themeColor="text1"/>
          <w:bottom w:val="single" w:sz="4" w:space="0" w:color="232323" w:themeColor="text1"/>
          <w:right w:val="single" w:sz="4" w:space="0" w:color="232323" w:themeColor="text1"/>
          <w:insideH w:val="nil"/>
          <w:insideV w:val="nil"/>
          <w:tl2br w:val="nil"/>
          <w:tr2bl w:val="nil"/>
        </w:tcBorders>
        <w:shd w:val="clear" w:color="auto" w:fill="232323" w:themeFill="text1"/>
      </w:tcPr>
    </w:tblStylePr>
    <w:tblStylePr w:type="seCell">
      <w:tblPr/>
      <w:tcPr>
        <w:tcBorders>
          <w:top w:val="single" w:sz="4" w:space="0" w:color="7B7B7B" w:themeColor="text1" w:themeTint="99"/>
        </w:tcBorders>
      </w:tcPr>
    </w:tblStylePr>
    <w:tblStylePr w:type="swCell">
      <w:tblPr/>
      <w:tcPr>
        <w:tcBorders>
          <w:top w:val="single" w:sz="4" w:space="0" w:color="7B7B7B" w:themeColor="text1" w:themeTint="99"/>
        </w:tcBorders>
      </w:tcPr>
    </w:tblStylePr>
  </w:style>
  <w:style w:type="table" w:styleId="Sarakstatabula3">
    <w:name w:val="List Table 3"/>
    <w:basedOn w:val="Parastatabula"/>
    <w:uiPriority w:val="48"/>
    <w:rsid w:val="00E90C6C"/>
    <w:pPr>
      <w:spacing w:after="0" w:line="240" w:lineRule="auto"/>
    </w:pPr>
    <w:tblPr>
      <w:tblStyleRowBandSize w:val="1"/>
      <w:tblStyleColBandSize w:val="1"/>
      <w:tblBorders>
        <w:top w:val="single" w:sz="4" w:space="0" w:color="232323" w:themeColor="text1"/>
        <w:left w:val="single" w:sz="4" w:space="0" w:color="232323" w:themeColor="text1"/>
        <w:bottom w:val="single" w:sz="4" w:space="0" w:color="232323" w:themeColor="text1"/>
        <w:right w:val="single" w:sz="4" w:space="0" w:color="232323" w:themeColor="text1"/>
      </w:tblBorders>
    </w:tblPr>
    <w:tblStylePr w:type="firstRow">
      <w:rPr>
        <w:b/>
        <w:bCs/>
        <w:color w:val="FEFEFE" w:themeColor="background1"/>
      </w:rPr>
      <w:tblPr/>
      <w:tcPr>
        <w:shd w:val="clear" w:color="auto" w:fill="232323" w:themeFill="text1"/>
      </w:tcPr>
    </w:tblStylePr>
    <w:tblStylePr w:type="lastRow">
      <w:rPr>
        <w:b/>
        <w:bCs/>
      </w:rPr>
      <w:tblPr/>
      <w:tcPr>
        <w:tcBorders>
          <w:top w:val="double" w:sz="4" w:space="0" w:color="232323" w:themeColor="text1"/>
        </w:tcBorders>
        <w:shd w:val="clear" w:color="auto" w:fill="FEFEFE" w:themeFill="background1"/>
      </w:tcPr>
    </w:tblStylePr>
    <w:tblStylePr w:type="firstCol">
      <w:rPr>
        <w:b/>
        <w:bCs/>
      </w:rPr>
      <w:tblPr/>
      <w:tcPr>
        <w:tcBorders>
          <w:right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single" w:sz="4" w:space="0" w:color="232323" w:themeColor="text1"/>
          <w:right w:val="single" w:sz="4" w:space="0" w:color="232323" w:themeColor="text1"/>
        </w:tcBorders>
      </w:tcPr>
    </w:tblStylePr>
    <w:tblStylePr w:type="band1Horz">
      <w:tblPr/>
      <w:tcPr>
        <w:tcBorders>
          <w:top w:val="single" w:sz="4" w:space="0" w:color="232323" w:themeColor="text1"/>
          <w:bottom w:val="single" w:sz="4" w:space="0" w:color="23232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323" w:themeColor="text1"/>
          <w:left w:val="nil"/>
        </w:tcBorders>
      </w:tcPr>
    </w:tblStylePr>
    <w:tblStylePr w:type="swCell">
      <w:tblPr/>
      <w:tcPr>
        <w:tcBorders>
          <w:top w:val="double" w:sz="4" w:space="0" w:color="232323" w:themeColor="text1"/>
          <w:right w:val="nil"/>
        </w:tcBorders>
      </w:tcPr>
    </w:tblStylePr>
  </w:style>
  <w:style w:type="table" w:styleId="Reatabula2">
    <w:name w:val="Grid Table 2"/>
    <w:basedOn w:val="Parastatabula"/>
    <w:uiPriority w:val="47"/>
    <w:rsid w:val="00F1771B"/>
    <w:pPr>
      <w:spacing w:after="0" w:line="240" w:lineRule="auto"/>
    </w:pPr>
    <w:tblPr>
      <w:tblStyleRowBandSize w:val="1"/>
      <w:tblStyleColBandSize w:val="1"/>
      <w:tblBorders>
        <w:top w:val="single" w:sz="2" w:space="0" w:color="7B7B7B" w:themeColor="text1" w:themeTint="99"/>
        <w:bottom w:val="single" w:sz="2" w:space="0" w:color="7B7B7B" w:themeColor="text1" w:themeTint="99"/>
        <w:insideH w:val="single" w:sz="2" w:space="0" w:color="7B7B7B" w:themeColor="text1" w:themeTint="99"/>
        <w:insideV w:val="single" w:sz="2" w:space="0" w:color="7B7B7B" w:themeColor="text1" w:themeTint="99"/>
      </w:tblBorders>
    </w:tblPr>
    <w:tblStylePr w:type="firstRow">
      <w:rPr>
        <w:b/>
        <w:bCs/>
      </w:rPr>
      <w:tblPr/>
      <w:tcPr>
        <w:tcBorders>
          <w:top w:val="nil"/>
          <w:bottom w:val="single" w:sz="12" w:space="0" w:color="7B7B7B" w:themeColor="text1" w:themeTint="99"/>
          <w:insideH w:val="nil"/>
          <w:insideV w:val="nil"/>
        </w:tcBorders>
        <w:shd w:val="clear" w:color="auto" w:fill="FEFEFE" w:themeFill="background1"/>
      </w:tcPr>
    </w:tblStylePr>
    <w:tblStylePr w:type="lastRow">
      <w:rPr>
        <w:b/>
        <w:bCs/>
      </w:rPr>
      <w:tblPr/>
      <w:tcPr>
        <w:tcBorders>
          <w:top w:val="double" w:sz="2" w:space="0" w:color="7B7B7B" w:themeColor="text1" w:themeTint="99"/>
          <w:bottom w:val="nil"/>
          <w:insideH w:val="nil"/>
          <w:insideV w:val="nil"/>
        </w:tcBorders>
        <w:shd w:val="clear" w:color="auto" w:fill="FEFEFE" w:themeFill="background1"/>
      </w:tcPr>
    </w:tblStylePr>
    <w:tblStylePr w:type="firstCol">
      <w:rPr>
        <w:b/>
        <w:bCs/>
      </w:rPr>
    </w:tblStylePr>
    <w:tblStylePr w:type="lastCol">
      <w:rPr>
        <w:b/>
        <w:bCs/>
      </w:rPr>
    </w:tblStylePr>
    <w:tblStylePr w:type="band1Vert">
      <w:tblPr/>
      <w:tcPr>
        <w:shd w:val="clear" w:color="auto" w:fill="D3D3D3" w:themeFill="text1" w:themeFillTint="33"/>
      </w:tcPr>
    </w:tblStylePr>
    <w:tblStylePr w:type="band1Horz">
      <w:tblPr/>
      <w:tcPr>
        <w:shd w:val="clear" w:color="auto" w:fill="D3D3D3" w:themeFill="text1" w:themeFillTint="33"/>
      </w:tcPr>
    </w:tblStylePr>
  </w:style>
  <w:style w:type="table" w:styleId="Sarakstatabula4-izclums1">
    <w:name w:val="List Table 4 Accent 1"/>
    <w:basedOn w:val="Parastatabula"/>
    <w:uiPriority w:val="49"/>
    <w:rsid w:val="005044D3"/>
    <w:pPr>
      <w:spacing w:after="0" w:line="240" w:lineRule="auto"/>
    </w:pPr>
    <w:tblPr>
      <w:tblStyleRowBandSize w:val="1"/>
      <w:tblStyleColBandSize w:val="1"/>
      <w:tblBorders>
        <w:top w:val="single" w:sz="4" w:space="0" w:color="7B7B7B" w:themeColor="accent1" w:themeTint="99"/>
        <w:left w:val="single" w:sz="4" w:space="0" w:color="7B7B7B" w:themeColor="accent1" w:themeTint="99"/>
        <w:bottom w:val="single" w:sz="4" w:space="0" w:color="7B7B7B" w:themeColor="accent1" w:themeTint="99"/>
        <w:right w:val="single" w:sz="4" w:space="0" w:color="7B7B7B" w:themeColor="accent1" w:themeTint="99"/>
        <w:insideH w:val="single" w:sz="4" w:space="0" w:color="7B7B7B" w:themeColor="accent1" w:themeTint="99"/>
      </w:tblBorders>
    </w:tblPr>
    <w:tblStylePr w:type="firstRow">
      <w:rPr>
        <w:b/>
        <w:bCs/>
        <w:color w:val="FEFEFE" w:themeColor="background1"/>
      </w:rPr>
      <w:tblPr/>
      <w:tcPr>
        <w:tcBorders>
          <w:top w:val="single" w:sz="4" w:space="0" w:color="232323" w:themeColor="accent1"/>
          <w:left w:val="single" w:sz="4" w:space="0" w:color="232323" w:themeColor="accent1"/>
          <w:bottom w:val="single" w:sz="4" w:space="0" w:color="232323" w:themeColor="accent1"/>
          <w:right w:val="single" w:sz="4" w:space="0" w:color="232323" w:themeColor="accent1"/>
          <w:insideH w:val="nil"/>
        </w:tcBorders>
        <w:shd w:val="clear" w:color="auto" w:fill="232323" w:themeFill="accent1"/>
      </w:tcPr>
    </w:tblStylePr>
    <w:tblStylePr w:type="lastRow">
      <w:rPr>
        <w:b/>
        <w:bCs/>
      </w:rPr>
      <w:tblPr/>
      <w:tcPr>
        <w:tcBorders>
          <w:top w:val="double" w:sz="4" w:space="0" w:color="7B7B7B" w:themeColor="accent1" w:themeTint="99"/>
        </w:tcBorders>
      </w:tcPr>
    </w:tblStylePr>
    <w:tblStylePr w:type="firstCol">
      <w:rPr>
        <w:b/>
        <w:bCs/>
      </w:rPr>
    </w:tblStylePr>
    <w:tblStylePr w:type="lastCol">
      <w:rPr>
        <w:b/>
        <w:bCs/>
      </w:rPr>
    </w:tblStylePr>
    <w:tblStylePr w:type="band1Vert">
      <w:tblPr/>
      <w:tcPr>
        <w:shd w:val="clear" w:color="auto" w:fill="D3D3D3" w:themeFill="accent1" w:themeFillTint="33"/>
      </w:tcPr>
    </w:tblStylePr>
    <w:tblStylePr w:type="band1Horz">
      <w:tblPr/>
      <w:tcPr>
        <w:shd w:val="clear" w:color="auto" w:fill="D3D3D3" w:themeFill="accent1" w:themeFillTint="33"/>
      </w:tcPr>
    </w:tblStylePr>
  </w:style>
  <w:style w:type="paragraph" w:styleId="Sarakstarindkopa">
    <w:name w:val="List Paragraph"/>
    <w:basedOn w:val="Parasts"/>
    <w:uiPriority w:val="34"/>
    <w:qFormat/>
    <w:rsid w:val="001555D2"/>
    <w:pPr>
      <w:ind w:left="720"/>
      <w:contextualSpacing/>
    </w:pPr>
  </w:style>
  <w:style w:type="table" w:customStyle="1" w:styleId="CivittaTable2DarkGrey">
    <w:name w:val="Civitta Table 2 Dark Grey"/>
    <w:basedOn w:val="Reatabula5tuma-izclums1"/>
    <w:uiPriority w:val="99"/>
    <w:rsid w:val="00BC03FA"/>
    <w:tblPr>
      <w:tblCellMar>
        <w:top w:w="85" w:type="dxa"/>
        <w:bottom w:w="85" w:type="dxa"/>
      </w:tblCellMar>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E6E6E6" w:themeFill="accent3"/>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FEFEFE" w:themeFill="background1"/>
      </w:tcPr>
    </w:tblStylePr>
  </w:style>
  <w:style w:type="table" w:customStyle="1" w:styleId="CivittaTable2Green">
    <w:name w:val="Civitta Table 2 Green"/>
    <w:basedOn w:val="CivittaTable2DarkGrey"/>
    <w:uiPriority w:val="99"/>
    <w:rsid w:val="00BC03FA"/>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B1F7D7" w:themeFill="accent5" w:themeFillTint="66"/>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FEFEFE" w:themeFill="background1"/>
      </w:tcPr>
    </w:tblStylePr>
    <w:tblStylePr w:type="neCell">
      <w:tblPr/>
      <w:tcPr>
        <w:shd w:val="clear" w:color="auto" w:fill="3CEB9D" w:themeFill="accent5"/>
      </w:tcPr>
    </w:tblStylePr>
  </w:style>
  <w:style w:type="table" w:styleId="Reatabula5tuma-izclums1">
    <w:name w:val="Grid Table 5 Dark Accent 1"/>
    <w:basedOn w:val="Parastatabula"/>
    <w:uiPriority w:val="50"/>
    <w:rsid w:val="00974A63"/>
    <w:pPr>
      <w:spacing w:after="0" w:line="240" w:lineRule="auto"/>
    </w:pPr>
    <w:tblPr>
      <w:tblStyleRowBandSize w:val="1"/>
      <w:tblStyleColBandSize w:val="1"/>
      <w:tblBorders>
        <w:top w:val="single" w:sz="4" w:space="0" w:color="FEFEFE" w:themeColor="background1"/>
        <w:left w:val="single" w:sz="4" w:space="0" w:color="FEFEFE" w:themeColor="background1"/>
        <w:bottom w:val="single" w:sz="4" w:space="0" w:color="FEFEFE" w:themeColor="background1"/>
        <w:right w:val="single" w:sz="4" w:space="0" w:color="FEFEFE" w:themeColor="background1"/>
        <w:insideH w:val="single" w:sz="4" w:space="0" w:color="FEFEFE" w:themeColor="background1"/>
        <w:insideV w:val="single" w:sz="4" w:space="0" w:color="FEFEFE" w:themeColor="background1"/>
      </w:tblBorders>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FEFEFE" w:themeColor="background1"/>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FEFEFE" w:themeColor="background1"/>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232323" w:themeFill="accent1"/>
      </w:tcPr>
    </w:tblStylePr>
    <w:tblStylePr w:type="band1Vert">
      <w:tblPr/>
      <w:tcPr>
        <w:shd w:val="clear" w:color="auto" w:fill="A7A7A7" w:themeFill="accent1" w:themeFillTint="66"/>
      </w:tcPr>
    </w:tblStylePr>
    <w:tblStylePr w:type="band1Horz">
      <w:tblPr/>
      <w:tcPr>
        <w:shd w:val="clear" w:color="auto" w:fill="A7A7A7" w:themeFill="accent1" w:themeFillTint="66"/>
      </w:tcPr>
    </w:tblStylePr>
  </w:style>
  <w:style w:type="table" w:customStyle="1" w:styleId="CivittaTable2Purple">
    <w:name w:val="Civitta Table 2 Purple"/>
    <w:basedOn w:val="CivittaTable2DarkGrey"/>
    <w:uiPriority w:val="99"/>
    <w:rsid w:val="00BC03FA"/>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232323" w:themeFill="accent1"/>
      </w:tcPr>
    </w:tblStylePr>
    <w:tblStylePr w:type="lastRow">
      <w:rPr>
        <w:b/>
        <w:bCs/>
        <w:color w:val="FEFEFE" w:themeColor="background1"/>
      </w:rPr>
      <w:tblPr/>
      <w:tcPr>
        <w:tcBorders>
          <w:left w:val="single" w:sz="4" w:space="0" w:color="FEFEFE" w:themeColor="background1"/>
          <w:bottom w:val="single" w:sz="4" w:space="0" w:color="FEFEFE" w:themeColor="background1"/>
          <w:right w:val="single" w:sz="4" w:space="0" w:color="FEFEFE" w:themeColor="background1"/>
          <w:insideH w:val="nil"/>
          <w:insideV w:val="nil"/>
        </w:tcBorders>
        <w:shd w:val="clear" w:color="auto" w:fill="232323" w:themeFill="accent1"/>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E771FF" w:themeFill="accent6" w:themeFillTint="66"/>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FEFEFE" w:themeFill="background1"/>
      </w:tcPr>
    </w:tblStylePr>
    <w:tblStylePr w:type="neCell">
      <w:tblPr/>
      <w:tcPr>
        <w:shd w:val="clear" w:color="auto" w:fill="82009B" w:themeFill="accent6"/>
      </w:tcPr>
    </w:tblStylePr>
  </w:style>
  <w:style w:type="table" w:customStyle="1" w:styleId="Style1">
    <w:name w:val="Style1"/>
    <w:basedOn w:val="CivittaTable2DarkGrey"/>
    <w:uiPriority w:val="99"/>
    <w:rsid w:val="00CC776E"/>
    <w:tblPr/>
    <w:tcPr>
      <w:shd w:val="clear" w:color="auto" w:fill="D3D3D3" w:themeFill="accent1" w:themeFillTint="33"/>
    </w:tcPr>
    <w:tblStylePr w:type="firstRow">
      <w:rPr>
        <w:b/>
        <w:bCs/>
        <w:color w:val="FEFEFE" w:themeColor="background1"/>
      </w:rPr>
      <w:tblPr/>
      <w:tcPr>
        <w:tcBorders>
          <w:top w:val="single" w:sz="4" w:space="0" w:color="FEFEFE" w:themeColor="background1"/>
          <w:left w:val="single" w:sz="4" w:space="0" w:color="FEFEFE" w:themeColor="background1"/>
          <w:right w:val="single" w:sz="4" w:space="0" w:color="FEFEFE" w:themeColor="background1"/>
          <w:insideH w:val="nil"/>
          <w:insideV w:val="nil"/>
        </w:tcBorders>
        <w:shd w:val="clear" w:color="auto" w:fill="82009B" w:themeFill="accent6"/>
      </w:tcPr>
    </w:tblStylePr>
    <w:tblStylePr w:type="lastRow">
      <w:rPr>
        <w:b/>
        <w:bCs/>
        <w:color w:val="auto"/>
      </w:rPr>
      <w:tblPr/>
      <w:tcPr>
        <w:tcBorders>
          <w:top w:val="single" w:sz="12" w:space="0" w:color="82009B" w:themeColor="accent6"/>
          <w:left w:val="single" w:sz="4" w:space="0" w:color="FEFEFE" w:themeColor="background1"/>
          <w:bottom w:val="single" w:sz="4" w:space="0" w:color="FEFEFE" w:themeColor="background1"/>
          <w:right w:val="single" w:sz="4" w:space="0" w:color="FEFEFE" w:themeColor="background1"/>
          <w:insideH w:val="nil"/>
          <w:insideV w:val="nil"/>
        </w:tcBorders>
        <w:shd w:val="clear" w:color="auto" w:fill="C7C7C7" w:themeFill="accent1" w:themeFillTint="40"/>
      </w:tcPr>
    </w:tblStylePr>
    <w:tblStylePr w:type="firstCol">
      <w:rPr>
        <w:b/>
        <w:bCs/>
        <w:color w:val="auto"/>
      </w:rPr>
      <w:tblPr/>
      <w:tcPr>
        <w:tcBorders>
          <w:top w:val="single" w:sz="4" w:space="0" w:color="FEFEFE" w:themeColor="background1"/>
          <w:left w:val="single" w:sz="4" w:space="0" w:color="FEFEFE" w:themeColor="background1"/>
          <w:bottom w:val="single" w:sz="4" w:space="0" w:color="FEFEFE" w:themeColor="background1"/>
          <w:insideV w:val="nil"/>
        </w:tcBorders>
        <w:shd w:val="clear" w:color="auto" w:fill="232323" w:themeFill="accent1"/>
      </w:tcPr>
    </w:tblStylePr>
    <w:tblStylePr w:type="lastCol">
      <w:rPr>
        <w:b/>
        <w:bCs/>
        <w:color w:val="auto"/>
      </w:rPr>
      <w:tblPr/>
      <w:tcPr>
        <w:tcBorders>
          <w:top w:val="single" w:sz="4" w:space="0" w:color="FEFEFE" w:themeColor="background1"/>
          <w:bottom w:val="single" w:sz="4" w:space="0" w:color="FEFEFE" w:themeColor="background1"/>
          <w:right w:val="single" w:sz="4" w:space="0" w:color="FEFEFE" w:themeColor="background1"/>
          <w:insideV w:val="nil"/>
        </w:tcBorders>
        <w:shd w:val="clear" w:color="auto" w:fill="E6E6E6" w:themeFill="accent3"/>
      </w:tcPr>
    </w:tblStylePr>
    <w:tblStylePr w:type="band1Vert">
      <w:tblPr/>
      <w:tcPr>
        <w:shd w:val="clear" w:color="auto" w:fill="A7A7A7" w:themeFill="accent1" w:themeFillTint="66"/>
      </w:tcPr>
    </w:tblStylePr>
    <w:tblStylePr w:type="band1Horz">
      <w:tblPr/>
      <w:tcPr>
        <w:shd w:val="clear" w:color="auto" w:fill="CDCECD" w:themeFill="accent2" w:themeFillTint="99"/>
      </w:tcPr>
    </w:tblStylePr>
    <w:tblStylePr w:type="band2Horz">
      <w:tblPr/>
      <w:tcPr>
        <w:shd w:val="clear" w:color="auto" w:fill="EEEEEE" w:themeFill="accent2" w:themeFillTint="33"/>
      </w:tcPr>
    </w:tblStylePr>
    <w:tblStylePr w:type="nwCell">
      <w:tblPr/>
      <w:tcPr>
        <w:shd w:val="clear" w:color="auto" w:fill="232323" w:themeFill="text2"/>
      </w:tcPr>
    </w:tblStylePr>
    <w:tblStylePr w:type="swCell">
      <w:tblPr/>
      <w:tcPr>
        <w:tcBorders>
          <w:top w:val="single" w:sz="4" w:space="0" w:color="E8E8E8" w:themeColor="text1" w:themeTint="1A"/>
          <w:left w:val="single" w:sz="4" w:space="0" w:color="E8E8E8" w:themeColor="text1" w:themeTint="1A"/>
          <w:bottom w:val="single" w:sz="4" w:space="0" w:color="E8E8E8" w:themeColor="text1" w:themeTint="1A"/>
          <w:right w:val="single" w:sz="4" w:space="0" w:color="E8E8E8" w:themeColor="text1" w:themeTint="1A"/>
          <w:insideH w:val="single" w:sz="4" w:space="0" w:color="E8E8E8" w:themeColor="text1" w:themeTint="1A"/>
          <w:insideV w:val="single" w:sz="4" w:space="0" w:color="E8E8E8" w:themeColor="text1" w:themeTint="1A"/>
        </w:tcBorders>
        <w:shd w:val="clear" w:color="auto" w:fill="D3D3D3" w:themeFill="accent1" w:themeFillTint="33"/>
      </w:tcPr>
    </w:tblStylePr>
  </w:style>
  <w:style w:type="paragraph" w:styleId="Saturs4">
    <w:name w:val="toc 4"/>
    <w:basedOn w:val="Parasts"/>
    <w:next w:val="Parasts"/>
    <w:autoRedefine/>
    <w:uiPriority w:val="39"/>
    <w:rsid w:val="00D653D2"/>
    <w:pPr>
      <w:spacing w:after="100"/>
      <w:ind w:left="1361" w:hanging="340"/>
    </w:pPr>
  </w:style>
  <w:style w:type="paragraph" w:customStyle="1" w:styleId="DarkBlockwoTOC">
    <w:name w:val="Dark Block w/o TOC"/>
    <w:basedOn w:val="DarkBlock"/>
    <w:link w:val="DarkBlockwoTOCChar"/>
    <w:uiPriority w:val="14"/>
    <w:qFormat/>
    <w:rsid w:val="00D653D2"/>
  </w:style>
  <w:style w:type="character" w:customStyle="1" w:styleId="DarkBlockChar">
    <w:name w:val="Dark Block Char"/>
    <w:basedOn w:val="Noklusjumarindkopasfonts"/>
    <w:link w:val="DarkBlock"/>
    <w:uiPriority w:val="14"/>
    <w:rsid w:val="00707FA1"/>
    <w:rPr>
      <w:rFonts w:asciiTheme="majorHAnsi" w:hAnsiTheme="majorHAnsi"/>
      <w:color w:val="FEFEFE" w:themeColor="background1"/>
      <w:sz w:val="56"/>
      <w:shd w:val="clear" w:color="auto" w:fill="232323" w:themeFill="text2"/>
      <w:lang w:val="en-US"/>
    </w:rPr>
  </w:style>
  <w:style w:type="character" w:customStyle="1" w:styleId="DarkBlockwoTOCChar">
    <w:name w:val="Dark Block w/o TOC Char"/>
    <w:basedOn w:val="DarkBlockChar"/>
    <w:link w:val="DarkBlockwoTOC"/>
    <w:uiPriority w:val="14"/>
    <w:rsid w:val="00707FA1"/>
    <w:rPr>
      <w:rFonts w:asciiTheme="majorHAnsi" w:hAnsiTheme="majorHAnsi"/>
      <w:color w:val="FEFEFE" w:themeColor="background1"/>
      <w:sz w:val="56"/>
      <w:shd w:val="clear" w:color="auto" w:fill="232323" w:themeFill="text2"/>
      <w:lang w:val="en-US"/>
    </w:rPr>
  </w:style>
  <w:style w:type="table" w:styleId="Sarakstatabula3-izclums6">
    <w:name w:val="List Table 3 Accent 6"/>
    <w:basedOn w:val="Parastatabula"/>
    <w:uiPriority w:val="48"/>
    <w:rsid w:val="00F2683B"/>
    <w:pPr>
      <w:spacing w:after="0" w:line="240" w:lineRule="auto"/>
    </w:pPr>
    <w:tblPr>
      <w:tblStyleRowBandSize w:val="1"/>
      <w:tblStyleColBandSize w:val="1"/>
    </w:tblPr>
    <w:tblStylePr w:type="firstRow">
      <w:rPr>
        <w:b/>
        <w:bCs/>
        <w:color w:val="FEFEFE" w:themeColor="background1"/>
      </w:rPr>
      <w:tblPr/>
      <w:tcPr>
        <w:shd w:val="clear" w:color="auto" w:fill="82009B" w:themeFill="accent6"/>
      </w:tcPr>
    </w:tblStylePr>
    <w:tblStylePr w:type="lastRow">
      <w:rPr>
        <w:b/>
        <w:bCs/>
      </w:rPr>
      <w:tblPr/>
      <w:tcPr>
        <w:tcBorders>
          <w:top w:val="single" w:sz="12" w:space="0" w:color="82009B" w:themeColor="accent6"/>
        </w:tcBorders>
        <w:shd w:val="clear" w:color="auto" w:fill="FEFEFE" w:themeFill="background1"/>
      </w:tcPr>
    </w:tblStylePr>
    <w:tblStylePr w:type="firstCol">
      <w:rPr>
        <w:b/>
        <w:bCs/>
      </w:rPr>
      <w:tblPr/>
      <w:tcPr>
        <w:tcBorders>
          <w:top w:val="nil"/>
          <w:left w:val="nil"/>
          <w:bottom w:val="nil"/>
          <w:right w:val="nil"/>
          <w:insideH w:val="nil"/>
          <w:insideV w:val="nil"/>
          <w:tl2br w:val="nil"/>
          <w:tr2bl w:val="nil"/>
        </w:tcBorders>
        <w:shd w:val="clear" w:color="auto" w:fill="FEFEFE" w:themeFill="background1"/>
      </w:tcPr>
    </w:tblStylePr>
    <w:tblStylePr w:type="lastCol">
      <w:rPr>
        <w:b/>
        <w:bCs/>
      </w:rPr>
      <w:tblPr/>
      <w:tcPr>
        <w:tcBorders>
          <w:left w:val="nil"/>
        </w:tcBorders>
        <w:shd w:val="clear" w:color="auto" w:fill="FEFEFE" w:themeFill="background1"/>
      </w:tcPr>
    </w:tblStylePr>
    <w:tblStylePr w:type="band1Vert">
      <w:tblPr/>
      <w:tcPr>
        <w:tcBorders>
          <w:left w:val="nil"/>
          <w:right w:val="nil"/>
        </w:tcBorders>
      </w:tcPr>
    </w:tblStylePr>
    <w:tblStylePr w:type="band1Horz">
      <w:tblPr/>
      <w:tcPr>
        <w:tcBorders>
          <w:top w:val="nil"/>
          <w:bottom w:val="nil"/>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09B" w:themeColor="accent6"/>
          <w:left w:val="nil"/>
        </w:tcBorders>
      </w:tcPr>
    </w:tblStylePr>
    <w:tblStylePr w:type="swCell">
      <w:tblPr/>
      <w:tcPr>
        <w:tcBorders>
          <w:top w:val="single" w:sz="12" w:space="0" w:color="auto"/>
          <w:left w:val="nil"/>
          <w:bottom w:val="nil"/>
          <w:right w:val="nil"/>
          <w:insideH w:val="nil"/>
          <w:insideV w:val="nil"/>
          <w:tl2br w:val="nil"/>
          <w:tr2bl w:val="nil"/>
        </w:tcBorders>
      </w:tcPr>
    </w:tblStylePr>
  </w:style>
  <w:style w:type="character" w:customStyle="1" w:styleId="SectionHeaderChar">
    <w:name w:val="Section Header Char"/>
    <w:basedOn w:val="Virsraksts1Rakstz"/>
    <w:link w:val="SectionHeader"/>
    <w:uiPriority w:val="13"/>
    <w:rsid w:val="00EB03C4"/>
    <w:rPr>
      <w:rFonts w:asciiTheme="majorHAnsi" w:eastAsiaTheme="majorEastAsia" w:hAnsiTheme="majorHAnsi" w:cstheme="majorBidi"/>
      <w:color w:val="1A1A1A" w:themeColor="accent1" w:themeShade="BF"/>
      <w:sz w:val="72"/>
      <w:szCs w:val="32"/>
      <w:lang w:val="lv-LV"/>
    </w:rPr>
  </w:style>
  <w:style w:type="character" w:customStyle="1" w:styleId="ApplySectionHeaderForHeader">
    <w:name w:val="Apply Section Header For Header"/>
    <w:basedOn w:val="Noklusjumarindkopasfonts"/>
    <w:uiPriority w:val="1"/>
    <w:qFormat/>
    <w:rsid w:val="00C31AFB"/>
  </w:style>
  <w:style w:type="paragraph" w:customStyle="1" w:styleId="GraphTitle">
    <w:name w:val="Graph Title"/>
    <w:basedOn w:val="TableTitle"/>
    <w:next w:val="Parasts"/>
    <w:uiPriority w:val="4"/>
    <w:qFormat/>
    <w:rsid w:val="00E83540"/>
  </w:style>
  <w:style w:type="character" w:styleId="Komentraatsauce">
    <w:name w:val="annotation reference"/>
    <w:basedOn w:val="Noklusjumarindkopasfonts"/>
    <w:uiPriority w:val="99"/>
    <w:semiHidden/>
    <w:unhideWhenUsed/>
    <w:rsid w:val="00846785"/>
    <w:rPr>
      <w:sz w:val="16"/>
      <w:szCs w:val="16"/>
    </w:rPr>
  </w:style>
  <w:style w:type="paragraph" w:styleId="Komentrateksts">
    <w:name w:val="annotation text"/>
    <w:basedOn w:val="Parasts"/>
    <w:link w:val="KomentratekstsRakstz"/>
    <w:uiPriority w:val="99"/>
    <w:unhideWhenUsed/>
    <w:rsid w:val="00846785"/>
    <w:pPr>
      <w:spacing w:line="240" w:lineRule="auto"/>
    </w:pPr>
    <w:rPr>
      <w:sz w:val="20"/>
      <w:szCs w:val="20"/>
    </w:rPr>
  </w:style>
  <w:style w:type="character" w:customStyle="1" w:styleId="KomentratekstsRakstz">
    <w:name w:val="Komentāra teksts Rakstz."/>
    <w:basedOn w:val="Noklusjumarindkopasfonts"/>
    <w:link w:val="Komentrateksts"/>
    <w:uiPriority w:val="99"/>
    <w:rsid w:val="00846785"/>
    <w:rPr>
      <w:sz w:val="20"/>
      <w:szCs w:val="20"/>
      <w:lang w:val="en-US"/>
    </w:rPr>
  </w:style>
  <w:style w:type="paragraph" w:styleId="Komentratma">
    <w:name w:val="annotation subject"/>
    <w:basedOn w:val="Komentrateksts"/>
    <w:next w:val="Komentrateksts"/>
    <w:link w:val="KomentratmaRakstz"/>
    <w:uiPriority w:val="99"/>
    <w:semiHidden/>
    <w:unhideWhenUsed/>
    <w:rsid w:val="00846785"/>
    <w:rPr>
      <w:b/>
      <w:bCs/>
    </w:rPr>
  </w:style>
  <w:style w:type="character" w:customStyle="1" w:styleId="KomentratmaRakstz">
    <w:name w:val="Komentāra tēma Rakstz."/>
    <w:basedOn w:val="KomentratekstsRakstz"/>
    <w:link w:val="Komentratma"/>
    <w:uiPriority w:val="99"/>
    <w:semiHidden/>
    <w:rsid w:val="00846785"/>
    <w:rPr>
      <w:b/>
      <w:bCs/>
      <w:sz w:val="20"/>
      <w:szCs w:val="20"/>
      <w:lang w:val="en-US"/>
    </w:rPr>
  </w:style>
  <w:style w:type="character" w:styleId="Neatrisintapieminana">
    <w:name w:val="Unresolved Mention"/>
    <w:basedOn w:val="Noklusjumarindkopasfonts"/>
    <w:uiPriority w:val="99"/>
    <w:semiHidden/>
    <w:unhideWhenUsed/>
    <w:rsid w:val="00AC7F58"/>
    <w:rPr>
      <w:color w:val="605E5C"/>
      <w:shd w:val="clear" w:color="auto" w:fill="E1DFDD"/>
    </w:rPr>
  </w:style>
  <w:style w:type="paragraph" w:styleId="Parakstszemobjekta">
    <w:name w:val="caption"/>
    <w:basedOn w:val="Parasts"/>
    <w:next w:val="Parasts"/>
    <w:uiPriority w:val="35"/>
    <w:unhideWhenUsed/>
    <w:qFormat/>
    <w:rsid w:val="00154206"/>
    <w:pPr>
      <w:spacing w:before="0" w:after="200" w:line="240" w:lineRule="auto"/>
    </w:pPr>
    <w:rPr>
      <w:i/>
      <w:iCs/>
      <w:color w:val="232323" w:themeColor="text2"/>
      <w:sz w:val="18"/>
      <w:szCs w:val="18"/>
    </w:rPr>
  </w:style>
  <w:style w:type="table" w:styleId="Reatabula1gaia-izclums2">
    <w:name w:val="Grid Table 1 Light Accent 2"/>
    <w:basedOn w:val="Parastatabula"/>
    <w:uiPriority w:val="46"/>
    <w:rsid w:val="00B73A2B"/>
    <w:pPr>
      <w:spacing w:after="0" w:line="240" w:lineRule="auto"/>
    </w:pPr>
    <w:tblPr>
      <w:tblStyleRowBandSize w:val="1"/>
      <w:tblStyleColBandSize w:val="1"/>
      <w:tblBorders>
        <w:top w:val="single" w:sz="4" w:space="0" w:color="DDDEDD" w:themeColor="accent2" w:themeTint="66"/>
        <w:left w:val="single" w:sz="4" w:space="0" w:color="DDDEDD" w:themeColor="accent2" w:themeTint="66"/>
        <w:bottom w:val="single" w:sz="4" w:space="0" w:color="DDDEDD" w:themeColor="accent2" w:themeTint="66"/>
        <w:right w:val="single" w:sz="4" w:space="0" w:color="DDDEDD" w:themeColor="accent2" w:themeTint="66"/>
        <w:insideH w:val="single" w:sz="4" w:space="0" w:color="DDDEDD" w:themeColor="accent2" w:themeTint="66"/>
        <w:insideV w:val="single" w:sz="4" w:space="0" w:color="DDDEDD" w:themeColor="accent2" w:themeTint="66"/>
      </w:tblBorders>
    </w:tblPr>
    <w:tblStylePr w:type="firstRow">
      <w:rPr>
        <w:b/>
        <w:bCs/>
      </w:rPr>
      <w:tblPr/>
      <w:tcPr>
        <w:tcBorders>
          <w:bottom w:val="single" w:sz="12" w:space="0" w:color="CDCECD" w:themeColor="accent2" w:themeTint="99"/>
        </w:tcBorders>
      </w:tcPr>
    </w:tblStylePr>
    <w:tblStylePr w:type="lastRow">
      <w:rPr>
        <w:b/>
        <w:bCs/>
      </w:rPr>
      <w:tblPr/>
      <w:tcPr>
        <w:tcBorders>
          <w:top w:val="double" w:sz="2" w:space="0" w:color="CDCECD" w:themeColor="accent2" w:themeTint="99"/>
        </w:tcBorders>
      </w:tcPr>
    </w:tblStylePr>
    <w:tblStylePr w:type="firstCol">
      <w:rPr>
        <w:b/>
        <w:bCs/>
      </w:rPr>
    </w:tblStylePr>
    <w:tblStylePr w:type="lastCol">
      <w:rPr>
        <w:b/>
        <w:bCs/>
      </w:rPr>
    </w:tblStylePr>
  </w:style>
  <w:style w:type="table" w:styleId="Reatabula4-izclums2">
    <w:name w:val="Grid Table 4 Accent 2"/>
    <w:basedOn w:val="Parastatabula"/>
    <w:uiPriority w:val="49"/>
    <w:rsid w:val="00B73A2B"/>
    <w:pPr>
      <w:spacing w:after="0" w:line="240" w:lineRule="auto"/>
    </w:pPr>
    <w:tblPr>
      <w:tblStyleRowBandSize w:val="1"/>
      <w:tblStyleColBandSize w:val="1"/>
      <w:tblBorders>
        <w:top w:val="single" w:sz="4" w:space="0" w:color="CDCECD" w:themeColor="accent2" w:themeTint="99"/>
        <w:left w:val="single" w:sz="4" w:space="0" w:color="CDCECD" w:themeColor="accent2" w:themeTint="99"/>
        <w:bottom w:val="single" w:sz="4" w:space="0" w:color="CDCECD" w:themeColor="accent2" w:themeTint="99"/>
        <w:right w:val="single" w:sz="4" w:space="0" w:color="CDCECD" w:themeColor="accent2" w:themeTint="99"/>
        <w:insideH w:val="single" w:sz="4" w:space="0" w:color="CDCECD" w:themeColor="accent2" w:themeTint="99"/>
        <w:insideV w:val="single" w:sz="4" w:space="0" w:color="CDCECD" w:themeColor="accent2" w:themeTint="99"/>
      </w:tblBorders>
    </w:tblPr>
    <w:tblStylePr w:type="firstRow">
      <w:rPr>
        <w:b/>
        <w:bCs/>
        <w:color w:val="FEFEFE" w:themeColor="background1"/>
      </w:rPr>
      <w:tblPr/>
      <w:tcPr>
        <w:tcBorders>
          <w:top w:val="single" w:sz="4" w:space="0" w:color="ACAEAC" w:themeColor="accent2"/>
          <w:left w:val="single" w:sz="4" w:space="0" w:color="ACAEAC" w:themeColor="accent2"/>
          <w:bottom w:val="single" w:sz="4" w:space="0" w:color="ACAEAC" w:themeColor="accent2"/>
          <w:right w:val="single" w:sz="4" w:space="0" w:color="ACAEAC" w:themeColor="accent2"/>
          <w:insideH w:val="nil"/>
          <w:insideV w:val="nil"/>
        </w:tcBorders>
        <w:shd w:val="clear" w:color="auto" w:fill="ACAEAC" w:themeFill="accent2"/>
      </w:tcPr>
    </w:tblStylePr>
    <w:tblStylePr w:type="lastRow">
      <w:rPr>
        <w:b/>
        <w:bCs/>
      </w:rPr>
      <w:tblPr/>
      <w:tcPr>
        <w:tcBorders>
          <w:top w:val="double" w:sz="4" w:space="0" w:color="ACAEAC" w:themeColor="accent2"/>
        </w:tcBorders>
      </w:tcPr>
    </w:tblStylePr>
    <w:tblStylePr w:type="firstCol">
      <w:rPr>
        <w:b/>
        <w:bCs/>
      </w:rPr>
    </w:tblStylePr>
    <w:tblStylePr w:type="lastCol">
      <w:rPr>
        <w:b/>
        <w:bCs/>
      </w:rPr>
    </w:tblStylePr>
    <w:tblStylePr w:type="band1Vert">
      <w:tblPr/>
      <w:tcPr>
        <w:shd w:val="clear" w:color="auto" w:fill="EEEEEE" w:themeFill="accent2" w:themeFillTint="33"/>
      </w:tcPr>
    </w:tblStylePr>
    <w:tblStylePr w:type="band1Horz">
      <w:tblPr/>
      <w:tcPr>
        <w:shd w:val="clear" w:color="auto" w:fill="EEEEEE" w:themeFill="accent2" w:themeFillTint="33"/>
      </w:tcPr>
    </w:tblStylePr>
  </w:style>
  <w:style w:type="paragraph" w:styleId="HTMLiepriekformattais">
    <w:name w:val="HTML Preformatted"/>
    <w:basedOn w:val="Parasts"/>
    <w:link w:val="HTMLiepriekformattaisRakstz"/>
    <w:uiPriority w:val="99"/>
    <w:semiHidden/>
    <w:unhideWhenUsed/>
    <w:rsid w:val="00AC089A"/>
    <w:pPr>
      <w:spacing w:before="0"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AC089A"/>
    <w:rPr>
      <w:rFonts w:ascii="Consolas" w:hAnsi="Consolas"/>
      <w:sz w:val="20"/>
      <w:szCs w:val="20"/>
      <w:lang w:val="en-US"/>
    </w:rPr>
  </w:style>
  <w:style w:type="character" w:styleId="Izmantotahipersaite">
    <w:name w:val="FollowedHyperlink"/>
    <w:basedOn w:val="Noklusjumarindkopasfonts"/>
    <w:uiPriority w:val="99"/>
    <w:semiHidden/>
    <w:unhideWhenUsed/>
    <w:rsid w:val="00BC735C"/>
    <w:rPr>
      <w:color w:val="82009B" w:themeColor="followedHyperlink"/>
      <w:u w:val="single"/>
    </w:rPr>
  </w:style>
  <w:style w:type="character" w:styleId="Piemint">
    <w:name w:val="Mention"/>
    <w:basedOn w:val="Noklusjumarindkopasfonts"/>
    <w:uiPriority w:val="99"/>
    <w:unhideWhenUsed/>
    <w:rsid w:val="000B37D8"/>
    <w:rPr>
      <w:color w:val="2B579A"/>
      <w:shd w:val="clear" w:color="auto" w:fill="E1DFDD"/>
    </w:rPr>
  </w:style>
  <w:style w:type="paragraph" w:styleId="Beiguvresteksts">
    <w:name w:val="endnote text"/>
    <w:basedOn w:val="Parasts"/>
    <w:link w:val="BeiguvrestekstsRakstz"/>
    <w:uiPriority w:val="99"/>
    <w:semiHidden/>
    <w:unhideWhenUsed/>
    <w:rsid w:val="00CE568C"/>
    <w:pPr>
      <w:spacing w:before="0"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E568C"/>
    <w:rPr>
      <w:sz w:val="20"/>
      <w:szCs w:val="20"/>
      <w:lang w:val="en-US"/>
    </w:rPr>
  </w:style>
  <w:style w:type="character" w:styleId="Beiguvresatsauce">
    <w:name w:val="endnote reference"/>
    <w:basedOn w:val="Noklusjumarindkopasfonts"/>
    <w:uiPriority w:val="99"/>
    <w:semiHidden/>
    <w:unhideWhenUsed/>
    <w:rsid w:val="00CE568C"/>
    <w:rPr>
      <w:vertAlign w:val="superscript"/>
    </w:rPr>
  </w:style>
  <w:style w:type="paragraph" w:customStyle="1" w:styleId="Institutionquisigne">
    <w:name w:val="Institution qui signe"/>
    <w:basedOn w:val="Parasts"/>
    <w:next w:val="Parasts"/>
    <w:rsid w:val="00EB3350"/>
    <w:pPr>
      <w:keepNext/>
      <w:tabs>
        <w:tab w:val="left" w:pos="4252"/>
      </w:tabs>
      <w:spacing w:before="720" w:after="0" w:line="240" w:lineRule="auto"/>
    </w:pPr>
    <w:rPr>
      <w:rFonts w:ascii="Times New Roman" w:hAnsi="Times New Roman" w:cs="Times New Roman"/>
      <w:i/>
      <w:kern w:val="0"/>
      <w:sz w:val="24"/>
      <w14:ligatures w14:val="none"/>
    </w:rPr>
  </w:style>
  <w:style w:type="paragraph" w:styleId="Prskatjums">
    <w:name w:val="Revision"/>
    <w:hidden/>
    <w:uiPriority w:val="99"/>
    <w:semiHidden/>
    <w:rsid w:val="00DE23EA"/>
    <w:pPr>
      <w:spacing w:after="0" w:line="240" w:lineRule="auto"/>
    </w:pPr>
    <w:rPr>
      <w:lang w:val="en-US"/>
    </w:rPr>
  </w:style>
  <w:style w:type="paragraph" w:styleId="Paraststmeklis">
    <w:name w:val="Normal (Web)"/>
    <w:basedOn w:val="Parasts"/>
    <w:uiPriority w:val="99"/>
    <w:semiHidden/>
    <w:unhideWhenUsed/>
    <w:rsid w:val="00DE23EA"/>
    <w:rPr>
      <w:rFonts w:ascii="Times New Roman" w:hAnsi="Times New Roman" w:cs="Times New Roman"/>
      <w:sz w:val="24"/>
      <w:szCs w:val="24"/>
    </w:rPr>
  </w:style>
  <w:style w:type="paragraph" w:customStyle="1" w:styleId="oj-doc-ti">
    <w:name w:val="oj-doc-ti"/>
    <w:basedOn w:val="Parasts"/>
    <w:rsid w:val="00383827"/>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paragraph" w:customStyle="1" w:styleId="oj-no-doc-c">
    <w:name w:val="oj-no-doc-c"/>
    <w:basedOn w:val="Parasts"/>
    <w:rsid w:val="00383827"/>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paragraph" w:styleId="Balonteksts">
    <w:name w:val="Balloon Text"/>
    <w:basedOn w:val="Parasts"/>
    <w:link w:val="BalontekstsRakstz"/>
    <w:uiPriority w:val="99"/>
    <w:semiHidden/>
    <w:unhideWhenUsed/>
    <w:rsid w:val="00607F98"/>
    <w:pPr>
      <w:spacing w:before="0"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07F98"/>
    <w:rPr>
      <w:rFonts w:ascii="Segoe UI" w:hAnsi="Segoe UI" w:cs="Segoe UI"/>
      <w:sz w:val="18"/>
      <w:szCs w:val="18"/>
      <w:lang w:val="lv-LV"/>
    </w:rPr>
  </w:style>
  <w:style w:type="paragraph" w:customStyle="1" w:styleId="CM1">
    <w:name w:val="CM1"/>
    <w:basedOn w:val="Parasts"/>
    <w:next w:val="Parasts"/>
    <w:uiPriority w:val="99"/>
    <w:rsid w:val="00981E64"/>
    <w:pPr>
      <w:autoSpaceDE w:val="0"/>
      <w:autoSpaceDN w:val="0"/>
      <w:adjustRightInd w:val="0"/>
      <w:spacing w:before="0" w:after="0" w:line="240" w:lineRule="auto"/>
      <w:jc w:val="left"/>
    </w:pPr>
    <w:rPr>
      <w:rFonts w:ascii="EUAlbertina" w:hAnsi="EUAlbertina"/>
      <w:kern w:val="0"/>
      <w:sz w:val="24"/>
      <w:szCs w:val="24"/>
      <w:lang w:val="en-US"/>
    </w:rPr>
  </w:style>
  <w:style w:type="paragraph" w:customStyle="1" w:styleId="CM3">
    <w:name w:val="CM3"/>
    <w:basedOn w:val="Parasts"/>
    <w:next w:val="Parasts"/>
    <w:uiPriority w:val="99"/>
    <w:rsid w:val="00981E64"/>
    <w:pPr>
      <w:autoSpaceDE w:val="0"/>
      <w:autoSpaceDN w:val="0"/>
      <w:adjustRightInd w:val="0"/>
      <w:spacing w:before="0" w:after="0" w:line="240" w:lineRule="auto"/>
      <w:jc w:val="left"/>
    </w:pPr>
    <w:rPr>
      <w:rFonts w:ascii="EUAlbertina" w:hAnsi="EUAlbertina"/>
      <w:kern w:val="0"/>
      <w:sz w:val="24"/>
      <w:szCs w:val="24"/>
      <w:lang w:val="en-US"/>
    </w:rPr>
  </w:style>
  <w:style w:type="paragraph" w:customStyle="1" w:styleId="CM4">
    <w:name w:val="CM4"/>
    <w:basedOn w:val="Parasts"/>
    <w:next w:val="Parasts"/>
    <w:uiPriority w:val="99"/>
    <w:rsid w:val="00981E64"/>
    <w:pPr>
      <w:autoSpaceDE w:val="0"/>
      <w:autoSpaceDN w:val="0"/>
      <w:adjustRightInd w:val="0"/>
      <w:spacing w:before="0" w:after="0" w:line="240" w:lineRule="auto"/>
      <w:jc w:val="left"/>
    </w:pPr>
    <w:rPr>
      <w:rFonts w:ascii="EUAlbertina" w:hAnsi="EUAlbertina"/>
      <w:kern w:val="0"/>
      <w:sz w:val="24"/>
      <w:szCs w:val="24"/>
      <w:lang w:val="en-US"/>
    </w:rPr>
  </w:style>
  <w:style w:type="paragraph" w:styleId="Pamatteksts">
    <w:name w:val="Body Text"/>
    <w:basedOn w:val="Parasts"/>
    <w:link w:val="PamattekstsRakstz"/>
    <w:uiPriority w:val="99"/>
    <w:semiHidden/>
    <w:unhideWhenUsed/>
    <w:rsid w:val="00EE6644"/>
  </w:style>
  <w:style w:type="character" w:customStyle="1" w:styleId="PamattekstsRakstz">
    <w:name w:val="Pamatteksts Rakstz."/>
    <w:basedOn w:val="Noklusjumarindkopasfonts"/>
    <w:link w:val="Pamatteksts"/>
    <w:uiPriority w:val="99"/>
    <w:semiHidden/>
    <w:rsid w:val="00EE6644"/>
    <w:rPr>
      <w:lang w:val="lv-LV"/>
    </w:rPr>
  </w:style>
  <w:style w:type="character" w:styleId="Izsmalcintsizclums">
    <w:name w:val="Subtle Emphasis"/>
    <w:basedOn w:val="Noklusjumarindkopasfonts"/>
    <w:uiPriority w:val="19"/>
    <w:qFormat/>
    <w:rsid w:val="00A070AF"/>
    <w:rPr>
      <w:rFonts w:asciiTheme="minorHAnsi" w:hAnsiTheme="minorHAnsi"/>
      <w:i/>
      <w:iCs/>
      <w:color w:val="5A5A5A" w:themeColor="text1" w:themeTint="BF"/>
      <w:sz w:val="20"/>
    </w:rPr>
  </w:style>
  <w:style w:type="character" w:customStyle="1" w:styleId="rynqvb">
    <w:name w:val="rynqvb"/>
    <w:basedOn w:val="Noklusjumarindkopasfonts"/>
    <w:rsid w:val="00512AA6"/>
  </w:style>
  <w:style w:type="paragraph" w:customStyle="1" w:styleId="whitespace-pre-wrap">
    <w:name w:val="whitespace-pre-wrap"/>
    <w:basedOn w:val="Parasts"/>
    <w:rsid w:val="00CA5E75"/>
    <w:pPr>
      <w:spacing w:before="100" w:beforeAutospacing="1" w:after="100" w:afterAutospacing="1" w:line="240" w:lineRule="auto"/>
      <w:jc w:val="left"/>
    </w:pPr>
    <w:rPr>
      <w:rFonts w:ascii="Times New Roman" w:eastAsia="Times New Roman" w:hAnsi="Times New Roman" w:cs="Times New Roman"/>
      <w:kern w:val="0"/>
      <w:sz w:val="24"/>
      <w:szCs w:val="24"/>
      <w:lang w:val="en-US"/>
      <w14:ligatures w14:val="none"/>
    </w:rPr>
  </w:style>
  <w:style w:type="paragraph" w:customStyle="1" w:styleId="whitespace-normal">
    <w:name w:val="whitespace-normal"/>
    <w:basedOn w:val="Parasts"/>
    <w:rsid w:val="00CA5E75"/>
    <w:pPr>
      <w:spacing w:before="100" w:beforeAutospacing="1" w:after="100" w:afterAutospacing="1" w:line="240" w:lineRule="auto"/>
      <w:jc w:val="left"/>
    </w:pPr>
    <w:rPr>
      <w:rFonts w:ascii="Times New Roman" w:eastAsia="Times New Roman" w:hAnsi="Times New Roman" w:cs="Times New Roman"/>
      <w:kern w:val="0"/>
      <w:sz w:val="24"/>
      <w:szCs w:val="24"/>
      <w:lang w:val="en-US"/>
      <w14:ligatures w14:val="none"/>
    </w:rPr>
  </w:style>
  <w:style w:type="paragraph" w:customStyle="1" w:styleId="Char2">
    <w:name w:val="Char2"/>
    <w:aliases w:val="Char Char Char Char"/>
    <w:basedOn w:val="Parasts"/>
    <w:next w:val="Parasts"/>
    <w:link w:val="Vresatsauce"/>
    <w:uiPriority w:val="99"/>
    <w:rsid w:val="002D4C1E"/>
    <w:pPr>
      <w:spacing w:before="0" w:after="0" w:line="240" w:lineRule="exact"/>
      <w:ind w:firstLine="567"/>
    </w:pPr>
    <w:rPr>
      <w:vertAlign w:val="superscript"/>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11">
      <w:bodyDiv w:val="1"/>
      <w:marLeft w:val="0"/>
      <w:marRight w:val="0"/>
      <w:marTop w:val="0"/>
      <w:marBottom w:val="0"/>
      <w:divBdr>
        <w:top w:val="none" w:sz="0" w:space="0" w:color="auto"/>
        <w:left w:val="none" w:sz="0" w:space="0" w:color="auto"/>
        <w:bottom w:val="none" w:sz="0" w:space="0" w:color="auto"/>
        <w:right w:val="none" w:sz="0" w:space="0" w:color="auto"/>
      </w:divBdr>
    </w:div>
    <w:div w:id="5527463">
      <w:bodyDiv w:val="1"/>
      <w:marLeft w:val="0"/>
      <w:marRight w:val="0"/>
      <w:marTop w:val="0"/>
      <w:marBottom w:val="0"/>
      <w:divBdr>
        <w:top w:val="none" w:sz="0" w:space="0" w:color="auto"/>
        <w:left w:val="none" w:sz="0" w:space="0" w:color="auto"/>
        <w:bottom w:val="none" w:sz="0" w:space="0" w:color="auto"/>
        <w:right w:val="none" w:sz="0" w:space="0" w:color="auto"/>
      </w:divBdr>
    </w:div>
    <w:div w:id="11347187">
      <w:bodyDiv w:val="1"/>
      <w:marLeft w:val="0"/>
      <w:marRight w:val="0"/>
      <w:marTop w:val="0"/>
      <w:marBottom w:val="0"/>
      <w:divBdr>
        <w:top w:val="none" w:sz="0" w:space="0" w:color="auto"/>
        <w:left w:val="none" w:sz="0" w:space="0" w:color="auto"/>
        <w:bottom w:val="none" w:sz="0" w:space="0" w:color="auto"/>
        <w:right w:val="none" w:sz="0" w:space="0" w:color="auto"/>
      </w:divBdr>
    </w:div>
    <w:div w:id="14811570">
      <w:bodyDiv w:val="1"/>
      <w:marLeft w:val="0"/>
      <w:marRight w:val="0"/>
      <w:marTop w:val="0"/>
      <w:marBottom w:val="0"/>
      <w:divBdr>
        <w:top w:val="none" w:sz="0" w:space="0" w:color="auto"/>
        <w:left w:val="none" w:sz="0" w:space="0" w:color="auto"/>
        <w:bottom w:val="none" w:sz="0" w:space="0" w:color="auto"/>
        <w:right w:val="none" w:sz="0" w:space="0" w:color="auto"/>
      </w:divBdr>
    </w:div>
    <w:div w:id="22021237">
      <w:bodyDiv w:val="1"/>
      <w:marLeft w:val="0"/>
      <w:marRight w:val="0"/>
      <w:marTop w:val="0"/>
      <w:marBottom w:val="0"/>
      <w:divBdr>
        <w:top w:val="none" w:sz="0" w:space="0" w:color="auto"/>
        <w:left w:val="none" w:sz="0" w:space="0" w:color="auto"/>
        <w:bottom w:val="none" w:sz="0" w:space="0" w:color="auto"/>
        <w:right w:val="none" w:sz="0" w:space="0" w:color="auto"/>
      </w:divBdr>
    </w:div>
    <w:div w:id="25713947">
      <w:bodyDiv w:val="1"/>
      <w:marLeft w:val="0"/>
      <w:marRight w:val="0"/>
      <w:marTop w:val="0"/>
      <w:marBottom w:val="0"/>
      <w:divBdr>
        <w:top w:val="none" w:sz="0" w:space="0" w:color="auto"/>
        <w:left w:val="none" w:sz="0" w:space="0" w:color="auto"/>
        <w:bottom w:val="none" w:sz="0" w:space="0" w:color="auto"/>
        <w:right w:val="none" w:sz="0" w:space="0" w:color="auto"/>
      </w:divBdr>
    </w:div>
    <w:div w:id="28604459">
      <w:bodyDiv w:val="1"/>
      <w:marLeft w:val="0"/>
      <w:marRight w:val="0"/>
      <w:marTop w:val="0"/>
      <w:marBottom w:val="0"/>
      <w:divBdr>
        <w:top w:val="none" w:sz="0" w:space="0" w:color="auto"/>
        <w:left w:val="none" w:sz="0" w:space="0" w:color="auto"/>
        <w:bottom w:val="none" w:sz="0" w:space="0" w:color="auto"/>
        <w:right w:val="none" w:sz="0" w:space="0" w:color="auto"/>
      </w:divBdr>
    </w:div>
    <w:div w:id="31268490">
      <w:bodyDiv w:val="1"/>
      <w:marLeft w:val="0"/>
      <w:marRight w:val="0"/>
      <w:marTop w:val="0"/>
      <w:marBottom w:val="0"/>
      <w:divBdr>
        <w:top w:val="none" w:sz="0" w:space="0" w:color="auto"/>
        <w:left w:val="none" w:sz="0" w:space="0" w:color="auto"/>
        <w:bottom w:val="none" w:sz="0" w:space="0" w:color="auto"/>
        <w:right w:val="none" w:sz="0" w:space="0" w:color="auto"/>
      </w:divBdr>
    </w:div>
    <w:div w:id="41026692">
      <w:bodyDiv w:val="1"/>
      <w:marLeft w:val="0"/>
      <w:marRight w:val="0"/>
      <w:marTop w:val="0"/>
      <w:marBottom w:val="0"/>
      <w:divBdr>
        <w:top w:val="none" w:sz="0" w:space="0" w:color="auto"/>
        <w:left w:val="none" w:sz="0" w:space="0" w:color="auto"/>
        <w:bottom w:val="none" w:sz="0" w:space="0" w:color="auto"/>
        <w:right w:val="none" w:sz="0" w:space="0" w:color="auto"/>
      </w:divBdr>
    </w:div>
    <w:div w:id="47191664">
      <w:bodyDiv w:val="1"/>
      <w:marLeft w:val="0"/>
      <w:marRight w:val="0"/>
      <w:marTop w:val="0"/>
      <w:marBottom w:val="0"/>
      <w:divBdr>
        <w:top w:val="none" w:sz="0" w:space="0" w:color="auto"/>
        <w:left w:val="none" w:sz="0" w:space="0" w:color="auto"/>
        <w:bottom w:val="none" w:sz="0" w:space="0" w:color="auto"/>
        <w:right w:val="none" w:sz="0" w:space="0" w:color="auto"/>
      </w:divBdr>
    </w:div>
    <w:div w:id="85004342">
      <w:bodyDiv w:val="1"/>
      <w:marLeft w:val="0"/>
      <w:marRight w:val="0"/>
      <w:marTop w:val="0"/>
      <w:marBottom w:val="0"/>
      <w:divBdr>
        <w:top w:val="none" w:sz="0" w:space="0" w:color="auto"/>
        <w:left w:val="none" w:sz="0" w:space="0" w:color="auto"/>
        <w:bottom w:val="none" w:sz="0" w:space="0" w:color="auto"/>
        <w:right w:val="none" w:sz="0" w:space="0" w:color="auto"/>
      </w:divBdr>
    </w:div>
    <w:div w:id="89397061">
      <w:bodyDiv w:val="1"/>
      <w:marLeft w:val="0"/>
      <w:marRight w:val="0"/>
      <w:marTop w:val="0"/>
      <w:marBottom w:val="0"/>
      <w:divBdr>
        <w:top w:val="none" w:sz="0" w:space="0" w:color="auto"/>
        <w:left w:val="none" w:sz="0" w:space="0" w:color="auto"/>
        <w:bottom w:val="none" w:sz="0" w:space="0" w:color="auto"/>
        <w:right w:val="none" w:sz="0" w:space="0" w:color="auto"/>
      </w:divBdr>
    </w:div>
    <w:div w:id="91359732">
      <w:bodyDiv w:val="1"/>
      <w:marLeft w:val="0"/>
      <w:marRight w:val="0"/>
      <w:marTop w:val="0"/>
      <w:marBottom w:val="0"/>
      <w:divBdr>
        <w:top w:val="none" w:sz="0" w:space="0" w:color="auto"/>
        <w:left w:val="none" w:sz="0" w:space="0" w:color="auto"/>
        <w:bottom w:val="none" w:sz="0" w:space="0" w:color="auto"/>
        <w:right w:val="none" w:sz="0" w:space="0" w:color="auto"/>
      </w:divBdr>
    </w:div>
    <w:div w:id="95563316">
      <w:bodyDiv w:val="1"/>
      <w:marLeft w:val="0"/>
      <w:marRight w:val="0"/>
      <w:marTop w:val="0"/>
      <w:marBottom w:val="0"/>
      <w:divBdr>
        <w:top w:val="none" w:sz="0" w:space="0" w:color="auto"/>
        <w:left w:val="none" w:sz="0" w:space="0" w:color="auto"/>
        <w:bottom w:val="none" w:sz="0" w:space="0" w:color="auto"/>
        <w:right w:val="none" w:sz="0" w:space="0" w:color="auto"/>
      </w:divBdr>
    </w:div>
    <w:div w:id="106127727">
      <w:bodyDiv w:val="1"/>
      <w:marLeft w:val="0"/>
      <w:marRight w:val="0"/>
      <w:marTop w:val="0"/>
      <w:marBottom w:val="0"/>
      <w:divBdr>
        <w:top w:val="none" w:sz="0" w:space="0" w:color="auto"/>
        <w:left w:val="none" w:sz="0" w:space="0" w:color="auto"/>
        <w:bottom w:val="none" w:sz="0" w:space="0" w:color="auto"/>
        <w:right w:val="none" w:sz="0" w:space="0" w:color="auto"/>
      </w:divBdr>
    </w:div>
    <w:div w:id="107048710">
      <w:bodyDiv w:val="1"/>
      <w:marLeft w:val="0"/>
      <w:marRight w:val="0"/>
      <w:marTop w:val="0"/>
      <w:marBottom w:val="0"/>
      <w:divBdr>
        <w:top w:val="none" w:sz="0" w:space="0" w:color="auto"/>
        <w:left w:val="none" w:sz="0" w:space="0" w:color="auto"/>
        <w:bottom w:val="none" w:sz="0" w:space="0" w:color="auto"/>
        <w:right w:val="none" w:sz="0" w:space="0" w:color="auto"/>
      </w:divBdr>
    </w:div>
    <w:div w:id="120615000">
      <w:bodyDiv w:val="1"/>
      <w:marLeft w:val="0"/>
      <w:marRight w:val="0"/>
      <w:marTop w:val="0"/>
      <w:marBottom w:val="0"/>
      <w:divBdr>
        <w:top w:val="none" w:sz="0" w:space="0" w:color="auto"/>
        <w:left w:val="none" w:sz="0" w:space="0" w:color="auto"/>
        <w:bottom w:val="none" w:sz="0" w:space="0" w:color="auto"/>
        <w:right w:val="none" w:sz="0" w:space="0" w:color="auto"/>
      </w:divBdr>
    </w:div>
    <w:div w:id="139200593">
      <w:bodyDiv w:val="1"/>
      <w:marLeft w:val="0"/>
      <w:marRight w:val="0"/>
      <w:marTop w:val="0"/>
      <w:marBottom w:val="0"/>
      <w:divBdr>
        <w:top w:val="none" w:sz="0" w:space="0" w:color="auto"/>
        <w:left w:val="none" w:sz="0" w:space="0" w:color="auto"/>
        <w:bottom w:val="none" w:sz="0" w:space="0" w:color="auto"/>
        <w:right w:val="none" w:sz="0" w:space="0" w:color="auto"/>
      </w:divBdr>
    </w:div>
    <w:div w:id="140313787">
      <w:bodyDiv w:val="1"/>
      <w:marLeft w:val="0"/>
      <w:marRight w:val="0"/>
      <w:marTop w:val="0"/>
      <w:marBottom w:val="0"/>
      <w:divBdr>
        <w:top w:val="none" w:sz="0" w:space="0" w:color="auto"/>
        <w:left w:val="none" w:sz="0" w:space="0" w:color="auto"/>
        <w:bottom w:val="none" w:sz="0" w:space="0" w:color="auto"/>
        <w:right w:val="none" w:sz="0" w:space="0" w:color="auto"/>
      </w:divBdr>
    </w:div>
    <w:div w:id="163783915">
      <w:bodyDiv w:val="1"/>
      <w:marLeft w:val="0"/>
      <w:marRight w:val="0"/>
      <w:marTop w:val="0"/>
      <w:marBottom w:val="0"/>
      <w:divBdr>
        <w:top w:val="none" w:sz="0" w:space="0" w:color="auto"/>
        <w:left w:val="none" w:sz="0" w:space="0" w:color="auto"/>
        <w:bottom w:val="none" w:sz="0" w:space="0" w:color="auto"/>
        <w:right w:val="none" w:sz="0" w:space="0" w:color="auto"/>
      </w:divBdr>
    </w:div>
    <w:div w:id="173763871">
      <w:bodyDiv w:val="1"/>
      <w:marLeft w:val="0"/>
      <w:marRight w:val="0"/>
      <w:marTop w:val="0"/>
      <w:marBottom w:val="0"/>
      <w:divBdr>
        <w:top w:val="none" w:sz="0" w:space="0" w:color="auto"/>
        <w:left w:val="none" w:sz="0" w:space="0" w:color="auto"/>
        <w:bottom w:val="none" w:sz="0" w:space="0" w:color="auto"/>
        <w:right w:val="none" w:sz="0" w:space="0" w:color="auto"/>
      </w:divBdr>
    </w:div>
    <w:div w:id="191043508">
      <w:bodyDiv w:val="1"/>
      <w:marLeft w:val="0"/>
      <w:marRight w:val="0"/>
      <w:marTop w:val="0"/>
      <w:marBottom w:val="0"/>
      <w:divBdr>
        <w:top w:val="none" w:sz="0" w:space="0" w:color="auto"/>
        <w:left w:val="none" w:sz="0" w:space="0" w:color="auto"/>
        <w:bottom w:val="none" w:sz="0" w:space="0" w:color="auto"/>
        <w:right w:val="none" w:sz="0" w:space="0" w:color="auto"/>
      </w:divBdr>
    </w:div>
    <w:div w:id="195585861">
      <w:bodyDiv w:val="1"/>
      <w:marLeft w:val="0"/>
      <w:marRight w:val="0"/>
      <w:marTop w:val="0"/>
      <w:marBottom w:val="0"/>
      <w:divBdr>
        <w:top w:val="none" w:sz="0" w:space="0" w:color="auto"/>
        <w:left w:val="none" w:sz="0" w:space="0" w:color="auto"/>
        <w:bottom w:val="none" w:sz="0" w:space="0" w:color="auto"/>
        <w:right w:val="none" w:sz="0" w:space="0" w:color="auto"/>
      </w:divBdr>
    </w:div>
    <w:div w:id="199436806">
      <w:bodyDiv w:val="1"/>
      <w:marLeft w:val="0"/>
      <w:marRight w:val="0"/>
      <w:marTop w:val="0"/>
      <w:marBottom w:val="0"/>
      <w:divBdr>
        <w:top w:val="none" w:sz="0" w:space="0" w:color="auto"/>
        <w:left w:val="none" w:sz="0" w:space="0" w:color="auto"/>
        <w:bottom w:val="none" w:sz="0" w:space="0" w:color="auto"/>
        <w:right w:val="none" w:sz="0" w:space="0" w:color="auto"/>
      </w:divBdr>
    </w:div>
    <w:div w:id="218594801">
      <w:bodyDiv w:val="1"/>
      <w:marLeft w:val="0"/>
      <w:marRight w:val="0"/>
      <w:marTop w:val="0"/>
      <w:marBottom w:val="0"/>
      <w:divBdr>
        <w:top w:val="none" w:sz="0" w:space="0" w:color="auto"/>
        <w:left w:val="none" w:sz="0" w:space="0" w:color="auto"/>
        <w:bottom w:val="none" w:sz="0" w:space="0" w:color="auto"/>
        <w:right w:val="none" w:sz="0" w:space="0" w:color="auto"/>
      </w:divBdr>
    </w:div>
    <w:div w:id="237253789">
      <w:bodyDiv w:val="1"/>
      <w:marLeft w:val="0"/>
      <w:marRight w:val="0"/>
      <w:marTop w:val="0"/>
      <w:marBottom w:val="0"/>
      <w:divBdr>
        <w:top w:val="none" w:sz="0" w:space="0" w:color="auto"/>
        <w:left w:val="none" w:sz="0" w:space="0" w:color="auto"/>
        <w:bottom w:val="none" w:sz="0" w:space="0" w:color="auto"/>
        <w:right w:val="none" w:sz="0" w:space="0" w:color="auto"/>
      </w:divBdr>
    </w:div>
    <w:div w:id="242184122">
      <w:bodyDiv w:val="1"/>
      <w:marLeft w:val="0"/>
      <w:marRight w:val="0"/>
      <w:marTop w:val="0"/>
      <w:marBottom w:val="0"/>
      <w:divBdr>
        <w:top w:val="none" w:sz="0" w:space="0" w:color="auto"/>
        <w:left w:val="none" w:sz="0" w:space="0" w:color="auto"/>
        <w:bottom w:val="none" w:sz="0" w:space="0" w:color="auto"/>
        <w:right w:val="none" w:sz="0" w:space="0" w:color="auto"/>
      </w:divBdr>
    </w:div>
    <w:div w:id="263078838">
      <w:bodyDiv w:val="1"/>
      <w:marLeft w:val="0"/>
      <w:marRight w:val="0"/>
      <w:marTop w:val="0"/>
      <w:marBottom w:val="0"/>
      <w:divBdr>
        <w:top w:val="none" w:sz="0" w:space="0" w:color="auto"/>
        <w:left w:val="none" w:sz="0" w:space="0" w:color="auto"/>
        <w:bottom w:val="none" w:sz="0" w:space="0" w:color="auto"/>
        <w:right w:val="none" w:sz="0" w:space="0" w:color="auto"/>
      </w:divBdr>
    </w:div>
    <w:div w:id="284116387">
      <w:bodyDiv w:val="1"/>
      <w:marLeft w:val="0"/>
      <w:marRight w:val="0"/>
      <w:marTop w:val="0"/>
      <w:marBottom w:val="0"/>
      <w:divBdr>
        <w:top w:val="none" w:sz="0" w:space="0" w:color="auto"/>
        <w:left w:val="none" w:sz="0" w:space="0" w:color="auto"/>
        <w:bottom w:val="none" w:sz="0" w:space="0" w:color="auto"/>
        <w:right w:val="none" w:sz="0" w:space="0" w:color="auto"/>
      </w:divBdr>
    </w:div>
    <w:div w:id="290329217">
      <w:bodyDiv w:val="1"/>
      <w:marLeft w:val="0"/>
      <w:marRight w:val="0"/>
      <w:marTop w:val="0"/>
      <w:marBottom w:val="0"/>
      <w:divBdr>
        <w:top w:val="none" w:sz="0" w:space="0" w:color="auto"/>
        <w:left w:val="none" w:sz="0" w:space="0" w:color="auto"/>
        <w:bottom w:val="none" w:sz="0" w:space="0" w:color="auto"/>
        <w:right w:val="none" w:sz="0" w:space="0" w:color="auto"/>
      </w:divBdr>
      <w:divsChild>
        <w:div w:id="714474128">
          <w:marLeft w:val="0"/>
          <w:marRight w:val="0"/>
          <w:marTop w:val="0"/>
          <w:marBottom w:val="0"/>
          <w:divBdr>
            <w:top w:val="single" w:sz="2" w:space="0" w:color="auto"/>
            <w:left w:val="single" w:sz="2" w:space="0" w:color="auto"/>
            <w:bottom w:val="single" w:sz="2" w:space="0" w:color="auto"/>
            <w:right w:val="single" w:sz="2" w:space="0" w:color="auto"/>
          </w:divBdr>
          <w:divsChild>
            <w:div w:id="1041899126">
              <w:marLeft w:val="0"/>
              <w:marRight w:val="0"/>
              <w:marTop w:val="0"/>
              <w:marBottom w:val="0"/>
              <w:divBdr>
                <w:top w:val="single" w:sz="2" w:space="0" w:color="auto"/>
                <w:left w:val="single" w:sz="2" w:space="0" w:color="auto"/>
                <w:bottom w:val="single" w:sz="2" w:space="0" w:color="auto"/>
                <w:right w:val="single" w:sz="2" w:space="0" w:color="auto"/>
              </w:divBdr>
              <w:divsChild>
                <w:div w:id="500701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96104595">
      <w:bodyDiv w:val="1"/>
      <w:marLeft w:val="0"/>
      <w:marRight w:val="0"/>
      <w:marTop w:val="0"/>
      <w:marBottom w:val="0"/>
      <w:divBdr>
        <w:top w:val="none" w:sz="0" w:space="0" w:color="auto"/>
        <w:left w:val="none" w:sz="0" w:space="0" w:color="auto"/>
        <w:bottom w:val="none" w:sz="0" w:space="0" w:color="auto"/>
        <w:right w:val="none" w:sz="0" w:space="0" w:color="auto"/>
      </w:divBdr>
    </w:div>
    <w:div w:id="308945373">
      <w:bodyDiv w:val="1"/>
      <w:marLeft w:val="0"/>
      <w:marRight w:val="0"/>
      <w:marTop w:val="0"/>
      <w:marBottom w:val="0"/>
      <w:divBdr>
        <w:top w:val="none" w:sz="0" w:space="0" w:color="auto"/>
        <w:left w:val="none" w:sz="0" w:space="0" w:color="auto"/>
        <w:bottom w:val="none" w:sz="0" w:space="0" w:color="auto"/>
        <w:right w:val="none" w:sz="0" w:space="0" w:color="auto"/>
      </w:divBdr>
    </w:div>
    <w:div w:id="309406561">
      <w:bodyDiv w:val="1"/>
      <w:marLeft w:val="0"/>
      <w:marRight w:val="0"/>
      <w:marTop w:val="0"/>
      <w:marBottom w:val="0"/>
      <w:divBdr>
        <w:top w:val="none" w:sz="0" w:space="0" w:color="auto"/>
        <w:left w:val="none" w:sz="0" w:space="0" w:color="auto"/>
        <w:bottom w:val="none" w:sz="0" w:space="0" w:color="auto"/>
        <w:right w:val="none" w:sz="0" w:space="0" w:color="auto"/>
      </w:divBdr>
    </w:div>
    <w:div w:id="312485222">
      <w:bodyDiv w:val="1"/>
      <w:marLeft w:val="0"/>
      <w:marRight w:val="0"/>
      <w:marTop w:val="0"/>
      <w:marBottom w:val="0"/>
      <w:divBdr>
        <w:top w:val="none" w:sz="0" w:space="0" w:color="auto"/>
        <w:left w:val="none" w:sz="0" w:space="0" w:color="auto"/>
        <w:bottom w:val="none" w:sz="0" w:space="0" w:color="auto"/>
        <w:right w:val="none" w:sz="0" w:space="0" w:color="auto"/>
      </w:divBdr>
    </w:div>
    <w:div w:id="325010866">
      <w:bodyDiv w:val="1"/>
      <w:marLeft w:val="0"/>
      <w:marRight w:val="0"/>
      <w:marTop w:val="0"/>
      <w:marBottom w:val="0"/>
      <w:divBdr>
        <w:top w:val="none" w:sz="0" w:space="0" w:color="auto"/>
        <w:left w:val="none" w:sz="0" w:space="0" w:color="auto"/>
        <w:bottom w:val="none" w:sz="0" w:space="0" w:color="auto"/>
        <w:right w:val="none" w:sz="0" w:space="0" w:color="auto"/>
      </w:divBdr>
    </w:div>
    <w:div w:id="329866720">
      <w:bodyDiv w:val="1"/>
      <w:marLeft w:val="0"/>
      <w:marRight w:val="0"/>
      <w:marTop w:val="0"/>
      <w:marBottom w:val="0"/>
      <w:divBdr>
        <w:top w:val="none" w:sz="0" w:space="0" w:color="auto"/>
        <w:left w:val="none" w:sz="0" w:space="0" w:color="auto"/>
        <w:bottom w:val="none" w:sz="0" w:space="0" w:color="auto"/>
        <w:right w:val="none" w:sz="0" w:space="0" w:color="auto"/>
      </w:divBdr>
    </w:div>
    <w:div w:id="347416466">
      <w:bodyDiv w:val="1"/>
      <w:marLeft w:val="0"/>
      <w:marRight w:val="0"/>
      <w:marTop w:val="0"/>
      <w:marBottom w:val="0"/>
      <w:divBdr>
        <w:top w:val="none" w:sz="0" w:space="0" w:color="auto"/>
        <w:left w:val="none" w:sz="0" w:space="0" w:color="auto"/>
        <w:bottom w:val="none" w:sz="0" w:space="0" w:color="auto"/>
        <w:right w:val="none" w:sz="0" w:space="0" w:color="auto"/>
      </w:divBdr>
    </w:div>
    <w:div w:id="351152723">
      <w:bodyDiv w:val="1"/>
      <w:marLeft w:val="0"/>
      <w:marRight w:val="0"/>
      <w:marTop w:val="0"/>
      <w:marBottom w:val="0"/>
      <w:divBdr>
        <w:top w:val="none" w:sz="0" w:space="0" w:color="auto"/>
        <w:left w:val="none" w:sz="0" w:space="0" w:color="auto"/>
        <w:bottom w:val="none" w:sz="0" w:space="0" w:color="auto"/>
        <w:right w:val="none" w:sz="0" w:space="0" w:color="auto"/>
      </w:divBdr>
    </w:div>
    <w:div w:id="375812797">
      <w:bodyDiv w:val="1"/>
      <w:marLeft w:val="0"/>
      <w:marRight w:val="0"/>
      <w:marTop w:val="0"/>
      <w:marBottom w:val="0"/>
      <w:divBdr>
        <w:top w:val="none" w:sz="0" w:space="0" w:color="auto"/>
        <w:left w:val="none" w:sz="0" w:space="0" w:color="auto"/>
        <w:bottom w:val="none" w:sz="0" w:space="0" w:color="auto"/>
        <w:right w:val="none" w:sz="0" w:space="0" w:color="auto"/>
      </w:divBdr>
    </w:div>
    <w:div w:id="382678359">
      <w:bodyDiv w:val="1"/>
      <w:marLeft w:val="0"/>
      <w:marRight w:val="0"/>
      <w:marTop w:val="0"/>
      <w:marBottom w:val="0"/>
      <w:divBdr>
        <w:top w:val="none" w:sz="0" w:space="0" w:color="auto"/>
        <w:left w:val="none" w:sz="0" w:space="0" w:color="auto"/>
        <w:bottom w:val="none" w:sz="0" w:space="0" w:color="auto"/>
        <w:right w:val="none" w:sz="0" w:space="0" w:color="auto"/>
      </w:divBdr>
    </w:div>
    <w:div w:id="398871267">
      <w:bodyDiv w:val="1"/>
      <w:marLeft w:val="0"/>
      <w:marRight w:val="0"/>
      <w:marTop w:val="0"/>
      <w:marBottom w:val="0"/>
      <w:divBdr>
        <w:top w:val="none" w:sz="0" w:space="0" w:color="auto"/>
        <w:left w:val="none" w:sz="0" w:space="0" w:color="auto"/>
        <w:bottom w:val="none" w:sz="0" w:space="0" w:color="auto"/>
        <w:right w:val="none" w:sz="0" w:space="0" w:color="auto"/>
      </w:divBdr>
    </w:div>
    <w:div w:id="427694640">
      <w:bodyDiv w:val="1"/>
      <w:marLeft w:val="0"/>
      <w:marRight w:val="0"/>
      <w:marTop w:val="0"/>
      <w:marBottom w:val="0"/>
      <w:divBdr>
        <w:top w:val="none" w:sz="0" w:space="0" w:color="auto"/>
        <w:left w:val="none" w:sz="0" w:space="0" w:color="auto"/>
        <w:bottom w:val="none" w:sz="0" w:space="0" w:color="auto"/>
        <w:right w:val="none" w:sz="0" w:space="0" w:color="auto"/>
      </w:divBdr>
    </w:div>
    <w:div w:id="428892082">
      <w:bodyDiv w:val="1"/>
      <w:marLeft w:val="0"/>
      <w:marRight w:val="0"/>
      <w:marTop w:val="0"/>
      <w:marBottom w:val="0"/>
      <w:divBdr>
        <w:top w:val="none" w:sz="0" w:space="0" w:color="auto"/>
        <w:left w:val="none" w:sz="0" w:space="0" w:color="auto"/>
        <w:bottom w:val="none" w:sz="0" w:space="0" w:color="auto"/>
        <w:right w:val="none" w:sz="0" w:space="0" w:color="auto"/>
      </w:divBdr>
    </w:div>
    <w:div w:id="445853362">
      <w:bodyDiv w:val="1"/>
      <w:marLeft w:val="0"/>
      <w:marRight w:val="0"/>
      <w:marTop w:val="0"/>
      <w:marBottom w:val="0"/>
      <w:divBdr>
        <w:top w:val="none" w:sz="0" w:space="0" w:color="auto"/>
        <w:left w:val="none" w:sz="0" w:space="0" w:color="auto"/>
        <w:bottom w:val="none" w:sz="0" w:space="0" w:color="auto"/>
        <w:right w:val="none" w:sz="0" w:space="0" w:color="auto"/>
      </w:divBdr>
      <w:divsChild>
        <w:div w:id="1449818141">
          <w:marLeft w:val="0"/>
          <w:marRight w:val="0"/>
          <w:marTop w:val="0"/>
          <w:marBottom w:val="0"/>
          <w:divBdr>
            <w:top w:val="single" w:sz="2" w:space="0" w:color="auto"/>
            <w:left w:val="single" w:sz="2" w:space="0" w:color="auto"/>
            <w:bottom w:val="single" w:sz="2" w:space="0" w:color="auto"/>
            <w:right w:val="single" w:sz="2" w:space="0" w:color="auto"/>
          </w:divBdr>
          <w:divsChild>
            <w:div w:id="1577859041">
              <w:marLeft w:val="0"/>
              <w:marRight w:val="0"/>
              <w:marTop w:val="0"/>
              <w:marBottom w:val="0"/>
              <w:divBdr>
                <w:top w:val="single" w:sz="2" w:space="0" w:color="auto"/>
                <w:left w:val="single" w:sz="2" w:space="0" w:color="auto"/>
                <w:bottom w:val="single" w:sz="2" w:space="0" w:color="auto"/>
                <w:right w:val="single" w:sz="2" w:space="0" w:color="auto"/>
              </w:divBdr>
              <w:divsChild>
                <w:div w:id="1996374059">
                  <w:marLeft w:val="0"/>
                  <w:marRight w:val="0"/>
                  <w:marTop w:val="0"/>
                  <w:marBottom w:val="0"/>
                  <w:divBdr>
                    <w:top w:val="single" w:sz="2" w:space="0" w:color="auto"/>
                    <w:left w:val="single" w:sz="2" w:space="0" w:color="auto"/>
                    <w:bottom w:val="single" w:sz="2" w:space="0" w:color="auto"/>
                    <w:right w:val="single" w:sz="2" w:space="0" w:color="auto"/>
                  </w:divBdr>
                  <w:divsChild>
                    <w:div w:id="17710771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53590299">
          <w:marLeft w:val="0"/>
          <w:marRight w:val="0"/>
          <w:marTop w:val="0"/>
          <w:marBottom w:val="0"/>
          <w:divBdr>
            <w:top w:val="single" w:sz="2" w:space="0" w:color="auto"/>
            <w:left w:val="single" w:sz="2" w:space="0" w:color="auto"/>
            <w:bottom w:val="single" w:sz="2" w:space="0" w:color="auto"/>
            <w:right w:val="single" w:sz="2" w:space="0" w:color="auto"/>
          </w:divBdr>
          <w:divsChild>
            <w:div w:id="1497721129">
              <w:marLeft w:val="0"/>
              <w:marRight w:val="0"/>
              <w:marTop w:val="0"/>
              <w:marBottom w:val="0"/>
              <w:divBdr>
                <w:top w:val="single" w:sz="2" w:space="0" w:color="auto"/>
                <w:left w:val="single" w:sz="2" w:space="0" w:color="auto"/>
                <w:bottom w:val="single" w:sz="2" w:space="0" w:color="auto"/>
                <w:right w:val="single" w:sz="2" w:space="0" w:color="auto"/>
              </w:divBdr>
              <w:divsChild>
                <w:div w:id="194008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52139564">
      <w:bodyDiv w:val="1"/>
      <w:marLeft w:val="0"/>
      <w:marRight w:val="0"/>
      <w:marTop w:val="0"/>
      <w:marBottom w:val="0"/>
      <w:divBdr>
        <w:top w:val="none" w:sz="0" w:space="0" w:color="auto"/>
        <w:left w:val="none" w:sz="0" w:space="0" w:color="auto"/>
        <w:bottom w:val="none" w:sz="0" w:space="0" w:color="auto"/>
        <w:right w:val="none" w:sz="0" w:space="0" w:color="auto"/>
      </w:divBdr>
    </w:div>
    <w:div w:id="455300247">
      <w:bodyDiv w:val="1"/>
      <w:marLeft w:val="0"/>
      <w:marRight w:val="0"/>
      <w:marTop w:val="0"/>
      <w:marBottom w:val="0"/>
      <w:divBdr>
        <w:top w:val="none" w:sz="0" w:space="0" w:color="auto"/>
        <w:left w:val="none" w:sz="0" w:space="0" w:color="auto"/>
        <w:bottom w:val="none" w:sz="0" w:space="0" w:color="auto"/>
        <w:right w:val="none" w:sz="0" w:space="0" w:color="auto"/>
      </w:divBdr>
    </w:div>
    <w:div w:id="457452298">
      <w:bodyDiv w:val="1"/>
      <w:marLeft w:val="0"/>
      <w:marRight w:val="0"/>
      <w:marTop w:val="0"/>
      <w:marBottom w:val="0"/>
      <w:divBdr>
        <w:top w:val="none" w:sz="0" w:space="0" w:color="auto"/>
        <w:left w:val="none" w:sz="0" w:space="0" w:color="auto"/>
        <w:bottom w:val="none" w:sz="0" w:space="0" w:color="auto"/>
        <w:right w:val="none" w:sz="0" w:space="0" w:color="auto"/>
      </w:divBdr>
    </w:div>
    <w:div w:id="476384862">
      <w:bodyDiv w:val="1"/>
      <w:marLeft w:val="0"/>
      <w:marRight w:val="0"/>
      <w:marTop w:val="0"/>
      <w:marBottom w:val="0"/>
      <w:divBdr>
        <w:top w:val="none" w:sz="0" w:space="0" w:color="auto"/>
        <w:left w:val="none" w:sz="0" w:space="0" w:color="auto"/>
        <w:bottom w:val="none" w:sz="0" w:space="0" w:color="auto"/>
        <w:right w:val="none" w:sz="0" w:space="0" w:color="auto"/>
      </w:divBdr>
    </w:div>
    <w:div w:id="482507034">
      <w:bodyDiv w:val="1"/>
      <w:marLeft w:val="0"/>
      <w:marRight w:val="0"/>
      <w:marTop w:val="0"/>
      <w:marBottom w:val="0"/>
      <w:divBdr>
        <w:top w:val="none" w:sz="0" w:space="0" w:color="auto"/>
        <w:left w:val="none" w:sz="0" w:space="0" w:color="auto"/>
        <w:bottom w:val="none" w:sz="0" w:space="0" w:color="auto"/>
        <w:right w:val="none" w:sz="0" w:space="0" w:color="auto"/>
      </w:divBdr>
    </w:div>
    <w:div w:id="497501326">
      <w:bodyDiv w:val="1"/>
      <w:marLeft w:val="0"/>
      <w:marRight w:val="0"/>
      <w:marTop w:val="0"/>
      <w:marBottom w:val="0"/>
      <w:divBdr>
        <w:top w:val="none" w:sz="0" w:space="0" w:color="auto"/>
        <w:left w:val="none" w:sz="0" w:space="0" w:color="auto"/>
        <w:bottom w:val="none" w:sz="0" w:space="0" w:color="auto"/>
        <w:right w:val="none" w:sz="0" w:space="0" w:color="auto"/>
      </w:divBdr>
    </w:div>
    <w:div w:id="501819016">
      <w:bodyDiv w:val="1"/>
      <w:marLeft w:val="0"/>
      <w:marRight w:val="0"/>
      <w:marTop w:val="0"/>
      <w:marBottom w:val="0"/>
      <w:divBdr>
        <w:top w:val="none" w:sz="0" w:space="0" w:color="auto"/>
        <w:left w:val="none" w:sz="0" w:space="0" w:color="auto"/>
        <w:bottom w:val="none" w:sz="0" w:space="0" w:color="auto"/>
        <w:right w:val="none" w:sz="0" w:space="0" w:color="auto"/>
      </w:divBdr>
    </w:div>
    <w:div w:id="516502437">
      <w:bodyDiv w:val="1"/>
      <w:marLeft w:val="0"/>
      <w:marRight w:val="0"/>
      <w:marTop w:val="0"/>
      <w:marBottom w:val="0"/>
      <w:divBdr>
        <w:top w:val="none" w:sz="0" w:space="0" w:color="auto"/>
        <w:left w:val="none" w:sz="0" w:space="0" w:color="auto"/>
        <w:bottom w:val="none" w:sz="0" w:space="0" w:color="auto"/>
        <w:right w:val="none" w:sz="0" w:space="0" w:color="auto"/>
      </w:divBdr>
    </w:div>
    <w:div w:id="522205944">
      <w:bodyDiv w:val="1"/>
      <w:marLeft w:val="0"/>
      <w:marRight w:val="0"/>
      <w:marTop w:val="0"/>
      <w:marBottom w:val="0"/>
      <w:divBdr>
        <w:top w:val="none" w:sz="0" w:space="0" w:color="auto"/>
        <w:left w:val="none" w:sz="0" w:space="0" w:color="auto"/>
        <w:bottom w:val="none" w:sz="0" w:space="0" w:color="auto"/>
        <w:right w:val="none" w:sz="0" w:space="0" w:color="auto"/>
      </w:divBdr>
    </w:div>
    <w:div w:id="526790810">
      <w:bodyDiv w:val="1"/>
      <w:marLeft w:val="0"/>
      <w:marRight w:val="0"/>
      <w:marTop w:val="0"/>
      <w:marBottom w:val="0"/>
      <w:divBdr>
        <w:top w:val="none" w:sz="0" w:space="0" w:color="auto"/>
        <w:left w:val="none" w:sz="0" w:space="0" w:color="auto"/>
        <w:bottom w:val="none" w:sz="0" w:space="0" w:color="auto"/>
        <w:right w:val="none" w:sz="0" w:space="0" w:color="auto"/>
      </w:divBdr>
    </w:div>
    <w:div w:id="529688482">
      <w:bodyDiv w:val="1"/>
      <w:marLeft w:val="0"/>
      <w:marRight w:val="0"/>
      <w:marTop w:val="0"/>
      <w:marBottom w:val="0"/>
      <w:divBdr>
        <w:top w:val="none" w:sz="0" w:space="0" w:color="auto"/>
        <w:left w:val="none" w:sz="0" w:space="0" w:color="auto"/>
        <w:bottom w:val="none" w:sz="0" w:space="0" w:color="auto"/>
        <w:right w:val="none" w:sz="0" w:space="0" w:color="auto"/>
      </w:divBdr>
    </w:div>
    <w:div w:id="537157352">
      <w:bodyDiv w:val="1"/>
      <w:marLeft w:val="0"/>
      <w:marRight w:val="0"/>
      <w:marTop w:val="0"/>
      <w:marBottom w:val="0"/>
      <w:divBdr>
        <w:top w:val="none" w:sz="0" w:space="0" w:color="auto"/>
        <w:left w:val="none" w:sz="0" w:space="0" w:color="auto"/>
        <w:bottom w:val="none" w:sz="0" w:space="0" w:color="auto"/>
        <w:right w:val="none" w:sz="0" w:space="0" w:color="auto"/>
      </w:divBdr>
    </w:div>
    <w:div w:id="545413875">
      <w:bodyDiv w:val="1"/>
      <w:marLeft w:val="0"/>
      <w:marRight w:val="0"/>
      <w:marTop w:val="0"/>
      <w:marBottom w:val="0"/>
      <w:divBdr>
        <w:top w:val="none" w:sz="0" w:space="0" w:color="auto"/>
        <w:left w:val="none" w:sz="0" w:space="0" w:color="auto"/>
        <w:bottom w:val="none" w:sz="0" w:space="0" w:color="auto"/>
        <w:right w:val="none" w:sz="0" w:space="0" w:color="auto"/>
      </w:divBdr>
    </w:div>
    <w:div w:id="551580028">
      <w:bodyDiv w:val="1"/>
      <w:marLeft w:val="0"/>
      <w:marRight w:val="0"/>
      <w:marTop w:val="0"/>
      <w:marBottom w:val="0"/>
      <w:divBdr>
        <w:top w:val="none" w:sz="0" w:space="0" w:color="auto"/>
        <w:left w:val="none" w:sz="0" w:space="0" w:color="auto"/>
        <w:bottom w:val="none" w:sz="0" w:space="0" w:color="auto"/>
        <w:right w:val="none" w:sz="0" w:space="0" w:color="auto"/>
      </w:divBdr>
    </w:div>
    <w:div w:id="563835679">
      <w:bodyDiv w:val="1"/>
      <w:marLeft w:val="0"/>
      <w:marRight w:val="0"/>
      <w:marTop w:val="0"/>
      <w:marBottom w:val="0"/>
      <w:divBdr>
        <w:top w:val="none" w:sz="0" w:space="0" w:color="auto"/>
        <w:left w:val="none" w:sz="0" w:space="0" w:color="auto"/>
        <w:bottom w:val="none" w:sz="0" w:space="0" w:color="auto"/>
        <w:right w:val="none" w:sz="0" w:space="0" w:color="auto"/>
      </w:divBdr>
    </w:div>
    <w:div w:id="568464011">
      <w:bodyDiv w:val="1"/>
      <w:marLeft w:val="0"/>
      <w:marRight w:val="0"/>
      <w:marTop w:val="0"/>
      <w:marBottom w:val="0"/>
      <w:divBdr>
        <w:top w:val="none" w:sz="0" w:space="0" w:color="auto"/>
        <w:left w:val="none" w:sz="0" w:space="0" w:color="auto"/>
        <w:bottom w:val="none" w:sz="0" w:space="0" w:color="auto"/>
        <w:right w:val="none" w:sz="0" w:space="0" w:color="auto"/>
      </w:divBdr>
      <w:divsChild>
        <w:div w:id="1177619354">
          <w:marLeft w:val="0"/>
          <w:marRight w:val="0"/>
          <w:marTop w:val="0"/>
          <w:marBottom w:val="0"/>
          <w:divBdr>
            <w:top w:val="none" w:sz="0" w:space="0" w:color="auto"/>
            <w:left w:val="none" w:sz="0" w:space="0" w:color="auto"/>
            <w:bottom w:val="none" w:sz="0" w:space="0" w:color="auto"/>
            <w:right w:val="none" w:sz="0" w:space="0" w:color="auto"/>
          </w:divBdr>
          <w:divsChild>
            <w:div w:id="792868860">
              <w:marLeft w:val="0"/>
              <w:marRight w:val="0"/>
              <w:marTop w:val="0"/>
              <w:marBottom w:val="0"/>
              <w:divBdr>
                <w:top w:val="none" w:sz="0" w:space="0" w:color="auto"/>
                <w:left w:val="none" w:sz="0" w:space="0" w:color="auto"/>
                <w:bottom w:val="none" w:sz="0" w:space="0" w:color="auto"/>
                <w:right w:val="none" w:sz="0" w:space="0" w:color="auto"/>
              </w:divBdr>
              <w:divsChild>
                <w:div w:id="1917277174">
                  <w:marLeft w:val="0"/>
                  <w:marRight w:val="0"/>
                  <w:marTop w:val="0"/>
                  <w:marBottom w:val="0"/>
                  <w:divBdr>
                    <w:top w:val="none" w:sz="0" w:space="0" w:color="auto"/>
                    <w:left w:val="none" w:sz="0" w:space="0" w:color="auto"/>
                    <w:bottom w:val="none" w:sz="0" w:space="0" w:color="auto"/>
                    <w:right w:val="none" w:sz="0" w:space="0" w:color="auto"/>
                  </w:divBdr>
                  <w:divsChild>
                    <w:div w:id="2124418422">
                      <w:marLeft w:val="0"/>
                      <w:marRight w:val="0"/>
                      <w:marTop w:val="0"/>
                      <w:marBottom w:val="0"/>
                      <w:divBdr>
                        <w:top w:val="none" w:sz="0" w:space="0" w:color="auto"/>
                        <w:left w:val="none" w:sz="0" w:space="0" w:color="auto"/>
                        <w:bottom w:val="none" w:sz="0" w:space="0" w:color="auto"/>
                        <w:right w:val="none" w:sz="0" w:space="0" w:color="auto"/>
                      </w:divBdr>
                      <w:divsChild>
                        <w:div w:id="439687923">
                          <w:marLeft w:val="0"/>
                          <w:marRight w:val="0"/>
                          <w:marTop w:val="0"/>
                          <w:marBottom w:val="0"/>
                          <w:divBdr>
                            <w:top w:val="none" w:sz="0" w:space="0" w:color="auto"/>
                            <w:left w:val="none" w:sz="0" w:space="0" w:color="auto"/>
                            <w:bottom w:val="none" w:sz="0" w:space="0" w:color="auto"/>
                            <w:right w:val="none" w:sz="0" w:space="0" w:color="auto"/>
                          </w:divBdr>
                          <w:divsChild>
                            <w:div w:id="10176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169867">
      <w:bodyDiv w:val="1"/>
      <w:marLeft w:val="0"/>
      <w:marRight w:val="0"/>
      <w:marTop w:val="0"/>
      <w:marBottom w:val="0"/>
      <w:divBdr>
        <w:top w:val="none" w:sz="0" w:space="0" w:color="auto"/>
        <w:left w:val="none" w:sz="0" w:space="0" w:color="auto"/>
        <w:bottom w:val="none" w:sz="0" w:space="0" w:color="auto"/>
        <w:right w:val="none" w:sz="0" w:space="0" w:color="auto"/>
      </w:divBdr>
    </w:div>
    <w:div w:id="578322155">
      <w:bodyDiv w:val="1"/>
      <w:marLeft w:val="0"/>
      <w:marRight w:val="0"/>
      <w:marTop w:val="0"/>
      <w:marBottom w:val="0"/>
      <w:divBdr>
        <w:top w:val="none" w:sz="0" w:space="0" w:color="auto"/>
        <w:left w:val="none" w:sz="0" w:space="0" w:color="auto"/>
        <w:bottom w:val="none" w:sz="0" w:space="0" w:color="auto"/>
        <w:right w:val="none" w:sz="0" w:space="0" w:color="auto"/>
      </w:divBdr>
    </w:div>
    <w:div w:id="591669240">
      <w:bodyDiv w:val="1"/>
      <w:marLeft w:val="0"/>
      <w:marRight w:val="0"/>
      <w:marTop w:val="0"/>
      <w:marBottom w:val="0"/>
      <w:divBdr>
        <w:top w:val="none" w:sz="0" w:space="0" w:color="auto"/>
        <w:left w:val="none" w:sz="0" w:space="0" w:color="auto"/>
        <w:bottom w:val="none" w:sz="0" w:space="0" w:color="auto"/>
        <w:right w:val="none" w:sz="0" w:space="0" w:color="auto"/>
      </w:divBdr>
    </w:div>
    <w:div w:id="609749322">
      <w:bodyDiv w:val="1"/>
      <w:marLeft w:val="0"/>
      <w:marRight w:val="0"/>
      <w:marTop w:val="0"/>
      <w:marBottom w:val="0"/>
      <w:divBdr>
        <w:top w:val="none" w:sz="0" w:space="0" w:color="auto"/>
        <w:left w:val="none" w:sz="0" w:space="0" w:color="auto"/>
        <w:bottom w:val="none" w:sz="0" w:space="0" w:color="auto"/>
        <w:right w:val="none" w:sz="0" w:space="0" w:color="auto"/>
      </w:divBdr>
    </w:div>
    <w:div w:id="641036835">
      <w:bodyDiv w:val="1"/>
      <w:marLeft w:val="0"/>
      <w:marRight w:val="0"/>
      <w:marTop w:val="0"/>
      <w:marBottom w:val="0"/>
      <w:divBdr>
        <w:top w:val="none" w:sz="0" w:space="0" w:color="auto"/>
        <w:left w:val="none" w:sz="0" w:space="0" w:color="auto"/>
        <w:bottom w:val="none" w:sz="0" w:space="0" w:color="auto"/>
        <w:right w:val="none" w:sz="0" w:space="0" w:color="auto"/>
      </w:divBdr>
    </w:div>
    <w:div w:id="642731977">
      <w:bodyDiv w:val="1"/>
      <w:marLeft w:val="0"/>
      <w:marRight w:val="0"/>
      <w:marTop w:val="0"/>
      <w:marBottom w:val="0"/>
      <w:divBdr>
        <w:top w:val="none" w:sz="0" w:space="0" w:color="auto"/>
        <w:left w:val="none" w:sz="0" w:space="0" w:color="auto"/>
        <w:bottom w:val="none" w:sz="0" w:space="0" w:color="auto"/>
        <w:right w:val="none" w:sz="0" w:space="0" w:color="auto"/>
      </w:divBdr>
    </w:div>
    <w:div w:id="649477877">
      <w:bodyDiv w:val="1"/>
      <w:marLeft w:val="0"/>
      <w:marRight w:val="0"/>
      <w:marTop w:val="0"/>
      <w:marBottom w:val="0"/>
      <w:divBdr>
        <w:top w:val="none" w:sz="0" w:space="0" w:color="auto"/>
        <w:left w:val="none" w:sz="0" w:space="0" w:color="auto"/>
        <w:bottom w:val="none" w:sz="0" w:space="0" w:color="auto"/>
        <w:right w:val="none" w:sz="0" w:space="0" w:color="auto"/>
      </w:divBdr>
    </w:div>
    <w:div w:id="667294857">
      <w:bodyDiv w:val="1"/>
      <w:marLeft w:val="0"/>
      <w:marRight w:val="0"/>
      <w:marTop w:val="0"/>
      <w:marBottom w:val="0"/>
      <w:divBdr>
        <w:top w:val="none" w:sz="0" w:space="0" w:color="auto"/>
        <w:left w:val="none" w:sz="0" w:space="0" w:color="auto"/>
        <w:bottom w:val="none" w:sz="0" w:space="0" w:color="auto"/>
        <w:right w:val="none" w:sz="0" w:space="0" w:color="auto"/>
      </w:divBdr>
    </w:div>
    <w:div w:id="669018533">
      <w:bodyDiv w:val="1"/>
      <w:marLeft w:val="0"/>
      <w:marRight w:val="0"/>
      <w:marTop w:val="0"/>
      <w:marBottom w:val="0"/>
      <w:divBdr>
        <w:top w:val="none" w:sz="0" w:space="0" w:color="auto"/>
        <w:left w:val="none" w:sz="0" w:space="0" w:color="auto"/>
        <w:bottom w:val="none" w:sz="0" w:space="0" w:color="auto"/>
        <w:right w:val="none" w:sz="0" w:space="0" w:color="auto"/>
      </w:divBdr>
    </w:div>
    <w:div w:id="673189297">
      <w:bodyDiv w:val="1"/>
      <w:marLeft w:val="0"/>
      <w:marRight w:val="0"/>
      <w:marTop w:val="0"/>
      <w:marBottom w:val="0"/>
      <w:divBdr>
        <w:top w:val="none" w:sz="0" w:space="0" w:color="auto"/>
        <w:left w:val="none" w:sz="0" w:space="0" w:color="auto"/>
        <w:bottom w:val="none" w:sz="0" w:space="0" w:color="auto"/>
        <w:right w:val="none" w:sz="0" w:space="0" w:color="auto"/>
      </w:divBdr>
    </w:div>
    <w:div w:id="688025891">
      <w:bodyDiv w:val="1"/>
      <w:marLeft w:val="0"/>
      <w:marRight w:val="0"/>
      <w:marTop w:val="0"/>
      <w:marBottom w:val="0"/>
      <w:divBdr>
        <w:top w:val="none" w:sz="0" w:space="0" w:color="auto"/>
        <w:left w:val="none" w:sz="0" w:space="0" w:color="auto"/>
        <w:bottom w:val="none" w:sz="0" w:space="0" w:color="auto"/>
        <w:right w:val="none" w:sz="0" w:space="0" w:color="auto"/>
      </w:divBdr>
    </w:div>
    <w:div w:id="705759344">
      <w:bodyDiv w:val="1"/>
      <w:marLeft w:val="0"/>
      <w:marRight w:val="0"/>
      <w:marTop w:val="0"/>
      <w:marBottom w:val="0"/>
      <w:divBdr>
        <w:top w:val="none" w:sz="0" w:space="0" w:color="auto"/>
        <w:left w:val="none" w:sz="0" w:space="0" w:color="auto"/>
        <w:bottom w:val="none" w:sz="0" w:space="0" w:color="auto"/>
        <w:right w:val="none" w:sz="0" w:space="0" w:color="auto"/>
      </w:divBdr>
    </w:div>
    <w:div w:id="711342049">
      <w:bodyDiv w:val="1"/>
      <w:marLeft w:val="0"/>
      <w:marRight w:val="0"/>
      <w:marTop w:val="0"/>
      <w:marBottom w:val="0"/>
      <w:divBdr>
        <w:top w:val="none" w:sz="0" w:space="0" w:color="auto"/>
        <w:left w:val="none" w:sz="0" w:space="0" w:color="auto"/>
        <w:bottom w:val="none" w:sz="0" w:space="0" w:color="auto"/>
        <w:right w:val="none" w:sz="0" w:space="0" w:color="auto"/>
      </w:divBdr>
    </w:div>
    <w:div w:id="719552478">
      <w:bodyDiv w:val="1"/>
      <w:marLeft w:val="0"/>
      <w:marRight w:val="0"/>
      <w:marTop w:val="0"/>
      <w:marBottom w:val="0"/>
      <w:divBdr>
        <w:top w:val="none" w:sz="0" w:space="0" w:color="auto"/>
        <w:left w:val="none" w:sz="0" w:space="0" w:color="auto"/>
        <w:bottom w:val="none" w:sz="0" w:space="0" w:color="auto"/>
        <w:right w:val="none" w:sz="0" w:space="0" w:color="auto"/>
      </w:divBdr>
    </w:div>
    <w:div w:id="719597527">
      <w:bodyDiv w:val="1"/>
      <w:marLeft w:val="0"/>
      <w:marRight w:val="0"/>
      <w:marTop w:val="0"/>
      <w:marBottom w:val="0"/>
      <w:divBdr>
        <w:top w:val="none" w:sz="0" w:space="0" w:color="auto"/>
        <w:left w:val="none" w:sz="0" w:space="0" w:color="auto"/>
        <w:bottom w:val="none" w:sz="0" w:space="0" w:color="auto"/>
        <w:right w:val="none" w:sz="0" w:space="0" w:color="auto"/>
      </w:divBdr>
    </w:div>
    <w:div w:id="736323944">
      <w:bodyDiv w:val="1"/>
      <w:marLeft w:val="0"/>
      <w:marRight w:val="0"/>
      <w:marTop w:val="0"/>
      <w:marBottom w:val="0"/>
      <w:divBdr>
        <w:top w:val="none" w:sz="0" w:space="0" w:color="auto"/>
        <w:left w:val="none" w:sz="0" w:space="0" w:color="auto"/>
        <w:bottom w:val="none" w:sz="0" w:space="0" w:color="auto"/>
        <w:right w:val="none" w:sz="0" w:space="0" w:color="auto"/>
      </w:divBdr>
    </w:div>
    <w:div w:id="742870130">
      <w:bodyDiv w:val="1"/>
      <w:marLeft w:val="0"/>
      <w:marRight w:val="0"/>
      <w:marTop w:val="0"/>
      <w:marBottom w:val="0"/>
      <w:divBdr>
        <w:top w:val="none" w:sz="0" w:space="0" w:color="auto"/>
        <w:left w:val="none" w:sz="0" w:space="0" w:color="auto"/>
        <w:bottom w:val="none" w:sz="0" w:space="0" w:color="auto"/>
        <w:right w:val="none" w:sz="0" w:space="0" w:color="auto"/>
      </w:divBdr>
    </w:div>
    <w:div w:id="742875529">
      <w:bodyDiv w:val="1"/>
      <w:marLeft w:val="0"/>
      <w:marRight w:val="0"/>
      <w:marTop w:val="0"/>
      <w:marBottom w:val="0"/>
      <w:divBdr>
        <w:top w:val="none" w:sz="0" w:space="0" w:color="auto"/>
        <w:left w:val="none" w:sz="0" w:space="0" w:color="auto"/>
        <w:bottom w:val="none" w:sz="0" w:space="0" w:color="auto"/>
        <w:right w:val="none" w:sz="0" w:space="0" w:color="auto"/>
      </w:divBdr>
    </w:div>
    <w:div w:id="759788289">
      <w:bodyDiv w:val="1"/>
      <w:marLeft w:val="0"/>
      <w:marRight w:val="0"/>
      <w:marTop w:val="0"/>
      <w:marBottom w:val="0"/>
      <w:divBdr>
        <w:top w:val="none" w:sz="0" w:space="0" w:color="auto"/>
        <w:left w:val="none" w:sz="0" w:space="0" w:color="auto"/>
        <w:bottom w:val="none" w:sz="0" w:space="0" w:color="auto"/>
        <w:right w:val="none" w:sz="0" w:space="0" w:color="auto"/>
      </w:divBdr>
    </w:div>
    <w:div w:id="769737580">
      <w:bodyDiv w:val="1"/>
      <w:marLeft w:val="0"/>
      <w:marRight w:val="0"/>
      <w:marTop w:val="0"/>
      <w:marBottom w:val="0"/>
      <w:divBdr>
        <w:top w:val="none" w:sz="0" w:space="0" w:color="auto"/>
        <w:left w:val="none" w:sz="0" w:space="0" w:color="auto"/>
        <w:bottom w:val="none" w:sz="0" w:space="0" w:color="auto"/>
        <w:right w:val="none" w:sz="0" w:space="0" w:color="auto"/>
      </w:divBdr>
    </w:div>
    <w:div w:id="774130958">
      <w:bodyDiv w:val="1"/>
      <w:marLeft w:val="0"/>
      <w:marRight w:val="0"/>
      <w:marTop w:val="0"/>
      <w:marBottom w:val="0"/>
      <w:divBdr>
        <w:top w:val="none" w:sz="0" w:space="0" w:color="auto"/>
        <w:left w:val="none" w:sz="0" w:space="0" w:color="auto"/>
        <w:bottom w:val="none" w:sz="0" w:space="0" w:color="auto"/>
        <w:right w:val="none" w:sz="0" w:space="0" w:color="auto"/>
      </w:divBdr>
    </w:div>
    <w:div w:id="785657689">
      <w:bodyDiv w:val="1"/>
      <w:marLeft w:val="0"/>
      <w:marRight w:val="0"/>
      <w:marTop w:val="0"/>
      <w:marBottom w:val="0"/>
      <w:divBdr>
        <w:top w:val="none" w:sz="0" w:space="0" w:color="auto"/>
        <w:left w:val="none" w:sz="0" w:space="0" w:color="auto"/>
        <w:bottom w:val="none" w:sz="0" w:space="0" w:color="auto"/>
        <w:right w:val="none" w:sz="0" w:space="0" w:color="auto"/>
      </w:divBdr>
    </w:div>
    <w:div w:id="813256005">
      <w:bodyDiv w:val="1"/>
      <w:marLeft w:val="0"/>
      <w:marRight w:val="0"/>
      <w:marTop w:val="0"/>
      <w:marBottom w:val="0"/>
      <w:divBdr>
        <w:top w:val="none" w:sz="0" w:space="0" w:color="auto"/>
        <w:left w:val="none" w:sz="0" w:space="0" w:color="auto"/>
        <w:bottom w:val="none" w:sz="0" w:space="0" w:color="auto"/>
        <w:right w:val="none" w:sz="0" w:space="0" w:color="auto"/>
      </w:divBdr>
    </w:div>
    <w:div w:id="817575745">
      <w:bodyDiv w:val="1"/>
      <w:marLeft w:val="0"/>
      <w:marRight w:val="0"/>
      <w:marTop w:val="0"/>
      <w:marBottom w:val="0"/>
      <w:divBdr>
        <w:top w:val="none" w:sz="0" w:space="0" w:color="auto"/>
        <w:left w:val="none" w:sz="0" w:space="0" w:color="auto"/>
        <w:bottom w:val="none" w:sz="0" w:space="0" w:color="auto"/>
        <w:right w:val="none" w:sz="0" w:space="0" w:color="auto"/>
      </w:divBdr>
    </w:div>
    <w:div w:id="824126908">
      <w:bodyDiv w:val="1"/>
      <w:marLeft w:val="0"/>
      <w:marRight w:val="0"/>
      <w:marTop w:val="0"/>
      <w:marBottom w:val="0"/>
      <w:divBdr>
        <w:top w:val="none" w:sz="0" w:space="0" w:color="auto"/>
        <w:left w:val="none" w:sz="0" w:space="0" w:color="auto"/>
        <w:bottom w:val="none" w:sz="0" w:space="0" w:color="auto"/>
        <w:right w:val="none" w:sz="0" w:space="0" w:color="auto"/>
      </w:divBdr>
    </w:div>
    <w:div w:id="828178867">
      <w:bodyDiv w:val="1"/>
      <w:marLeft w:val="0"/>
      <w:marRight w:val="0"/>
      <w:marTop w:val="0"/>
      <w:marBottom w:val="0"/>
      <w:divBdr>
        <w:top w:val="none" w:sz="0" w:space="0" w:color="auto"/>
        <w:left w:val="none" w:sz="0" w:space="0" w:color="auto"/>
        <w:bottom w:val="none" w:sz="0" w:space="0" w:color="auto"/>
        <w:right w:val="none" w:sz="0" w:space="0" w:color="auto"/>
      </w:divBdr>
    </w:div>
    <w:div w:id="840975336">
      <w:bodyDiv w:val="1"/>
      <w:marLeft w:val="0"/>
      <w:marRight w:val="0"/>
      <w:marTop w:val="0"/>
      <w:marBottom w:val="0"/>
      <w:divBdr>
        <w:top w:val="none" w:sz="0" w:space="0" w:color="auto"/>
        <w:left w:val="none" w:sz="0" w:space="0" w:color="auto"/>
        <w:bottom w:val="none" w:sz="0" w:space="0" w:color="auto"/>
        <w:right w:val="none" w:sz="0" w:space="0" w:color="auto"/>
      </w:divBdr>
    </w:div>
    <w:div w:id="858154365">
      <w:bodyDiv w:val="1"/>
      <w:marLeft w:val="0"/>
      <w:marRight w:val="0"/>
      <w:marTop w:val="0"/>
      <w:marBottom w:val="0"/>
      <w:divBdr>
        <w:top w:val="none" w:sz="0" w:space="0" w:color="auto"/>
        <w:left w:val="none" w:sz="0" w:space="0" w:color="auto"/>
        <w:bottom w:val="none" w:sz="0" w:space="0" w:color="auto"/>
        <w:right w:val="none" w:sz="0" w:space="0" w:color="auto"/>
      </w:divBdr>
    </w:div>
    <w:div w:id="870411061">
      <w:bodyDiv w:val="1"/>
      <w:marLeft w:val="0"/>
      <w:marRight w:val="0"/>
      <w:marTop w:val="0"/>
      <w:marBottom w:val="0"/>
      <w:divBdr>
        <w:top w:val="none" w:sz="0" w:space="0" w:color="auto"/>
        <w:left w:val="none" w:sz="0" w:space="0" w:color="auto"/>
        <w:bottom w:val="none" w:sz="0" w:space="0" w:color="auto"/>
        <w:right w:val="none" w:sz="0" w:space="0" w:color="auto"/>
      </w:divBdr>
    </w:div>
    <w:div w:id="876698940">
      <w:bodyDiv w:val="1"/>
      <w:marLeft w:val="0"/>
      <w:marRight w:val="0"/>
      <w:marTop w:val="0"/>
      <w:marBottom w:val="0"/>
      <w:divBdr>
        <w:top w:val="none" w:sz="0" w:space="0" w:color="auto"/>
        <w:left w:val="none" w:sz="0" w:space="0" w:color="auto"/>
        <w:bottom w:val="none" w:sz="0" w:space="0" w:color="auto"/>
        <w:right w:val="none" w:sz="0" w:space="0" w:color="auto"/>
      </w:divBdr>
    </w:div>
    <w:div w:id="890069784">
      <w:bodyDiv w:val="1"/>
      <w:marLeft w:val="0"/>
      <w:marRight w:val="0"/>
      <w:marTop w:val="0"/>
      <w:marBottom w:val="0"/>
      <w:divBdr>
        <w:top w:val="none" w:sz="0" w:space="0" w:color="auto"/>
        <w:left w:val="none" w:sz="0" w:space="0" w:color="auto"/>
        <w:bottom w:val="none" w:sz="0" w:space="0" w:color="auto"/>
        <w:right w:val="none" w:sz="0" w:space="0" w:color="auto"/>
      </w:divBdr>
    </w:div>
    <w:div w:id="891230071">
      <w:bodyDiv w:val="1"/>
      <w:marLeft w:val="0"/>
      <w:marRight w:val="0"/>
      <w:marTop w:val="0"/>
      <w:marBottom w:val="0"/>
      <w:divBdr>
        <w:top w:val="none" w:sz="0" w:space="0" w:color="auto"/>
        <w:left w:val="none" w:sz="0" w:space="0" w:color="auto"/>
        <w:bottom w:val="none" w:sz="0" w:space="0" w:color="auto"/>
        <w:right w:val="none" w:sz="0" w:space="0" w:color="auto"/>
      </w:divBdr>
    </w:div>
    <w:div w:id="893542152">
      <w:bodyDiv w:val="1"/>
      <w:marLeft w:val="0"/>
      <w:marRight w:val="0"/>
      <w:marTop w:val="0"/>
      <w:marBottom w:val="0"/>
      <w:divBdr>
        <w:top w:val="none" w:sz="0" w:space="0" w:color="auto"/>
        <w:left w:val="none" w:sz="0" w:space="0" w:color="auto"/>
        <w:bottom w:val="none" w:sz="0" w:space="0" w:color="auto"/>
        <w:right w:val="none" w:sz="0" w:space="0" w:color="auto"/>
      </w:divBdr>
    </w:div>
    <w:div w:id="899100667">
      <w:bodyDiv w:val="1"/>
      <w:marLeft w:val="0"/>
      <w:marRight w:val="0"/>
      <w:marTop w:val="0"/>
      <w:marBottom w:val="0"/>
      <w:divBdr>
        <w:top w:val="none" w:sz="0" w:space="0" w:color="auto"/>
        <w:left w:val="none" w:sz="0" w:space="0" w:color="auto"/>
        <w:bottom w:val="none" w:sz="0" w:space="0" w:color="auto"/>
        <w:right w:val="none" w:sz="0" w:space="0" w:color="auto"/>
      </w:divBdr>
    </w:div>
    <w:div w:id="918901873">
      <w:bodyDiv w:val="1"/>
      <w:marLeft w:val="0"/>
      <w:marRight w:val="0"/>
      <w:marTop w:val="0"/>
      <w:marBottom w:val="0"/>
      <w:divBdr>
        <w:top w:val="none" w:sz="0" w:space="0" w:color="auto"/>
        <w:left w:val="none" w:sz="0" w:space="0" w:color="auto"/>
        <w:bottom w:val="none" w:sz="0" w:space="0" w:color="auto"/>
        <w:right w:val="none" w:sz="0" w:space="0" w:color="auto"/>
      </w:divBdr>
    </w:div>
    <w:div w:id="938684349">
      <w:bodyDiv w:val="1"/>
      <w:marLeft w:val="0"/>
      <w:marRight w:val="0"/>
      <w:marTop w:val="0"/>
      <w:marBottom w:val="0"/>
      <w:divBdr>
        <w:top w:val="none" w:sz="0" w:space="0" w:color="auto"/>
        <w:left w:val="none" w:sz="0" w:space="0" w:color="auto"/>
        <w:bottom w:val="none" w:sz="0" w:space="0" w:color="auto"/>
        <w:right w:val="none" w:sz="0" w:space="0" w:color="auto"/>
      </w:divBdr>
    </w:div>
    <w:div w:id="947809769">
      <w:bodyDiv w:val="1"/>
      <w:marLeft w:val="0"/>
      <w:marRight w:val="0"/>
      <w:marTop w:val="0"/>
      <w:marBottom w:val="0"/>
      <w:divBdr>
        <w:top w:val="none" w:sz="0" w:space="0" w:color="auto"/>
        <w:left w:val="none" w:sz="0" w:space="0" w:color="auto"/>
        <w:bottom w:val="none" w:sz="0" w:space="0" w:color="auto"/>
        <w:right w:val="none" w:sz="0" w:space="0" w:color="auto"/>
      </w:divBdr>
      <w:divsChild>
        <w:div w:id="1022631323">
          <w:marLeft w:val="0"/>
          <w:marRight w:val="0"/>
          <w:marTop w:val="0"/>
          <w:marBottom w:val="0"/>
          <w:divBdr>
            <w:top w:val="none" w:sz="0" w:space="0" w:color="auto"/>
            <w:left w:val="none" w:sz="0" w:space="0" w:color="auto"/>
            <w:bottom w:val="none" w:sz="0" w:space="0" w:color="auto"/>
            <w:right w:val="none" w:sz="0" w:space="0" w:color="auto"/>
          </w:divBdr>
        </w:div>
        <w:div w:id="1146165481">
          <w:marLeft w:val="0"/>
          <w:marRight w:val="0"/>
          <w:marTop w:val="0"/>
          <w:marBottom w:val="0"/>
          <w:divBdr>
            <w:top w:val="none" w:sz="0" w:space="0" w:color="auto"/>
            <w:left w:val="none" w:sz="0" w:space="0" w:color="auto"/>
            <w:bottom w:val="none" w:sz="0" w:space="0" w:color="auto"/>
            <w:right w:val="none" w:sz="0" w:space="0" w:color="auto"/>
          </w:divBdr>
        </w:div>
        <w:div w:id="1578663426">
          <w:marLeft w:val="0"/>
          <w:marRight w:val="0"/>
          <w:marTop w:val="0"/>
          <w:marBottom w:val="0"/>
          <w:divBdr>
            <w:top w:val="none" w:sz="0" w:space="0" w:color="auto"/>
            <w:left w:val="none" w:sz="0" w:space="0" w:color="auto"/>
            <w:bottom w:val="none" w:sz="0" w:space="0" w:color="auto"/>
            <w:right w:val="none" w:sz="0" w:space="0" w:color="auto"/>
          </w:divBdr>
        </w:div>
        <w:div w:id="1775980918">
          <w:marLeft w:val="0"/>
          <w:marRight w:val="0"/>
          <w:marTop w:val="0"/>
          <w:marBottom w:val="0"/>
          <w:divBdr>
            <w:top w:val="none" w:sz="0" w:space="0" w:color="auto"/>
            <w:left w:val="none" w:sz="0" w:space="0" w:color="auto"/>
            <w:bottom w:val="none" w:sz="0" w:space="0" w:color="auto"/>
            <w:right w:val="none" w:sz="0" w:space="0" w:color="auto"/>
          </w:divBdr>
        </w:div>
        <w:div w:id="2120879689">
          <w:marLeft w:val="0"/>
          <w:marRight w:val="0"/>
          <w:marTop w:val="0"/>
          <w:marBottom w:val="0"/>
          <w:divBdr>
            <w:top w:val="none" w:sz="0" w:space="0" w:color="auto"/>
            <w:left w:val="none" w:sz="0" w:space="0" w:color="auto"/>
            <w:bottom w:val="none" w:sz="0" w:space="0" w:color="auto"/>
            <w:right w:val="none" w:sz="0" w:space="0" w:color="auto"/>
          </w:divBdr>
        </w:div>
      </w:divsChild>
    </w:div>
    <w:div w:id="950629232">
      <w:bodyDiv w:val="1"/>
      <w:marLeft w:val="0"/>
      <w:marRight w:val="0"/>
      <w:marTop w:val="0"/>
      <w:marBottom w:val="0"/>
      <w:divBdr>
        <w:top w:val="none" w:sz="0" w:space="0" w:color="auto"/>
        <w:left w:val="none" w:sz="0" w:space="0" w:color="auto"/>
        <w:bottom w:val="none" w:sz="0" w:space="0" w:color="auto"/>
        <w:right w:val="none" w:sz="0" w:space="0" w:color="auto"/>
      </w:divBdr>
    </w:div>
    <w:div w:id="951788816">
      <w:bodyDiv w:val="1"/>
      <w:marLeft w:val="0"/>
      <w:marRight w:val="0"/>
      <w:marTop w:val="0"/>
      <w:marBottom w:val="0"/>
      <w:divBdr>
        <w:top w:val="none" w:sz="0" w:space="0" w:color="auto"/>
        <w:left w:val="none" w:sz="0" w:space="0" w:color="auto"/>
        <w:bottom w:val="none" w:sz="0" w:space="0" w:color="auto"/>
        <w:right w:val="none" w:sz="0" w:space="0" w:color="auto"/>
      </w:divBdr>
    </w:div>
    <w:div w:id="953681164">
      <w:bodyDiv w:val="1"/>
      <w:marLeft w:val="0"/>
      <w:marRight w:val="0"/>
      <w:marTop w:val="0"/>
      <w:marBottom w:val="0"/>
      <w:divBdr>
        <w:top w:val="none" w:sz="0" w:space="0" w:color="auto"/>
        <w:left w:val="none" w:sz="0" w:space="0" w:color="auto"/>
        <w:bottom w:val="none" w:sz="0" w:space="0" w:color="auto"/>
        <w:right w:val="none" w:sz="0" w:space="0" w:color="auto"/>
      </w:divBdr>
    </w:div>
    <w:div w:id="961301344">
      <w:bodyDiv w:val="1"/>
      <w:marLeft w:val="0"/>
      <w:marRight w:val="0"/>
      <w:marTop w:val="0"/>
      <w:marBottom w:val="0"/>
      <w:divBdr>
        <w:top w:val="none" w:sz="0" w:space="0" w:color="auto"/>
        <w:left w:val="none" w:sz="0" w:space="0" w:color="auto"/>
        <w:bottom w:val="none" w:sz="0" w:space="0" w:color="auto"/>
        <w:right w:val="none" w:sz="0" w:space="0" w:color="auto"/>
      </w:divBdr>
    </w:div>
    <w:div w:id="965476699">
      <w:bodyDiv w:val="1"/>
      <w:marLeft w:val="0"/>
      <w:marRight w:val="0"/>
      <w:marTop w:val="0"/>
      <w:marBottom w:val="0"/>
      <w:divBdr>
        <w:top w:val="none" w:sz="0" w:space="0" w:color="auto"/>
        <w:left w:val="none" w:sz="0" w:space="0" w:color="auto"/>
        <w:bottom w:val="none" w:sz="0" w:space="0" w:color="auto"/>
        <w:right w:val="none" w:sz="0" w:space="0" w:color="auto"/>
      </w:divBdr>
    </w:div>
    <w:div w:id="969941605">
      <w:bodyDiv w:val="1"/>
      <w:marLeft w:val="0"/>
      <w:marRight w:val="0"/>
      <w:marTop w:val="0"/>
      <w:marBottom w:val="0"/>
      <w:divBdr>
        <w:top w:val="none" w:sz="0" w:space="0" w:color="auto"/>
        <w:left w:val="none" w:sz="0" w:space="0" w:color="auto"/>
        <w:bottom w:val="none" w:sz="0" w:space="0" w:color="auto"/>
        <w:right w:val="none" w:sz="0" w:space="0" w:color="auto"/>
      </w:divBdr>
    </w:div>
    <w:div w:id="976689117">
      <w:bodyDiv w:val="1"/>
      <w:marLeft w:val="0"/>
      <w:marRight w:val="0"/>
      <w:marTop w:val="0"/>
      <w:marBottom w:val="0"/>
      <w:divBdr>
        <w:top w:val="none" w:sz="0" w:space="0" w:color="auto"/>
        <w:left w:val="none" w:sz="0" w:space="0" w:color="auto"/>
        <w:bottom w:val="none" w:sz="0" w:space="0" w:color="auto"/>
        <w:right w:val="none" w:sz="0" w:space="0" w:color="auto"/>
      </w:divBdr>
    </w:div>
    <w:div w:id="1005941108">
      <w:bodyDiv w:val="1"/>
      <w:marLeft w:val="0"/>
      <w:marRight w:val="0"/>
      <w:marTop w:val="0"/>
      <w:marBottom w:val="0"/>
      <w:divBdr>
        <w:top w:val="none" w:sz="0" w:space="0" w:color="auto"/>
        <w:left w:val="none" w:sz="0" w:space="0" w:color="auto"/>
        <w:bottom w:val="none" w:sz="0" w:space="0" w:color="auto"/>
        <w:right w:val="none" w:sz="0" w:space="0" w:color="auto"/>
      </w:divBdr>
    </w:div>
    <w:div w:id="1032195022">
      <w:bodyDiv w:val="1"/>
      <w:marLeft w:val="0"/>
      <w:marRight w:val="0"/>
      <w:marTop w:val="0"/>
      <w:marBottom w:val="0"/>
      <w:divBdr>
        <w:top w:val="none" w:sz="0" w:space="0" w:color="auto"/>
        <w:left w:val="none" w:sz="0" w:space="0" w:color="auto"/>
        <w:bottom w:val="none" w:sz="0" w:space="0" w:color="auto"/>
        <w:right w:val="none" w:sz="0" w:space="0" w:color="auto"/>
      </w:divBdr>
    </w:div>
    <w:div w:id="1034885682">
      <w:bodyDiv w:val="1"/>
      <w:marLeft w:val="0"/>
      <w:marRight w:val="0"/>
      <w:marTop w:val="0"/>
      <w:marBottom w:val="0"/>
      <w:divBdr>
        <w:top w:val="none" w:sz="0" w:space="0" w:color="auto"/>
        <w:left w:val="none" w:sz="0" w:space="0" w:color="auto"/>
        <w:bottom w:val="none" w:sz="0" w:space="0" w:color="auto"/>
        <w:right w:val="none" w:sz="0" w:space="0" w:color="auto"/>
      </w:divBdr>
    </w:div>
    <w:div w:id="1034963135">
      <w:bodyDiv w:val="1"/>
      <w:marLeft w:val="0"/>
      <w:marRight w:val="0"/>
      <w:marTop w:val="0"/>
      <w:marBottom w:val="0"/>
      <w:divBdr>
        <w:top w:val="none" w:sz="0" w:space="0" w:color="auto"/>
        <w:left w:val="none" w:sz="0" w:space="0" w:color="auto"/>
        <w:bottom w:val="none" w:sz="0" w:space="0" w:color="auto"/>
        <w:right w:val="none" w:sz="0" w:space="0" w:color="auto"/>
      </w:divBdr>
    </w:div>
    <w:div w:id="1044599049">
      <w:bodyDiv w:val="1"/>
      <w:marLeft w:val="0"/>
      <w:marRight w:val="0"/>
      <w:marTop w:val="0"/>
      <w:marBottom w:val="0"/>
      <w:divBdr>
        <w:top w:val="none" w:sz="0" w:space="0" w:color="auto"/>
        <w:left w:val="none" w:sz="0" w:space="0" w:color="auto"/>
        <w:bottom w:val="none" w:sz="0" w:space="0" w:color="auto"/>
        <w:right w:val="none" w:sz="0" w:space="0" w:color="auto"/>
      </w:divBdr>
      <w:divsChild>
        <w:div w:id="1418556380">
          <w:marLeft w:val="0"/>
          <w:marRight w:val="0"/>
          <w:marTop w:val="0"/>
          <w:marBottom w:val="0"/>
          <w:divBdr>
            <w:top w:val="single" w:sz="2" w:space="0" w:color="auto"/>
            <w:left w:val="single" w:sz="2" w:space="0" w:color="auto"/>
            <w:bottom w:val="single" w:sz="2" w:space="0" w:color="auto"/>
            <w:right w:val="single" w:sz="2" w:space="0" w:color="auto"/>
          </w:divBdr>
          <w:divsChild>
            <w:div w:id="1063285830">
              <w:marLeft w:val="0"/>
              <w:marRight w:val="0"/>
              <w:marTop w:val="0"/>
              <w:marBottom w:val="0"/>
              <w:divBdr>
                <w:top w:val="single" w:sz="2" w:space="0" w:color="auto"/>
                <w:left w:val="single" w:sz="2" w:space="0" w:color="auto"/>
                <w:bottom w:val="single" w:sz="2" w:space="0" w:color="auto"/>
                <w:right w:val="single" w:sz="2" w:space="0" w:color="auto"/>
              </w:divBdr>
              <w:divsChild>
                <w:div w:id="20911230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54237069">
      <w:bodyDiv w:val="1"/>
      <w:marLeft w:val="0"/>
      <w:marRight w:val="0"/>
      <w:marTop w:val="0"/>
      <w:marBottom w:val="0"/>
      <w:divBdr>
        <w:top w:val="none" w:sz="0" w:space="0" w:color="auto"/>
        <w:left w:val="none" w:sz="0" w:space="0" w:color="auto"/>
        <w:bottom w:val="none" w:sz="0" w:space="0" w:color="auto"/>
        <w:right w:val="none" w:sz="0" w:space="0" w:color="auto"/>
      </w:divBdr>
    </w:div>
    <w:div w:id="1055130013">
      <w:bodyDiv w:val="1"/>
      <w:marLeft w:val="0"/>
      <w:marRight w:val="0"/>
      <w:marTop w:val="0"/>
      <w:marBottom w:val="0"/>
      <w:divBdr>
        <w:top w:val="none" w:sz="0" w:space="0" w:color="auto"/>
        <w:left w:val="none" w:sz="0" w:space="0" w:color="auto"/>
        <w:bottom w:val="none" w:sz="0" w:space="0" w:color="auto"/>
        <w:right w:val="none" w:sz="0" w:space="0" w:color="auto"/>
      </w:divBdr>
    </w:div>
    <w:div w:id="1080709948">
      <w:bodyDiv w:val="1"/>
      <w:marLeft w:val="0"/>
      <w:marRight w:val="0"/>
      <w:marTop w:val="0"/>
      <w:marBottom w:val="0"/>
      <w:divBdr>
        <w:top w:val="none" w:sz="0" w:space="0" w:color="auto"/>
        <w:left w:val="none" w:sz="0" w:space="0" w:color="auto"/>
        <w:bottom w:val="none" w:sz="0" w:space="0" w:color="auto"/>
        <w:right w:val="none" w:sz="0" w:space="0" w:color="auto"/>
      </w:divBdr>
    </w:div>
    <w:div w:id="1080715178">
      <w:bodyDiv w:val="1"/>
      <w:marLeft w:val="0"/>
      <w:marRight w:val="0"/>
      <w:marTop w:val="0"/>
      <w:marBottom w:val="0"/>
      <w:divBdr>
        <w:top w:val="none" w:sz="0" w:space="0" w:color="auto"/>
        <w:left w:val="none" w:sz="0" w:space="0" w:color="auto"/>
        <w:bottom w:val="none" w:sz="0" w:space="0" w:color="auto"/>
        <w:right w:val="none" w:sz="0" w:space="0" w:color="auto"/>
      </w:divBdr>
    </w:div>
    <w:div w:id="1082793893">
      <w:bodyDiv w:val="1"/>
      <w:marLeft w:val="0"/>
      <w:marRight w:val="0"/>
      <w:marTop w:val="0"/>
      <w:marBottom w:val="0"/>
      <w:divBdr>
        <w:top w:val="none" w:sz="0" w:space="0" w:color="auto"/>
        <w:left w:val="none" w:sz="0" w:space="0" w:color="auto"/>
        <w:bottom w:val="none" w:sz="0" w:space="0" w:color="auto"/>
        <w:right w:val="none" w:sz="0" w:space="0" w:color="auto"/>
      </w:divBdr>
    </w:div>
    <w:div w:id="1097674974">
      <w:bodyDiv w:val="1"/>
      <w:marLeft w:val="0"/>
      <w:marRight w:val="0"/>
      <w:marTop w:val="0"/>
      <w:marBottom w:val="0"/>
      <w:divBdr>
        <w:top w:val="none" w:sz="0" w:space="0" w:color="auto"/>
        <w:left w:val="none" w:sz="0" w:space="0" w:color="auto"/>
        <w:bottom w:val="none" w:sz="0" w:space="0" w:color="auto"/>
        <w:right w:val="none" w:sz="0" w:space="0" w:color="auto"/>
      </w:divBdr>
    </w:div>
    <w:div w:id="1100833138">
      <w:bodyDiv w:val="1"/>
      <w:marLeft w:val="0"/>
      <w:marRight w:val="0"/>
      <w:marTop w:val="0"/>
      <w:marBottom w:val="0"/>
      <w:divBdr>
        <w:top w:val="none" w:sz="0" w:space="0" w:color="auto"/>
        <w:left w:val="none" w:sz="0" w:space="0" w:color="auto"/>
        <w:bottom w:val="none" w:sz="0" w:space="0" w:color="auto"/>
        <w:right w:val="none" w:sz="0" w:space="0" w:color="auto"/>
      </w:divBdr>
    </w:div>
    <w:div w:id="1102605077">
      <w:bodyDiv w:val="1"/>
      <w:marLeft w:val="0"/>
      <w:marRight w:val="0"/>
      <w:marTop w:val="0"/>
      <w:marBottom w:val="0"/>
      <w:divBdr>
        <w:top w:val="none" w:sz="0" w:space="0" w:color="auto"/>
        <w:left w:val="none" w:sz="0" w:space="0" w:color="auto"/>
        <w:bottom w:val="none" w:sz="0" w:space="0" w:color="auto"/>
        <w:right w:val="none" w:sz="0" w:space="0" w:color="auto"/>
      </w:divBdr>
    </w:div>
    <w:div w:id="1106189621">
      <w:bodyDiv w:val="1"/>
      <w:marLeft w:val="0"/>
      <w:marRight w:val="0"/>
      <w:marTop w:val="0"/>
      <w:marBottom w:val="0"/>
      <w:divBdr>
        <w:top w:val="none" w:sz="0" w:space="0" w:color="auto"/>
        <w:left w:val="none" w:sz="0" w:space="0" w:color="auto"/>
        <w:bottom w:val="none" w:sz="0" w:space="0" w:color="auto"/>
        <w:right w:val="none" w:sz="0" w:space="0" w:color="auto"/>
      </w:divBdr>
    </w:div>
    <w:div w:id="1109469891">
      <w:bodyDiv w:val="1"/>
      <w:marLeft w:val="0"/>
      <w:marRight w:val="0"/>
      <w:marTop w:val="0"/>
      <w:marBottom w:val="0"/>
      <w:divBdr>
        <w:top w:val="none" w:sz="0" w:space="0" w:color="auto"/>
        <w:left w:val="none" w:sz="0" w:space="0" w:color="auto"/>
        <w:bottom w:val="none" w:sz="0" w:space="0" w:color="auto"/>
        <w:right w:val="none" w:sz="0" w:space="0" w:color="auto"/>
      </w:divBdr>
    </w:div>
    <w:div w:id="1124159107">
      <w:bodyDiv w:val="1"/>
      <w:marLeft w:val="0"/>
      <w:marRight w:val="0"/>
      <w:marTop w:val="0"/>
      <w:marBottom w:val="0"/>
      <w:divBdr>
        <w:top w:val="none" w:sz="0" w:space="0" w:color="auto"/>
        <w:left w:val="none" w:sz="0" w:space="0" w:color="auto"/>
        <w:bottom w:val="none" w:sz="0" w:space="0" w:color="auto"/>
        <w:right w:val="none" w:sz="0" w:space="0" w:color="auto"/>
      </w:divBdr>
    </w:div>
    <w:div w:id="1154417477">
      <w:bodyDiv w:val="1"/>
      <w:marLeft w:val="0"/>
      <w:marRight w:val="0"/>
      <w:marTop w:val="0"/>
      <w:marBottom w:val="0"/>
      <w:divBdr>
        <w:top w:val="none" w:sz="0" w:space="0" w:color="auto"/>
        <w:left w:val="none" w:sz="0" w:space="0" w:color="auto"/>
        <w:bottom w:val="none" w:sz="0" w:space="0" w:color="auto"/>
        <w:right w:val="none" w:sz="0" w:space="0" w:color="auto"/>
      </w:divBdr>
    </w:div>
    <w:div w:id="1158424153">
      <w:bodyDiv w:val="1"/>
      <w:marLeft w:val="0"/>
      <w:marRight w:val="0"/>
      <w:marTop w:val="0"/>
      <w:marBottom w:val="0"/>
      <w:divBdr>
        <w:top w:val="none" w:sz="0" w:space="0" w:color="auto"/>
        <w:left w:val="none" w:sz="0" w:space="0" w:color="auto"/>
        <w:bottom w:val="none" w:sz="0" w:space="0" w:color="auto"/>
        <w:right w:val="none" w:sz="0" w:space="0" w:color="auto"/>
      </w:divBdr>
    </w:div>
    <w:div w:id="1187669628">
      <w:bodyDiv w:val="1"/>
      <w:marLeft w:val="0"/>
      <w:marRight w:val="0"/>
      <w:marTop w:val="0"/>
      <w:marBottom w:val="0"/>
      <w:divBdr>
        <w:top w:val="none" w:sz="0" w:space="0" w:color="auto"/>
        <w:left w:val="none" w:sz="0" w:space="0" w:color="auto"/>
        <w:bottom w:val="none" w:sz="0" w:space="0" w:color="auto"/>
        <w:right w:val="none" w:sz="0" w:space="0" w:color="auto"/>
      </w:divBdr>
    </w:div>
    <w:div w:id="1220940307">
      <w:bodyDiv w:val="1"/>
      <w:marLeft w:val="0"/>
      <w:marRight w:val="0"/>
      <w:marTop w:val="0"/>
      <w:marBottom w:val="0"/>
      <w:divBdr>
        <w:top w:val="none" w:sz="0" w:space="0" w:color="auto"/>
        <w:left w:val="none" w:sz="0" w:space="0" w:color="auto"/>
        <w:bottom w:val="none" w:sz="0" w:space="0" w:color="auto"/>
        <w:right w:val="none" w:sz="0" w:space="0" w:color="auto"/>
      </w:divBdr>
    </w:div>
    <w:div w:id="1233933559">
      <w:bodyDiv w:val="1"/>
      <w:marLeft w:val="0"/>
      <w:marRight w:val="0"/>
      <w:marTop w:val="0"/>
      <w:marBottom w:val="0"/>
      <w:divBdr>
        <w:top w:val="none" w:sz="0" w:space="0" w:color="auto"/>
        <w:left w:val="none" w:sz="0" w:space="0" w:color="auto"/>
        <w:bottom w:val="none" w:sz="0" w:space="0" w:color="auto"/>
        <w:right w:val="none" w:sz="0" w:space="0" w:color="auto"/>
      </w:divBdr>
    </w:div>
    <w:div w:id="1245070615">
      <w:bodyDiv w:val="1"/>
      <w:marLeft w:val="0"/>
      <w:marRight w:val="0"/>
      <w:marTop w:val="0"/>
      <w:marBottom w:val="0"/>
      <w:divBdr>
        <w:top w:val="none" w:sz="0" w:space="0" w:color="auto"/>
        <w:left w:val="none" w:sz="0" w:space="0" w:color="auto"/>
        <w:bottom w:val="none" w:sz="0" w:space="0" w:color="auto"/>
        <w:right w:val="none" w:sz="0" w:space="0" w:color="auto"/>
      </w:divBdr>
    </w:div>
    <w:div w:id="1247962761">
      <w:bodyDiv w:val="1"/>
      <w:marLeft w:val="0"/>
      <w:marRight w:val="0"/>
      <w:marTop w:val="0"/>
      <w:marBottom w:val="0"/>
      <w:divBdr>
        <w:top w:val="none" w:sz="0" w:space="0" w:color="auto"/>
        <w:left w:val="none" w:sz="0" w:space="0" w:color="auto"/>
        <w:bottom w:val="none" w:sz="0" w:space="0" w:color="auto"/>
        <w:right w:val="none" w:sz="0" w:space="0" w:color="auto"/>
      </w:divBdr>
    </w:div>
    <w:div w:id="1248658472">
      <w:bodyDiv w:val="1"/>
      <w:marLeft w:val="0"/>
      <w:marRight w:val="0"/>
      <w:marTop w:val="0"/>
      <w:marBottom w:val="0"/>
      <w:divBdr>
        <w:top w:val="none" w:sz="0" w:space="0" w:color="auto"/>
        <w:left w:val="none" w:sz="0" w:space="0" w:color="auto"/>
        <w:bottom w:val="none" w:sz="0" w:space="0" w:color="auto"/>
        <w:right w:val="none" w:sz="0" w:space="0" w:color="auto"/>
      </w:divBdr>
    </w:div>
    <w:div w:id="1257984404">
      <w:bodyDiv w:val="1"/>
      <w:marLeft w:val="0"/>
      <w:marRight w:val="0"/>
      <w:marTop w:val="0"/>
      <w:marBottom w:val="0"/>
      <w:divBdr>
        <w:top w:val="none" w:sz="0" w:space="0" w:color="auto"/>
        <w:left w:val="none" w:sz="0" w:space="0" w:color="auto"/>
        <w:bottom w:val="none" w:sz="0" w:space="0" w:color="auto"/>
        <w:right w:val="none" w:sz="0" w:space="0" w:color="auto"/>
      </w:divBdr>
    </w:div>
    <w:div w:id="1270695667">
      <w:bodyDiv w:val="1"/>
      <w:marLeft w:val="0"/>
      <w:marRight w:val="0"/>
      <w:marTop w:val="0"/>
      <w:marBottom w:val="0"/>
      <w:divBdr>
        <w:top w:val="none" w:sz="0" w:space="0" w:color="auto"/>
        <w:left w:val="none" w:sz="0" w:space="0" w:color="auto"/>
        <w:bottom w:val="none" w:sz="0" w:space="0" w:color="auto"/>
        <w:right w:val="none" w:sz="0" w:space="0" w:color="auto"/>
      </w:divBdr>
    </w:div>
    <w:div w:id="1282880148">
      <w:bodyDiv w:val="1"/>
      <w:marLeft w:val="0"/>
      <w:marRight w:val="0"/>
      <w:marTop w:val="0"/>
      <w:marBottom w:val="0"/>
      <w:divBdr>
        <w:top w:val="none" w:sz="0" w:space="0" w:color="auto"/>
        <w:left w:val="none" w:sz="0" w:space="0" w:color="auto"/>
        <w:bottom w:val="none" w:sz="0" w:space="0" w:color="auto"/>
        <w:right w:val="none" w:sz="0" w:space="0" w:color="auto"/>
      </w:divBdr>
    </w:div>
    <w:div w:id="1287008670">
      <w:bodyDiv w:val="1"/>
      <w:marLeft w:val="0"/>
      <w:marRight w:val="0"/>
      <w:marTop w:val="0"/>
      <w:marBottom w:val="0"/>
      <w:divBdr>
        <w:top w:val="none" w:sz="0" w:space="0" w:color="auto"/>
        <w:left w:val="none" w:sz="0" w:space="0" w:color="auto"/>
        <w:bottom w:val="none" w:sz="0" w:space="0" w:color="auto"/>
        <w:right w:val="none" w:sz="0" w:space="0" w:color="auto"/>
      </w:divBdr>
    </w:div>
    <w:div w:id="1295134555">
      <w:bodyDiv w:val="1"/>
      <w:marLeft w:val="0"/>
      <w:marRight w:val="0"/>
      <w:marTop w:val="0"/>
      <w:marBottom w:val="0"/>
      <w:divBdr>
        <w:top w:val="none" w:sz="0" w:space="0" w:color="auto"/>
        <w:left w:val="none" w:sz="0" w:space="0" w:color="auto"/>
        <w:bottom w:val="none" w:sz="0" w:space="0" w:color="auto"/>
        <w:right w:val="none" w:sz="0" w:space="0" w:color="auto"/>
      </w:divBdr>
    </w:div>
    <w:div w:id="1295793862">
      <w:bodyDiv w:val="1"/>
      <w:marLeft w:val="0"/>
      <w:marRight w:val="0"/>
      <w:marTop w:val="0"/>
      <w:marBottom w:val="0"/>
      <w:divBdr>
        <w:top w:val="none" w:sz="0" w:space="0" w:color="auto"/>
        <w:left w:val="none" w:sz="0" w:space="0" w:color="auto"/>
        <w:bottom w:val="none" w:sz="0" w:space="0" w:color="auto"/>
        <w:right w:val="none" w:sz="0" w:space="0" w:color="auto"/>
      </w:divBdr>
    </w:div>
    <w:div w:id="1300648615">
      <w:bodyDiv w:val="1"/>
      <w:marLeft w:val="0"/>
      <w:marRight w:val="0"/>
      <w:marTop w:val="0"/>
      <w:marBottom w:val="0"/>
      <w:divBdr>
        <w:top w:val="none" w:sz="0" w:space="0" w:color="auto"/>
        <w:left w:val="none" w:sz="0" w:space="0" w:color="auto"/>
        <w:bottom w:val="none" w:sz="0" w:space="0" w:color="auto"/>
        <w:right w:val="none" w:sz="0" w:space="0" w:color="auto"/>
      </w:divBdr>
    </w:div>
    <w:div w:id="1327516203">
      <w:bodyDiv w:val="1"/>
      <w:marLeft w:val="0"/>
      <w:marRight w:val="0"/>
      <w:marTop w:val="0"/>
      <w:marBottom w:val="0"/>
      <w:divBdr>
        <w:top w:val="none" w:sz="0" w:space="0" w:color="auto"/>
        <w:left w:val="none" w:sz="0" w:space="0" w:color="auto"/>
        <w:bottom w:val="none" w:sz="0" w:space="0" w:color="auto"/>
        <w:right w:val="none" w:sz="0" w:space="0" w:color="auto"/>
      </w:divBdr>
    </w:div>
    <w:div w:id="1332294918">
      <w:bodyDiv w:val="1"/>
      <w:marLeft w:val="0"/>
      <w:marRight w:val="0"/>
      <w:marTop w:val="0"/>
      <w:marBottom w:val="0"/>
      <w:divBdr>
        <w:top w:val="none" w:sz="0" w:space="0" w:color="auto"/>
        <w:left w:val="none" w:sz="0" w:space="0" w:color="auto"/>
        <w:bottom w:val="none" w:sz="0" w:space="0" w:color="auto"/>
        <w:right w:val="none" w:sz="0" w:space="0" w:color="auto"/>
      </w:divBdr>
    </w:div>
    <w:div w:id="1336610285">
      <w:bodyDiv w:val="1"/>
      <w:marLeft w:val="0"/>
      <w:marRight w:val="0"/>
      <w:marTop w:val="0"/>
      <w:marBottom w:val="0"/>
      <w:divBdr>
        <w:top w:val="none" w:sz="0" w:space="0" w:color="auto"/>
        <w:left w:val="none" w:sz="0" w:space="0" w:color="auto"/>
        <w:bottom w:val="none" w:sz="0" w:space="0" w:color="auto"/>
        <w:right w:val="none" w:sz="0" w:space="0" w:color="auto"/>
      </w:divBdr>
    </w:div>
    <w:div w:id="1341854927">
      <w:bodyDiv w:val="1"/>
      <w:marLeft w:val="0"/>
      <w:marRight w:val="0"/>
      <w:marTop w:val="0"/>
      <w:marBottom w:val="0"/>
      <w:divBdr>
        <w:top w:val="none" w:sz="0" w:space="0" w:color="auto"/>
        <w:left w:val="none" w:sz="0" w:space="0" w:color="auto"/>
        <w:bottom w:val="none" w:sz="0" w:space="0" w:color="auto"/>
        <w:right w:val="none" w:sz="0" w:space="0" w:color="auto"/>
      </w:divBdr>
    </w:div>
    <w:div w:id="1345588929">
      <w:bodyDiv w:val="1"/>
      <w:marLeft w:val="0"/>
      <w:marRight w:val="0"/>
      <w:marTop w:val="0"/>
      <w:marBottom w:val="0"/>
      <w:divBdr>
        <w:top w:val="none" w:sz="0" w:space="0" w:color="auto"/>
        <w:left w:val="none" w:sz="0" w:space="0" w:color="auto"/>
        <w:bottom w:val="none" w:sz="0" w:space="0" w:color="auto"/>
        <w:right w:val="none" w:sz="0" w:space="0" w:color="auto"/>
      </w:divBdr>
    </w:div>
    <w:div w:id="1352415440">
      <w:bodyDiv w:val="1"/>
      <w:marLeft w:val="0"/>
      <w:marRight w:val="0"/>
      <w:marTop w:val="0"/>
      <w:marBottom w:val="0"/>
      <w:divBdr>
        <w:top w:val="none" w:sz="0" w:space="0" w:color="auto"/>
        <w:left w:val="none" w:sz="0" w:space="0" w:color="auto"/>
        <w:bottom w:val="none" w:sz="0" w:space="0" w:color="auto"/>
        <w:right w:val="none" w:sz="0" w:space="0" w:color="auto"/>
      </w:divBdr>
    </w:div>
    <w:div w:id="1366903034">
      <w:bodyDiv w:val="1"/>
      <w:marLeft w:val="0"/>
      <w:marRight w:val="0"/>
      <w:marTop w:val="0"/>
      <w:marBottom w:val="0"/>
      <w:divBdr>
        <w:top w:val="none" w:sz="0" w:space="0" w:color="auto"/>
        <w:left w:val="none" w:sz="0" w:space="0" w:color="auto"/>
        <w:bottom w:val="none" w:sz="0" w:space="0" w:color="auto"/>
        <w:right w:val="none" w:sz="0" w:space="0" w:color="auto"/>
      </w:divBdr>
    </w:div>
    <w:div w:id="1372345107">
      <w:bodyDiv w:val="1"/>
      <w:marLeft w:val="0"/>
      <w:marRight w:val="0"/>
      <w:marTop w:val="0"/>
      <w:marBottom w:val="0"/>
      <w:divBdr>
        <w:top w:val="none" w:sz="0" w:space="0" w:color="auto"/>
        <w:left w:val="none" w:sz="0" w:space="0" w:color="auto"/>
        <w:bottom w:val="none" w:sz="0" w:space="0" w:color="auto"/>
        <w:right w:val="none" w:sz="0" w:space="0" w:color="auto"/>
      </w:divBdr>
    </w:div>
    <w:div w:id="1374041337">
      <w:bodyDiv w:val="1"/>
      <w:marLeft w:val="0"/>
      <w:marRight w:val="0"/>
      <w:marTop w:val="0"/>
      <w:marBottom w:val="0"/>
      <w:divBdr>
        <w:top w:val="none" w:sz="0" w:space="0" w:color="auto"/>
        <w:left w:val="none" w:sz="0" w:space="0" w:color="auto"/>
        <w:bottom w:val="none" w:sz="0" w:space="0" w:color="auto"/>
        <w:right w:val="none" w:sz="0" w:space="0" w:color="auto"/>
      </w:divBdr>
    </w:div>
    <w:div w:id="1374426140">
      <w:bodyDiv w:val="1"/>
      <w:marLeft w:val="0"/>
      <w:marRight w:val="0"/>
      <w:marTop w:val="0"/>
      <w:marBottom w:val="0"/>
      <w:divBdr>
        <w:top w:val="none" w:sz="0" w:space="0" w:color="auto"/>
        <w:left w:val="none" w:sz="0" w:space="0" w:color="auto"/>
        <w:bottom w:val="none" w:sz="0" w:space="0" w:color="auto"/>
        <w:right w:val="none" w:sz="0" w:space="0" w:color="auto"/>
      </w:divBdr>
      <w:divsChild>
        <w:div w:id="789207795">
          <w:marLeft w:val="0"/>
          <w:marRight w:val="0"/>
          <w:marTop w:val="0"/>
          <w:marBottom w:val="0"/>
          <w:divBdr>
            <w:top w:val="none" w:sz="0" w:space="0" w:color="auto"/>
            <w:left w:val="none" w:sz="0" w:space="0" w:color="auto"/>
            <w:bottom w:val="none" w:sz="0" w:space="0" w:color="auto"/>
            <w:right w:val="none" w:sz="0" w:space="0" w:color="auto"/>
          </w:divBdr>
          <w:divsChild>
            <w:div w:id="1366951627">
              <w:marLeft w:val="0"/>
              <w:marRight w:val="0"/>
              <w:marTop w:val="0"/>
              <w:marBottom w:val="0"/>
              <w:divBdr>
                <w:top w:val="none" w:sz="0" w:space="0" w:color="auto"/>
                <w:left w:val="none" w:sz="0" w:space="0" w:color="auto"/>
                <w:bottom w:val="none" w:sz="0" w:space="0" w:color="auto"/>
                <w:right w:val="none" w:sz="0" w:space="0" w:color="auto"/>
              </w:divBdr>
              <w:divsChild>
                <w:div w:id="2095858992">
                  <w:marLeft w:val="0"/>
                  <w:marRight w:val="0"/>
                  <w:marTop w:val="0"/>
                  <w:marBottom w:val="0"/>
                  <w:divBdr>
                    <w:top w:val="none" w:sz="0" w:space="0" w:color="auto"/>
                    <w:left w:val="none" w:sz="0" w:space="0" w:color="auto"/>
                    <w:bottom w:val="none" w:sz="0" w:space="0" w:color="auto"/>
                    <w:right w:val="none" w:sz="0" w:space="0" w:color="auto"/>
                  </w:divBdr>
                  <w:divsChild>
                    <w:div w:id="791897512">
                      <w:marLeft w:val="0"/>
                      <w:marRight w:val="0"/>
                      <w:marTop w:val="0"/>
                      <w:marBottom w:val="0"/>
                      <w:divBdr>
                        <w:top w:val="none" w:sz="0" w:space="0" w:color="auto"/>
                        <w:left w:val="none" w:sz="0" w:space="0" w:color="auto"/>
                        <w:bottom w:val="none" w:sz="0" w:space="0" w:color="auto"/>
                        <w:right w:val="none" w:sz="0" w:space="0" w:color="auto"/>
                      </w:divBdr>
                      <w:divsChild>
                        <w:div w:id="501745282">
                          <w:marLeft w:val="0"/>
                          <w:marRight w:val="0"/>
                          <w:marTop w:val="0"/>
                          <w:marBottom w:val="0"/>
                          <w:divBdr>
                            <w:top w:val="none" w:sz="0" w:space="0" w:color="auto"/>
                            <w:left w:val="none" w:sz="0" w:space="0" w:color="auto"/>
                            <w:bottom w:val="none" w:sz="0" w:space="0" w:color="auto"/>
                            <w:right w:val="none" w:sz="0" w:space="0" w:color="auto"/>
                          </w:divBdr>
                          <w:divsChild>
                            <w:div w:id="11348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61898">
      <w:bodyDiv w:val="1"/>
      <w:marLeft w:val="0"/>
      <w:marRight w:val="0"/>
      <w:marTop w:val="0"/>
      <w:marBottom w:val="0"/>
      <w:divBdr>
        <w:top w:val="none" w:sz="0" w:space="0" w:color="auto"/>
        <w:left w:val="none" w:sz="0" w:space="0" w:color="auto"/>
        <w:bottom w:val="none" w:sz="0" w:space="0" w:color="auto"/>
        <w:right w:val="none" w:sz="0" w:space="0" w:color="auto"/>
      </w:divBdr>
    </w:div>
    <w:div w:id="1396971088">
      <w:bodyDiv w:val="1"/>
      <w:marLeft w:val="0"/>
      <w:marRight w:val="0"/>
      <w:marTop w:val="0"/>
      <w:marBottom w:val="0"/>
      <w:divBdr>
        <w:top w:val="none" w:sz="0" w:space="0" w:color="auto"/>
        <w:left w:val="none" w:sz="0" w:space="0" w:color="auto"/>
        <w:bottom w:val="none" w:sz="0" w:space="0" w:color="auto"/>
        <w:right w:val="none" w:sz="0" w:space="0" w:color="auto"/>
      </w:divBdr>
    </w:div>
    <w:div w:id="1400254214">
      <w:bodyDiv w:val="1"/>
      <w:marLeft w:val="0"/>
      <w:marRight w:val="0"/>
      <w:marTop w:val="0"/>
      <w:marBottom w:val="0"/>
      <w:divBdr>
        <w:top w:val="none" w:sz="0" w:space="0" w:color="auto"/>
        <w:left w:val="none" w:sz="0" w:space="0" w:color="auto"/>
        <w:bottom w:val="none" w:sz="0" w:space="0" w:color="auto"/>
        <w:right w:val="none" w:sz="0" w:space="0" w:color="auto"/>
      </w:divBdr>
    </w:div>
    <w:div w:id="1411806431">
      <w:bodyDiv w:val="1"/>
      <w:marLeft w:val="0"/>
      <w:marRight w:val="0"/>
      <w:marTop w:val="0"/>
      <w:marBottom w:val="0"/>
      <w:divBdr>
        <w:top w:val="none" w:sz="0" w:space="0" w:color="auto"/>
        <w:left w:val="none" w:sz="0" w:space="0" w:color="auto"/>
        <w:bottom w:val="none" w:sz="0" w:space="0" w:color="auto"/>
        <w:right w:val="none" w:sz="0" w:space="0" w:color="auto"/>
      </w:divBdr>
    </w:div>
    <w:div w:id="1431967210">
      <w:bodyDiv w:val="1"/>
      <w:marLeft w:val="0"/>
      <w:marRight w:val="0"/>
      <w:marTop w:val="0"/>
      <w:marBottom w:val="0"/>
      <w:divBdr>
        <w:top w:val="none" w:sz="0" w:space="0" w:color="auto"/>
        <w:left w:val="none" w:sz="0" w:space="0" w:color="auto"/>
        <w:bottom w:val="none" w:sz="0" w:space="0" w:color="auto"/>
        <w:right w:val="none" w:sz="0" w:space="0" w:color="auto"/>
      </w:divBdr>
    </w:div>
    <w:div w:id="1432582369">
      <w:bodyDiv w:val="1"/>
      <w:marLeft w:val="0"/>
      <w:marRight w:val="0"/>
      <w:marTop w:val="0"/>
      <w:marBottom w:val="0"/>
      <w:divBdr>
        <w:top w:val="none" w:sz="0" w:space="0" w:color="auto"/>
        <w:left w:val="none" w:sz="0" w:space="0" w:color="auto"/>
        <w:bottom w:val="none" w:sz="0" w:space="0" w:color="auto"/>
        <w:right w:val="none" w:sz="0" w:space="0" w:color="auto"/>
      </w:divBdr>
    </w:div>
    <w:div w:id="1435318539">
      <w:bodyDiv w:val="1"/>
      <w:marLeft w:val="0"/>
      <w:marRight w:val="0"/>
      <w:marTop w:val="0"/>
      <w:marBottom w:val="0"/>
      <w:divBdr>
        <w:top w:val="none" w:sz="0" w:space="0" w:color="auto"/>
        <w:left w:val="none" w:sz="0" w:space="0" w:color="auto"/>
        <w:bottom w:val="none" w:sz="0" w:space="0" w:color="auto"/>
        <w:right w:val="none" w:sz="0" w:space="0" w:color="auto"/>
      </w:divBdr>
    </w:div>
    <w:div w:id="1453665704">
      <w:bodyDiv w:val="1"/>
      <w:marLeft w:val="0"/>
      <w:marRight w:val="0"/>
      <w:marTop w:val="0"/>
      <w:marBottom w:val="0"/>
      <w:divBdr>
        <w:top w:val="none" w:sz="0" w:space="0" w:color="auto"/>
        <w:left w:val="none" w:sz="0" w:space="0" w:color="auto"/>
        <w:bottom w:val="none" w:sz="0" w:space="0" w:color="auto"/>
        <w:right w:val="none" w:sz="0" w:space="0" w:color="auto"/>
      </w:divBdr>
    </w:div>
    <w:div w:id="1456288454">
      <w:bodyDiv w:val="1"/>
      <w:marLeft w:val="0"/>
      <w:marRight w:val="0"/>
      <w:marTop w:val="0"/>
      <w:marBottom w:val="0"/>
      <w:divBdr>
        <w:top w:val="none" w:sz="0" w:space="0" w:color="auto"/>
        <w:left w:val="none" w:sz="0" w:space="0" w:color="auto"/>
        <w:bottom w:val="none" w:sz="0" w:space="0" w:color="auto"/>
        <w:right w:val="none" w:sz="0" w:space="0" w:color="auto"/>
      </w:divBdr>
    </w:div>
    <w:div w:id="1465467312">
      <w:bodyDiv w:val="1"/>
      <w:marLeft w:val="0"/>
      <w:marRight w:val="0"/>
      <w:marTop w:val="0"/>
      <w:marBottom w:val="0"/>
      <w:divBdr>
        <w:top w:val="none" w:sz="0" w:space="0" w:color="auto"/>
        <w:left w:val="none" w:sz="0" w:space="0" w:color="auto"/>
        <w:bottom w:val="none" w:sz="0" w:space="0" w:color="auto"/>
        <w:right w:val="none" w:sz="0" w:space="0" w:color="auto"/>
      </w:divBdr>
    </w:div>
    <w:div w:id="1473669010">
      <w:bodyDiv w:val="1"/>
      <w:marLeft w:val="0"/>
      <w:marRight w:val="0"/>
      <w:marTop w:val="0"/>
      <w:marBottom w:val="0"/>
      <w:divBdr>
        <w:top w:val="none" w:sz="0" w:space="0" w:color="auto"/>
        <w:left w:val="none" w:sz="0" w:space="0" w:color="auto"/>
        <w:bottom w:val="none" w:sz="0" w:space="0" w:color="auto"/>
        <w:right w:val="none" w:sz="0" w:space="0" w:color="auto"/>
      </w:divBdr>
    </w:div>
    <w:div w:id="1481580188">
      <w:bodyDiv w:val="1"/>
      <w:marLeft w:val="0"/>
      <w:marRight w:val="0"/>
      <w:marTop w:val="0"/>
      <w:marBottom w:val="0"/>
      <w:divBdr>
        <w:top w:val="none" w:sz="0" w:space="0" w:color="auto"/>
        <w:left w:val="none" w:sz="0" w:space="0" w:color="auto"/>
        <w:bottom w:val="none" w:sz="0" w:space="0" w:color="auto"/>
        <w:right w:val="none" w:sz="0" w:space="0" w:color="auto"/>
      </w:divBdr>
    </w:div>
    <w:div w:id="1489128743">
      <w:bodyDiv w:val="1"/>
      <w:marLeft w:val="0"/>
      <w:marRight w:val="0"/>
      <w:marTop w:val="0"/>
      <w:marBottom w:val="0"/>
      <w:divBdr>
        <w:top w:val="none" w:sz="0" w:space="0" w:color="auto"/>
        <w:left w:val="none" w:sz="0" w:space="0" w:color="auto"/>
        <w:bottom w:val="none" w:sz="0" w:space="0" w:color="auto"/>
        <w:right w:val="none" w:sz="0" w:space="0" w:color="auto"/>
      </w:divBdr>
    </w:div>
    <w:div w:id="1498115550">
      <w:bodyDiv w:val="1"/>
      <w:marLeft w:val="0"/>
      <w:marRight w:val="0"/>
      <w:marTop w:val="0"/>
      <w:marBottom w:val="0"/>
      <w:divBdr>
        <w:top w:val="none" w:sz="0" w:space="0" w:color="auto"/>
        <w:left w:val="none" w:sz="0" w:space="0" w:color="auto"/>
        <w:bottom w:val="none" w:sz="0" w:space="0" w:color="auto"/>
        <w:right w:val="none" w:sz="0" w:space="0" w:color="auto"/>
      </w:divBdr>
      <w:divsChild>
        <w:div w:id="446387291">
          <w:marLeft w:val="0"/>
          <w:marRight w:val="0"/>
          <w:marTop w:val="0"/>
          <w:marBottom w:val="0"/>
          <w:divBdr>
            <w:top w:val="none" w:sz="0" w:space="0" w:color="auto"/>
            <w:left w:val="none" w:sz="0" w:space="0" w:color="auto"/>
            <w:bottom w:val="none" w:sz="0" w:space="0" w:color="auto"/>
            <w:right w:val="none" w:sz="0" w:space="0" w:color="auto"/>
          </w:divBdr>
          <w:divsChild>
            <w:div w:id="77524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433068">
      <w:bodyDiv w:val="1"/>
      <w:marLeft w:val="0"/>
      <w:marRight w:val="0"/>
      <w:marTop w:val="0"/>
      <w:marBottom w:val="0"/>
      <w:divBdr>
        <w:top w:val="none" w:sz="0" w:space="0" w:color="auto"/>
        <w:left w:val="none" w:sz="0" w:space="0" w:color="auto"/>
        <w:bottom w:val="none" w:sz="0" w:space="0" w:color="auto"/>
        <w:right w:val="none" w:sz="0" w:space="0" w:color="auto"/>
      </w:divBdr>
    </w:div>
    <w:div w:id="1541088732">
      <w:bodyDiv w:val="1"/>
      <w:marLeft w:val="0"/>
      <w:marRight w:val="0"/>
      <w:marTop w:val="0"/>
      <w:marBottom w:val="0"/>
      <w:divBdr>
        <w:top w:val="none" w:sz="0" w:space="0" w:color="auto"/>
        <w:left w:val="none" w:sz="0" w:space="0" w:color="auto"/>
        <w:bottom w:val="none" w:sz="0" w:space="0" w:color="auto"/>
        <w:right w:val="none" w:sz="0" w:space="0" w:color="auto"/>
      </w:divBdr>
    </w:div>
    <w:div w:id="1543712257">
      <w:bodyDiv w:val="1"/>
      <w:marLeft w:val="0"/>
      <w:marRight w:val="0"/>
      <w:marTop w:val="0"/>
      <w:marBottom w:val="0"/>
      <w:divBdr>
        <w:top w:val="none" w:sz="0" w:space="0" w:color="auto"/>
        <w:left w:val="none" w:sz="0" w:space="0" w:color="auto"/>
        <w:bottom w:val="none" w:sz="0" w:space="0" w:color="auto"/>
        <w:right w:val="none" w:sz="0" w:space="0" w:color="auto"/>
      </w:divBdr>
    </w:div>
    <w:div w:id="1553540744">
      <w:bodyDiv w:val="1"/>
      <w:marLeft w:val="0"/>
      <w:marRight w:val="0"/>
      <w:marTop w:val="0"/>
      <w:marBottom w:val="0"/>
      <w:divBdr>
        <w:top w:val="none" w:sz="0" w:space="0" w:color="auto"/>
        <w:left w:val="none" w:sz="0" w:space="0" w:color="auto"/>
        <w:bottom w:val="none" w:sz="0" w:space="0" w:color="auto"/>
        <w:right w:val="none" w:sz="0" w:space="0" w:color="auto"/>
      </w:divBdr>
    </w:div>
    <w:div w:id="1566254310">
      <w:bodyDiv w:val="1"/>
      <w:marLeft w:val="0"/>
      <w:marRight w:val="0"/>
      <w:marTop w:val="0"/>
      <w:marBottom w:val="0"/>
      <w:divBdr>
        <w:top w:val="none" w:sz="0" w:space="0" w:color="auto"/>
        <w:left w:val="none" w:sz="0" w:space="0" w:color="auto"/>
        <w:bottom w:val="none" w:sz="0" w:space="0" w:color="auto"/>
        <w:right w:val="none" w:sz="0" w:space="0" w:color="auto"/>
      </w:divBdr>
    </w:div>
    <w:div w:id="1619331103">
      <w:bodyDiv w:val="1"/>
      <w:marLeft w:val="0"/>
      <w:marRight w:val="0"/>
      <w:marTop w:val="0"/>
      <w:marBottom w:val="0"/>
      <w:divBdr>
        <w:top w:val="none" w:sz="0" w:space="0" w:color="auto"/>
        <w:left w:val="none" w:sz="0" w:space="0" w:color="auto"/>
        <w:bottom w:val="none" w:sz="0" w:space="0" w:color="auto"/>
        <w:right w:val="none" w:sz="0" w:space="0" w:color="auto"/>
      </w:divBdr>
      <w:divsChild>
        <w:div w:id="1492717488">
          <w:marLeft w:val="0"/>
          <w:marRight w:val="0"/>
          <w:marTop w:val="0"/>
          <w:marBottom w:val="0"/>
          <w:divBdr>
            <w:top w:val="none" w:sz="0" w:space="0" w:color="auto"/>
            <w:left w:val="none" w:sz="0" w:space="0" w:color="auto"/>
            <w:bottom w:val="none" w:sz="0" w:space="0" w:color="auto"/>
            <w:right w:val="none" w:sz="0" w:space="0" w:color="auto"/>
          </w:divBdr>
          <w:divsChild>
            <w:div w:id="3095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629143">
      <w:bodyDiv w:val="1"/>
      <w:marLeft w:val="0"/>
      <w:marRight w:val="0"/>
      <w:marTop w:val="0"/>
      <w:marBottom w:val="0"/>
      <w:divBdr>
        <w:top w:val="none" w:sz="0" w:space="0" w:color="auto"/>
        <w:left w:val="none" w:sz="0" w:space="0" w:color="auto"/>
        <w:bottom w:val="none" w:sz="0" w:space="0" w:color="auto"/>
        <w:right w:val="none" w:sz="0" w:space="0" w:color="auto"/>
      </w:divBdr>
    </w:div>
    <w:div w:id="1673215654">
      <w:bodyDiv w:val="1"/>
      <w:marLeft w:val="0"/>
      <w:marRight w:val="0"/>
      <w:marTop w:val="0"/>
      <w:marBottom w:val="0"/>
      <w:divBdr>
        <w:top w:val="none" w:sz="0" w:space="0" w:color="auto"/>
        <w:left w:val="none" w:sz="0" w:space="0" w:color="auto"/>
        <w:bottom w:val="none" w:sz="0" w:space="0" w:color="auto"/>
        <w:right w:val="none" w:sz="0" w:space="0" w:color="auto"/>
      </w:divBdr>
      <w:divsChild>
        <w:div w:id="24329055">
          <w:marLeft w:val="274"/>
          <w:marRight w:val="0"/>
          <w:marTop w:val="0"/>
          <w:marBottom w:val="0"/>
          <w:divBdr>
            <w:top w:val="none" w:sz="0" w:space="0" w:color="auto"/>
            <w:left w:val="none" w:sz="0" w:space="0" w:color="auto"/>
            <w:bottom w:val="none" w:sz="0" w:space="0" w:color="auto"/>
            <w:right w:val="none" w:sz="0" w:space="0" w:color="auto"/>
          </w:divBdr>
        </w:div>
        <w:div w:id="113208417">
          <w:marLeft w:val="274"/>
          <w:marRight w:val="0"/>
          <w:marTop w:val="120"/>
          <w:marBottom w:val="0"/>
          <w:divBdr>
            <w:top w:val="none" w:sz="0" w:space="0" w:color="auto"/>
            <w:left w:val="none" w:sz="0" w:space="0" w:color="auto"/>
            <w:bottom w:val="none" w:sz="0" w:space="0" w:color="auto"/>
            <w:right w:val="none" w:sz="0" w:space="0" w:color="auto"/>
          </w:divBdr>
        </w:div>
        <w:div w:id="200822693">
          <w:marLeft w:val="274"/>
          <w:marRight w:val="0"/>
          <w:marTop w:val="120"/>
          <w:marBottom w:val="0"/>
          <w:divBdr>
            <w:top w:val="none" w:sz="0" w:space="0" w:color="auto"/>
            <w:left w:val="none" w:sz="0" w:space="0" w:color="auto"/>
            <w:bottom w:val="none" w:sz="0" w:space="0" w:color="auto"/>
            <w:right w:val="none" w:sz="0" w:space="0" w:color="auto"/>
          </w:divBdr>
        </w:div>
        <w:div w:id="314408441">
          <w:marLeft w:val="274"/>
          <w:marRight w:val="0"/>
          <w:marTop w:val="0"/>
          <w:marBottom w:val="0"/>
          <w:divBdr>
            <w:top w:val="none" w:sz="0" w:space="0" w:color="auto"/>
            <w:left w:val="none" w:sz="0" w:space="0" w:color="auto"/>
            <w:bottom w:val="none" w:sz="0" w:space="0" w:color="auto"/>
            <w:right w:val="none" w:sz="0" w:space="0" w:color="auto"/>
          </w:divBdr>
        </w:div>
        <w:div w:id="332530521">
          <w:marLeft w:val="274"/>
          <w:marRight w:val="0"/>
          <w:marTop w:val="120"/>
          <w:marBottom w:val="0"/>
          <w:divBdr>
            <w:top w:val="none" w:sz="0" w:space="0" w:color="auto"/>
            <w:left w:val="none" w:sz="0" w:space="0" w:color="auto"/>
            <w:bottom w:val="none" w:sz="0" w:space="0" w:color="auto"/>
            <w:right w:val="none" w:sz="0" w:space="0" w:color="auto"/>
          </w:divBdr>
        </w:div>
        <w:div w:id="334767617">
          <w:marLeft w:val="274"/>
          <w:marRight w:val="0"/>
          <w:marTop w:val="0"/>
          <w:marBottom w:val="0"/>
          <w:divBdr>
            <w:top w:val="none" w:sz="0" w:space="0" w:color="auto"/>
            <w:left w:val="none" w:sz="0" w:space="0" w:color="auto"/>
            <w:bottom w:val="none" w:sz="0" w:space="0" w:color="auto"/>
            <w:right w:val="none" w:sz="0" w:space="0" w:color="auto"/>
          </w:divBdr>
        </w:div>
        <w:div w:id="586039205">
          <w:marLeft w:val="274"/>
          <w:marRight w:val="0"/>
          <w:marTop w:val="0"/>
          <w:marBottom w:val="0"/>
          <w:divBdr>
            <w:top w:val="none" w:sz="0" w:space="0" w:color="auto"/>
            <w:left w:val="none" w:sz="0" w:space="0" w:color="auto"/>
            <w:bottom w:val="none" w:sz="0" w:space="0" w:color="auto"/>
            <w:right w:val="none" w:sz="0" w:space="0" w:color="auto"/>
          </w:divBdr>
        </w:div>
        <w:div w:id="869416358">
          <w:marLeft w:val="274"/>
          <w:marRight w:val="0"/>
          <w:marTop w:val="0"/>
          <w:marBottom w:val="0"/>
          <w:divBdr>
            <w:top w:val="none" w:sz="0" w:space="0" w:color="auto"/>
            <w:left w:val="none" w:sz="0" w:space="0" w:color="auto"/>
            <w:bottom w:val="none" w:sz="0" w:space="0" w:color="auto"/>
            <w:right w:val="none" w:sz="0" w:space="0" w:color="auto"/>
          </w:divBdr>
        </w:div>
        <w:div w:id="893009358">
          <w:marLeft w:val="274"/>
          <w:marRight w:val="0"/>
          <w:marTop w:val="0"/>
          <w:marBottom w:val="0"/>
          <w:divBdr>
            <w:top w:val="none" w:sz="0" w:space="0" w:color="auto"/>
            <w:left w:val="none" w:sz="0" w:space="0" w:color="auto"/>
            <w:bottom w:val="none" w:sz="0" w:space="0" w:color="auto"/>
            <w:right w:val="none" w:sz="0" w:space="0" w:color="auto"/>
          </w:divBdr>
        </w:div>
        <w:div w:id="1101801509">
          <w:marLeft w:val="274"/>
          <w:marRight w:val="0"/>
          <w:marTop w:val="120"/>
          <w:marBottom w:val="0"/>
          <w:divBdr>
            <w:top w:val="none" w:sz="0" w:space="0" w:color="auto"/>
            <w:left w:val="none" w:sz="0" w:space="0" w:color="auto"/>
            <w:bottom w:val="none" w:sz="0" w:space="0" w:color="auto"/>
            <w:right w:val="none" w:sz="0" w:space="0" w:color="auto"/>
          </w:divBdr>
        </w:div>
        <w:div w:id="1250700007">
          <w:marLeft w:val="274"/>
          <w:marRight w:val="0"/>
          <w:marTop w:val="120"/>
          <w:marBottom w:val="0"/>
          <w:divBdr>
            <w:top w:val="none" w:sz="0" w:space="0" w:color="auto"/>
            <w:left w:val="none" w:sz="0" w:space="0" w:color="auto"/>
            <w:bottom w:val="none" w:sz="0" w:space="0" w:color="auto"/>
            <w:right w:val="none" w:sz="0" w:space="0" w:color="auto"/>
          </w:divBdr>
        </w:div>
        <w:div w:id="1431706122">
          <w:marLeft w:val="274"/>
          <w:marRight w:val="0"/>
          <w:marTop w:val="0"/>
          <w:marBottom w:val="0"/>
          <w:divBdr>
            <w:top w:val="none" w:sz="0" w:space="0" w:color="auto"/>
            <w:left w:val="none" w:sz="0" w:space="0" w:color="auto"/>
            <w:bottom w:val="none" w:sz="0" w:space="0" w:color="auto"/>
            <w:right w:val="none" w:sz="0" w:space="0" w:color="auto"/>
          </w:divBdr>
        </w:div>
        <w:div w:id="1682244603">
          <w:marLeft w:val="274"/>
          <w:marRight w:val="0"/>
          <w:marTop w:val="0"/>
          <w:marBottom w:val="0"/>
          <w:divBdr>
            <w:top w:val="none" w:sz="0" w:space="0" w:color="auto"/>
            <w:left w:val="none" w:sz="0" w:space="0" w:color="auto"/>
            <w:bottom w:val="none" w:sz="0" w:space="0" w:color="auto"/>
            <w:right w:val="none" w:sz="0" w:space="0" w:color="auto"/>
          </w:divBdr>
        </w:div>
        <w:div w:id="1821119350">
          <w:marLeft w:val="274"/>
          <w:marRight w:val="0"/>
          <w:marTop w:val="120"/>
          <w:marBottom w:val="0"/>
          <w:divBdr>
            <w:top w:val="none" w:sz="0" w:space="0" w:color="auto"/>
            <w:left w:val="none" w:sz="0" w:space="0" w:color="auto"/>
            <w:bottom w:val="none" w:sz="0" w:space="0" w:color="auto"/>
            <w:right w:val="none" w:sz="0" w:space="0" w:color="auto"/>
          </w:divBdr>
        </w:div>
        <w:div w:id="1989087345">
          <w:marLeft w:val="274"/>
          <w:marRight w:val="0"/>
          <w:marTop w:val="120"/>
          <w:marBottom w:val="0"/>
          <w:divBdr>
            <w:top w:val="none" w:sz="0" w:space="0" w:color="auto"/>
            <w:left w:val="none" w:sz="0" w:space="0" w:color="auto"/>
            <w:bottom w:val="none" w:sz="0" w:space="0" w:color="auto"/>
            <w:right w:val="none" w:sz="0" w:space="0" w:color="auto"/>
          </w:divBdr>
        </w:div>
        <w:div w:id="2099673833">
          <w:marLeft w:val="274"/>
          <w:marRight w:val="0"/>
          <w:marTop w:val="120"/>
          <w:marBottom w:val="0"/>
          <w:divBdr>
            <w:top w:val="none" w:sz="0" w:space="0" w:color="auto"/>
            <w:left w:val="none" w:sz="0" w:space="0" w:color="auto"/>
            <w:bottom w:val="none" w:sz="0" w:space="0" w:color="auto"/>
            <w:right w:val="none" w:sz="0" w:space="0" w:color="auto"/>
          </w:divBdr>
        </w:div>
      </w:divsChild>
    </w:div>
    <w:div w:id="1688294046">
      <w:bodyDiv w:val="1"/>
      <w:marLeft w:val="0"/>
      <w:marRight w:val="0"/>
      <w:marTop w:val="0"/>
      <w:marBottom w:val="0"/>
      <w:divBdr>
        <w:top w:val="none" w:sz="0" w:space="0" w:color="auto"/>
        <w:left w:val="none" w:sz="0" w:space="0" w:color="auto"/>
        <w:bottom w:val="none" w:sz="0" w:space="0" w:color="auto"/>
        <w:right w:val="none" w:sz="0" w:space="0" w:color="auto"/>
      </w:divBdr>
    </w:div>
    <w:div w:id="1692493308">
      <w:bodyDiv w:val="1"/>
      <w:marLeft w:val="0"/>
      <w:marRight w:val="0"/>
      <w:marTop w:val="0"/>
      <w:marBottom w:val="0"/>
      <w:divBdr>
        <w:top w:val="none" w:sz="0" w:space="0" w:color="auto"/>
        <w:left w:val="none" w:sz="0" w:space="0" w:color="auto"/>
        <w:bottom w:val="none" w:sz="0" w:space="0" w:color="auto"/>
        <w:right w:val="none" w:sz="0" w:space="0" w:color="auto"/>
      </w:divBdr>
    </w:div>
    <w:div w:id="1701708408">
      <w:bodyDiv w:val="1"/>
      <w:marLeft w:val="0"/>
      <w:marRight w:val="0"/>
      <w:marTop w:val="0"/>
      <w:marBottom w:val="0"/>
      <w:divBdr>
        <w:top w:val="none" w:sz="0" w:space="0" w:color="auto"/>
        <w:left w:val="none" w:sz="0" w:space="0" w:color="auto"/>
        <w:bottom w:val="none" w:sz="0" w:space="0" w:color="auto"/>
        <w:right w:val="none" w:sz="0" w:space="0" w:color="auto"/>
      </w:divBdr>
      <w:divsChild>
        <w:div w:id="255134486">
          <w:marLeft w:val="274"/>
          <w:marRight w:val="0"/>
          <w:marTop w:val="120"/>
          <w:marBottom w:val="0"/>
          <w:divBdr>
            <w:top w:val="none" w:sz="0" w:space="0" w:color="auto"/>
            <w:left w:val="none" w:sz="0" w:space="0" w:color="auto"/>
            <w:bottom w:val="none" w:sz="0" w:space="0" w:color="auto"/>
            <w:right w:val="none" w:sz="0" w:space="0" w:color="auto"/>
          </w:divBdr>
        </w:div>
        <w:div w:id="364646940">
          <w:marLeft w:val="274"/>
          <w:marRight w:val="0"/>
          <w:marTop w:val="0"/>
          <w:marBottom w:val="0"/>
          <w:divBdr>
            <w:top w:val="none" w:sz="0" w:space="0" w:color="auto"/>
            <w:left w:val="none" w:sz="0" w:space="0" w:color="auto"/>
            <w:bottom w:val="none" w:sz="0" w:space="0" w:color="auto"/>
            <w:right w:val="none" w:sz="0" w:space="0" w:color="auto"/>
          </w:divBdr>
        </w:div>
        <w:div w:id="615255890">
          <w:marLeft w:val="274"/>
          <w:marRight w:val="0"/>
          <w:marTop w:val="0"/>
          <w:marBottom w:val="0"/>
          <w:divBdr>
            <w:top w:val="none" w:sz="0" w:space="0" w:color="auto"/>
            <w:left w:val="none" w:sz="0" w:space="0" w:color="auto"/>
            <w:bottom w:val="none" w:sz="0" w:space="0" w:color="auto"/>
            <w:right w:val="none" w:sz="0" w:space="0" w:color="auto"/>
          </w:divBdr>
        </w:div>
        <w:div w:id="764156116">
          <w:marLeft w:val="274"/>
          <w:marRight w:val="0"/>
          <w:marTop w:val="0"/>
          <w:marBottom w:val="0"/>
          <w:divBdr>
            <w:top w:val="none" w:sz="0" w:space="0" w:color="auto"/>
            <w:left w:val="none" w:sz="0" w:space="0" w:color="auto"/>
            <w:bottom w:val="none" w:sz="0" w:space="0" w:color="auto"/>
            <w:right w:val="none" w:sz="0" w:space="0" w:color="auto"/>
          </w:divBdr>
        </w:div>
        <w:div w:id="815339875">
          <w:marLeft w:val="274"/>
          <w:marRight w:val="0"/>
          <w:marTop w:val="0"/>
          <w:marBottom w:val="0"/>
          <w:divBdr>
            <w:top w:val="none" w:sz="0" w:space="0" w:color="auto"/>
            <w:left w:val="none" w:sz="0" w:space="0" w:color="auto"/>
            <w:bottom w:val="none" w:sz="0" w:space="0" w:color="auto"/>
            <w:right w:val="none" w:sz="0" w:space="0" w:color="auto"/>
          </w:divBdr>
        </w:div>
        <w:div w:id="980034862">
          <w:marLeft w:val="274"/>
          <w:marRight w:val="0"/>
          <w:marTop w:val="0"/>
          <w:marBottom w:val="0"/>
          <w:divBdr>
            <w:top w:val="none" w:sz="0" w:space="0" w:color="auto"/>
            <w:left w:val="none" w:sz="0" w:space="0" w:color="auto"/>
            <w:bottom w:val="none" w:sz="0" w:space="0" w:color="auto"/>
            <w:right w:val="none" w:sz="0" w:space="0" w:color="auto"/>
          </w:divBdr>
        </w:div>
        <w:div w:id="1026754668">
          <w:marLeft w:val="274"/>
          <w:marRight w:val="0"/>
          <w:marTop w:val="120"/>
          <w:marBottom w:val="0"/>
          <w:divBdr>
            <w:top w:val="none" w:sz="0" w:space="0" w:color="auto"/>
            <w:left w:val="none" w:sz="0" w:space="0" w:color="auto"/>
            <w:bottom w:val="none" w:sz="0" w:space="0" w:color="auto"/>
            <w:right w:val="none" w:sz="0" w:space="0" w:color="auto"/>
          </w:divBdr>
        </w:div>
        <w:div w:id="1130977134">
          <w:marLeft w:val="274"/>
          <w:marRight w:val="0"/>
          <w:marTop w:val="0"/>
          <w:marBottom w:val="0"/>
          <w:divBdr>
            <w:top w:val="none" w:sz="0" w:space="0" w:color="auto"/>
            <w:left w:val="none" w:sz="0" w:space="0" w:color="auto"/>
            <w:bottom w:val="none" w:sz="0" w:space="0" w:color="auto"/>
            <w:right w:val="none" w:sz="0" w:space="0" w:color="auto"/>
          </w:divBdr>
        </w:div>
        <w:div w:id="1328021672">
          <w:marLeft w:val="274"/>
          <w:marRight w:val="0"/>
          <w:marTop w:val="120"/>
          <w:marBottom w:val="0"/>
          <w:divBdr>
            <w:top w:val="none" w:sz="0" w:space="0" w:color="auto"/>
            <w:left w:val="none" w:sz="0" w:space="0" w:color="auto"/>
            <w:bottom w:val="none" w:sz="0" w:space="0" w:color="auto"/>
            <w:right w:val="none" w:sz="0" w:space="0" w:color="auto"/>
          </w:divBdr>
        </w:div>
        <w:div w:id="1573152083">
          <w:marLeft w:val="274"/>
          <w:marRight w:val="0"/>
          <w:marTop w:val="120"/>
          <w:marBottom w:val="0"/>
          <w:divBdr>
            <w:top w:val="none" w:sz="0" w:space="0" w:color="auto"/>
            <w:left w:val="none" w:sz="0" w:space="0" w:color="auto"/>
            <w:bottom w:val="none" w:sz="0" w:space="0" w:color="auto"/>
            <w:right w:val="none" w:sz="0" w:space="0" w:color="auto"/>
          </w:divBdr>
        </w:div>
        <w:div w:id="1632708836">
          <w:marLeft w:val="274"/>
          <w:marRight w:val="0"/>
          <w:marTop w:val="120"/>
          <w:marBottom w:val="0"/>
          <w:divBdr>
            <w:top w:val="none" w:sz="0" w:space="0" w:color="auto"/>
            <w:left w:val="none" w:sz="0" w:space="0" w:color="auto"/>
            <w:bottom w:val="none" w:sz="0" w:space="0" w:color="auto"/>
            <w:right w:val="none" w:sz="0" w:space="0" w:color="auto"/>
          </w:divBdr>
        </w:div>
        <w:div w:id="1694064280">
          <w:marLeft w:val="274"/>
          <w:marRight w:val="0"/>
          <w:marTop w:val="120"/>
          <w:marBottom w:val="0"/>
          <w:divBdr>
            <w:top w:val="none" w:sz="0" w:space="0" w:color="auto"/>
            <w:left w:val="none" w:sz="0" w:space="0" w:color="auto"/>
            <w:bottom w:val="none" w:sz="0" w:space="0" w:color="auto"/>
            <w:right w:val="none" w:sz="0" w:space="0" w:color="auto"/>
          </w:divBdr>
        </w:div>
        <w:div w:id="1844083645">
          <w:marLeft w:val="274"/>
          <w:marRight w:val="0"/>
          <w:marTop w:val="120"/>
          <w:marBottom w:val="0"/>
          <w:divBdr>
            <w:top w:val="none" w:sz="0" w:space="0" w:color="auto"/>
            <w:left w:val="none" w:sz="0" w:space="0" w:color="auto"/>
            <w:bottom w:val="none" w:sz="0" w:space="0" w:color="auto"/>
            <w:right w:val="none" w:sz="0" w:space="0" w:color="auto"/>
          </w:divBdr>
        </w:div>
        <w:div w:id="2019886383">
          <w:marLeft w:val="274"/>
          <w:marRight w:val="0"/>
          <w:marTop w:val="120"/>
          <w:marBottom w:val="0"/>
          <w:divBdr>
            <w:top w:val="none" w:sz="0" w:space="0" w:color="auto"/>
            <w:left w:val="none" w:sz="0" w:space="0" w:color="auto"/>
            <w:bottom w:val="none" w:sz="0" w:space="0" w:color="auto"/>
            <w:right w:val="none" w:sz="0" w:space="0" w:color="auto"/>
          </w:divBdr>
        </w:div>
        <w:div w:id="2084642598">
          <w:marLeft w:val="274"/>
          <w:marRight w:val="0"/>
          <w:marTop w:val="0"/>
          <w:marBottom w:val="0"/>
          <w:divBdr>
            <w:top w:val="none" w:sz="0" w:space="0" w:color="auto"/>
            <w:left w:val="none" w:sz="0" w:space="0" w:color="auto"/>
            <w:bottom w:val="none" w:sz="0" w:space="0" w:color="auto"/>
            <w:right w:val="none" w:sz="0" w:space="0" w:color="auto"/>
          </w:divBdr>
        </w:div>
        <w:div w:id="2142569546">
          <w:marLeft w:val="274"/>
          <w:marRight w:val="0"/>
          <w:marTop w:val="0"/>
          <w:marBottom w:val="0"/>
          <w:divBdr>
            <w:top w:val="none" w:sz="0" w:space="0" w:color="auto"/>
            <w:left w:val="none" w:sz="0" w:space="0" w:color="auto"/>
            <w:bottom w:val="none" w:sz="0" w:space="0" w:color="auto"/>
            <w:right w:val="none" w:sz="0" w:space="0" w:color="auto"/>
          </w:divBdr>
        </w:div>
      </w:divsChild>
    </w:div>
    <w:div w:id="1702391379">
      <w:bodyDiv w:val="1"/>
      <w:marLeft w:val="0"/>
      <w:marRight w:val="0"/>
      <w:marTop w:val="0"/>
      <w:marBottom w:val="0"/>
      <w:divBdr>
        <w:top w:val="none" w:sz="0" w:space="0" w:color="auto"/>
        <w:left w:val="none" w:sz="0" w:space="0" w:color="auto"/>
        <w:bottom w:val="none" w:sz="0" w:space="0" w:color="auto"/>
        <w:right w:val="none" w:sz="0" w:space="0" w:color="auto"/>
      </w:divBdr>
    </w:div>
    <w:div w:id="1704133421">
      <w:bodyDiv w:val="1"/>
      <w:marLeft w:val="0"/>
      <w:marRight w:val="0"/>
      <w:marTop w:val="0"/>
      <w:marBottom w:val="0"/>
      <w:divBdr>
        <w:top w:val="none" w:sz="0" w:space="0" w:color="auto"/>
        <w:left w:val="none" w:sz="0" w:space="0" w:color="auto"/>
        <w:bottom w:val="none" w:sz="0" w:space="0" w:color="auto"/>
        <w:right w:val="none" w:sz="0" w:space="0" w:color="auto"/>
      </w:divBdr>
    </w:div>
    <w:div w:id="1705212952">
      <w:bodyDiv w:val="1"/>
      <w:marLeft w:val="0"/>
      <w:marRight w:val="0"/>
      <w:marTop w:val="0"/>
      <w:marBottom w:val="0"/>
      <w:divBdr>
        <w:top w:val="none" w:sz="0" w:space="0" w:color="auto"/>
        <w:left w:val="none" w:sz="0" w:space="0" w:color="auto"/>
        <w:bottom w:val="none" w:sz="0" w:space="0" w:color="auto"/>
        <w:right w:val="none" w:sz="0" w:space="0" w:color="auto"/>
      </w:divBdr>
    </w:div>
    <w:div w:id="1709379422">
      <w:bodyDiv w:val="1"/>
      <w:marLeft w:val="0"/>
      <w:marRight w:val="0"/>
      <w:marTop w:val="0"/>
      <w:marBottom w:val="0"/>
      <w:divBdr>
        <w:top w:val="none" w:sz="0" w:space="0" w:color="auto"/>
        <w:left w:val="none" w:sz="0" w:space="0" w:color="auto"/>
        <w:bottom w:val="none" w:sz="0" w:space="0" w:color="auto"/>
        <w:right w:val="none" w:sz="0" w:space="0" w:color="auto"/>
      </w:divBdr>
    </w:div>
    <w:div w:id="1718620318">
      <w:bodyDiv w:val="1"/>
      <w:marLeft w:val="0"/>
      <w:marRight w:val="0"/>
      <w:marTop w:val="0"/>
      <w:marBottom w:val="0"/>
      <w:divBdr>
        <w:top w:val="none" w:sz="0" w:space="0" w:color="auto"/>
        <w:left w:val="none" w:sz="0" w:space="0" w:color="auto"/>
        <w:bottom w:val="none" w:sz="0" w:space="0" w:color="auto"/>
        <w:right w:val="none" w:sz="0" w:space="0" w:color="auto"/>
      </w:divBdr>
    </w:div>
    <w:div w:id="1720855530">
      <w:bodyDiv w:val="1"/>
      <w:marLeft w:val="0"/>
      <w:marRight w:val="0"/>
      <w:marTop w:val="0"/>
      <w:marBottom w:val="0"/>
      <w:divBdr>
        <w:top w:val="none" w:sz="0" w:space="0" w:color="auto"/>
        <w:left w:val="none" w:sz="0" w:space="0" w:color="auto"/>
        <w:bottom w:val="none" w:sz="0" w:space="0" w:color="auto"/>
        <w:right w:val="none" w:sz="0" w:space="0" w:color="auto"/>
      </w:divBdr>
    </w:div>
    <w:div w:id="1721320410">
      <w:bodyDiv w:val="1"/>
      <w:marLeft w:val="0"/>
      <w:marRight w:val="0"/>
      <w:marTop w:val="0"/>
      <w:marBottom w:val="0"/>
      <w:divBdr>
        <w:top w:val="none" w:sz="0" w:space="0" w:color="auto"/>
        <w:left w:val="none" w:sz="0" w:space="0" w:color="auto"/>
        <w:bottom w:val="none" w:sz="0" w:space="0" w:color="auto"/>
        <w:right w:val="none" w:sz="0" w:space="0" w:color="auto"/>
      </w:divBdr>
    </w:div>
    <w:div w:id="1758090845">
      <w:bodyDiv w:val="1"/>
      <w:marLeft w:val="0"/>
      <w:marRight w:val="0"/>
      <w:marTop w:val="0"/>
      <w:marBottom w:val="0"/>
      <w:divBdr>
        <w:top w:val="none" w:sz="0" w:space="0" w:color="auto"/>
        <w:left w:val="none" w:sz="0" w:space="0" w:color="auto"/>
        <w:bottom w:val="none" w:sz="0" w:space="0" w:color="auto"/>
        <w:right w:val="none" w:sz="0" w:space="0" w:color="auto"/>
      </w:divBdr>
    </w:div>
    <w:div w:id="1758863513">
      <w:bodyDiv w:val="1"/>
      <w:marLeft w:val="0"/>
      <w:marRight w:val="0"/>
      <w:marTop w:val="0"/>
      <w:marBottom w:val="0"/>
      <w:divBdr>
        <w:top w:val="none" w:sz="0" w:space="0" w:color="auto"/>
        <w:left w:val="none" w:sz="0" w:space="0" w:color="auto"/>
        <w:bottom w:val="none" w:sz="0" w:space="0" w:color="auto"/>
        <w:right w:val="none" w:sz="0" w:space="0" w:color="auto"/>
      </w:divBdr>
    </w:div>
    <w:div w:id="1767774720">
      <w:bodyDiv w:val="1"/>
      <w:marLeft w:val="0"/>
      <w:marRight w:val="0"/>
      <w:marTop w:val="0"/>
      <w:marBottom w:val="0"/>
      <w:divBdr>
        <w:top w:val="none" w:sz="0" w:space="0" w:color="auto"/>
        <w:left w:val="none" w:sz="0" w:space="0" w:color="auto"/>
        <w:bottom w:val="none" w:sz="0" w:space="0" w:color="auto"/>
        <w:right w:val="none" w:sz="0" w:space="0" w:color="auto"/>
      </w:divBdr>
    </w:div>
    <w:div w:id="1768575642">
      <w:bodyDiv w:val="1"/>
      <w:marLeft w:val="0"/>
      <w:marRight w:val="0"/>
      <w:marTop w:val="0"/>
      <w:marBottom w:val="0"/>
      <w:divBdr>
        <w:top w:val="none" w:sz="0" w:space="0" w:color="auto"/>
        <w:left w:val="none" w:sz="0" w:space="0" w:color="auto"/>
        <w:bottom w:val="none" w:sz="0" w:space="0" w:color="auto"/>
        <w:right w:val="none" w:sz="0" w:space="0" w:color="auto"/>
      </w:divBdr>
    </w:div>
    <w:div w:id="1777795498">
      <w:bodyDiv w:val="1"/>
      <w:marLeft w:val="0"/>
      <w:marRight w:val="0"/>
      <w:marTop w:val="0"/>
      <w:marBottom w:val="0"/>
      <w:divBdr>
        <w:top w:val="none" w:sz="0" w:space="0" w:color="auto"/>
        <w:left w:val="none" w:sz="0" w:space="0" w:color="auto"/>
        <w:bottom w:val="none" w:sz="0" w:space="0" w:color="auto"/>
        <w:right w:val="none" w:sz="0" w:space="0" w:color="auto"/>
      </w:divBdr>
    </w:div>
    <w:div w:id="1778401422">
      <w:bodyDiv w:val="1"/>
      <w:marLeft w:val="0"/>
      <w:marRight w:val="0"/>
      <w:marTop w:val="0"/>
      <w:marBottom w:val="0"/>
      <w:divBdr>
        <w:top w:val="none" w:sz="0" w:space="0" w:color="auto"/>
        <w:left w:val="none" w:sz="0" w:space="0" w:color="auto"/>
        <w:bottom w:val="none" w:sz="0" w:space="0" w:color="auto"/>
        <w:right w:val="none" w:sz="0" w:space="0" w:color="auto"/>
      </w:divBdr>
    </w:div>
    <w:div w:id="1791780947">
      <w:bodyDiv w:val="1"/>
      <w:marLeft w:val="0"/>
      <w:marRight w:val="0"/>
      <w:marTop w:val="0"/>
      <w:marBottom w:val="0"/>
      <w:divBdr>
        <w:top w:val="none" w:sz="0" w:space="0" w:color="auto"/>
        <w:left w:val="none" w:sz="0" w:space="0" w:color="auto"/>
        <w:bottom w:val="none" w:sz="0" w:space="0" w:color="auto"/>
        <w:right w:val="none" w:sz="0" w:space="0" w:color="auto"/>
      </w:divBdr>
    </w:div>
    <w:div w:id="1849982591">
      <w:bodyDiv w:val="1"/>
      <w:marLeft w:val="0"/>
      <w:marRight w:val="0"/>
      <w:marTop w:val="0"/>
      <w:marBottom w:val="0"/>
      <w:divBdr>
        <w:top w:val="none" w:sz="0" w:space="0" w:color="auto"/>
        <w:left w:val="none" w:sz="0" w:space="0" w:color="auto"/>
        <w:bottom w:val="none" w:sz="0" w:space="0" w:color="auto"/>
        <w:right w:val="none" w:sz="0" w:space="0" w:color="auto"/>
      </w:divBdr>
    </w:div>
    <w:div w:id="1850753551">
      <w:bodyDiv w:val="1"/>
      <w:marLeft w:val="0"/>
      <w:marRight w:val="0"/>
      <w:marTop w:val="0"/>
      <w:marBottom w:val="0"/>
      <w:divBdr>
        <w:top w:val="none" w:sz="0" w:space="0" w:color="auto"/>
        <w:left w:val="none" w:sz="0" w:space="0" w:color="auto"/>
        <w:bottom w:val="none" w:sz="0" w:space="0" w:color="auto"/>
        <w:right w:val="none" w:sz="0" w:space="0" w:color="auto"/>
      </w:divBdr>
    </w:div>
    <w:div w:id="1865558544">
      <w:bodyDiv w:val="1"/>
      <w:marLeft w:val="0"/>
      <w:marRight w:val="0"/>
      <w:marTop w:val="0"/>
      <w:marBottom w:val="0"/>
      <w:divBdr>
        <w:top w:val="none" w:sz="0" w:space="0" w:color="auto"/>
        <w:left w:val="none" w:sz="0" w:space="0" w:color="auto"/>
        <w:bottom w:val="none" w:sz="0" w:space="0" w:color="auto"/>
        <w:right w:val="none" w:sz="0" w:space="0" w:color="auto"/>
      </w:divBdr>
    </w:div>
    <w:div w:id="1873692407">
      <w:bodyDiv w:val="1"/>
      <w:marLeft w:val="0"/>
      <w:marRight w:val="0"/>
      <w:marTop w:val="0"/>
      <w:marBottom w:val="0"/>
      <w:divBdr>
        <w:top w:val="none" w:sz="0" w:space="0" w:color="auto"/>
        <w:left w:val="none" w:sz="0" w:space="0" w:color="auto"/>
        <w:bottom w:val="none" w:sz="0" w:space="0" w:color="auto"/>
        <w:right w:val="none" w:sz="0" w:space="0" w:color="auto"/>
      </w:divBdr>
    </w:div>
    <w:div w:id="1876581534">
      <w:bodyDiv w:val="1"/>
      <w:marLeft w:val="0"/>
      <w:marRight w:val="0"/>
      <w:marTop w:val="0"/>
      <w:marBottom w:val="0"/>
      <w:divBdr>
        <w:top w:val="none" w:sz="0" w:space="0" w:color="auto"/>
        <w:left w:val="none" w:sz="0" w:space="0" w:color="auto"/>
        <w:bottom w:val="none" w:sz="0" w:space="0" w:color="auto"/>
        <w:right w:val="none" w:sz="0" w:space="0" w:color="auto"/>
      </w:divBdr>
    </w:div>
    <w:div w:id="1882012180">
      <w:bodyDiv w:val="1"/>
      <w:marLeft w:val="0"/>
      <w:marRight w:val="0"/>
      <w:marTop w:val="0"/>
      <w:marBottom w:val="0"/>
      <w:divBdr>
        <w:top w:val="none" w:sz="0" w:space="0" w:color="auto"/>
        <w:left w:val="none" w:sz="0" w:space="0" w:color="auto"/>
        <w:bottom w:val="none" w:sz="0" w:space="0" w:color="auto"/>
        <w:right w:val="none" w:sz="0" w:space="0" w:color="auto"/>
      </w:divBdr>
    </w:div>
    <w:div w:id="1885629772">
      <w:bodyDiv w:val="1"/>
      <w:marLeft w:val="0"/>
      <w:marRight w:val="0"/>
      <w:marTop w:val="0"/>
      <w:marBottom w:val="0"/>
      <w:divBdr>
        <w:top w:val="none" w:sz="0" w:space="0" w:color="auto"/>
        <w:left w:val="none" w:sz="0" w:space="0" w:color="auto"/>
        <w:bottom w:val="none" w:sz="0" w:space="0" w:color="auto"/>
        <w:right w:val="none" w:sz="0" w:space="0" w:color="auto"/>
      </w:divBdr>
    </w:div>
    <w:div w:id="1894194980">
      <w:bodyDiv w:val="1"/>
      <w:marLeft w:val="0"/>
      <w:marRight w:val="0"/>
      <w:marTop w:val="0"/>
      <w:marBottom w:val="0"/>
      <w:divBdr>
        <w:top w:val="none" w:sz="0" w:space="0" w:color="auto"/>
        <w:left w:val="none" w:sz="0" w:space="0" w:color="auto"/>
        <w:bottom w:val="none" w:sz="0" w:space="0" w:color="auto"/>
        <w:right w:val="none" w:sz="0" w:space="0" w:color="auto"/>
      </w:divBdr>
    </w:div>
    <w:div w:id="1898710198">
      <w:bodyDiv w:val="1"/>
      <w:marLeft w:val="0"/>
      <w:marRight w:val="0"/>
      <w:marTop w:val="0"/>
      <w:marBottom w:val="0"/>
      <w:divBdr>
        <w:top w:val="none" w:sz="0" w:space="0" w:color="auto"/>
        <w:left w:val="none" w:sz="0" w:space="0" w:color="auto"/>
        <w:bottom w:val="none" w:sz="0" w:space="0" w:color="auto"/>
        <w:right w:val="none" w:sz="0" w:space="0" w:color="auto"/>
      </w:divBdr>
      <w:divsChild>
        <w:div w:id="555438335">
          <w:marLeft w:val="0"/>
          <w:marRight w:val="0"/>
          <w:marTop w:val="0"/>
          <w:marBottom w:val="0"/>
          <w:divBdr>
            <w:top w:val="none" w:sz="0" w:space="0" w:color="auto"/>
            <w:left w:val="none" w:sz="0" w:space="0" w:color="auto"/>
            <w:bottom w:val="none" w:sz="0" w:space="0" w:color="auto"/>
            <w:right w:val="none" w:sz="0" w:space="0" w:color="auto"/>
          </w:divBdr>
          <w:divsChild>
            <w:div w:id="828667409">
              <w:marLeft w:val="0"/>
              <w:marRight w:val="0"/>
              <w:marTop w:val="0"/>
              <w:marBottom w:val="0"/>
              <w:divBdr>
                <w:top w:val="none" w:sz="0" w:space="0" w:color="auto"/>
                <w:left w:val="none" w:sz="0" w:space="0" w:color="auto"/>
                <w:bottom w:val="none" w:sz="0" w:space="0" w:color="auto"/>
                <w:right w:val="none" w:sz="0" w:space="0" w:color="auto"/>
              </w:divBdr>
              <w:divsChild>
                <w:div w:id="408041711">
                  <w:marLeft w:val="0"/>
                  <w:marRight w:val="0"/>
                  <w:marTop w:val="0"/>
                  <w:marBottom w:val="0"/>
                  <w:divBdr>
                    <w:top w:val="none" w:sz="0" w:space="0" w:color="auto"/>
                    <w:left w:val="none" w:sz="0" w:space="0" w:color="auto"/>
                    <w:bottom w:val="none" w:sz="0" w:space="0" w:color="auto"/>
                    <w:right w:val="none" w:sz="0" w:space="0" w:color="auto"/>
                  </w:divBdr>
                  <w:divsChild>
                    <w:div w:id="143224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26075">
      <w:bodyDiv w:val="1"/>
      <w:marLeft w:val="0"/>
      <w:marRight w:val="0"/>
      <w:marTop w:val="0"/>
      <w:marBottom w:val="0"/>
      <w:divBdr>
        <w:top w:val="none" w:sz="0" w:space="0" w:color="auto"/>
        <w:left w:val="none" w:sz="0" w:space="0" w:color="auto"/>
        <w:bottom w:val="none" w:sz="0" w:space="0" w:color="auto"/>
        <w:right w:val="none" w:sz="0" w:space="0" w:color="auto"/>
      </w:divBdr>
      <w:divsChild>
        <w:div w:id="432094775">
          <w:marLeft w:val="0"/>
          <w:marRight w:val="0"/>
          <w:marTop w:val="0"/>
          <w:marBottom w:val="0"/>
          <w:divBdr>
            <w:top w:val="none" w:sz="0" w:space="0" w:color="auto"/>
            <w:left w:val="none" w:sz="0" w:space="0" w:color="auto"/>
            <w:bottom w:val="none" w:sz="0" w:space="0" w:color="auto"/>
            <w:right w:val="none" w:sz="0" w:space="0" w:color="auto"/>
          </w:divBdr>
        </w:div>
        <w:div w:id="472261497">
          <w:marLeft w:val="0"/>
          <w:marRight w:val="0"/>
          <w:marTop w:val="0"/>
          <w:marBottom w:val="0"/>
          <w:divBdr>
            <w:top w:val="none" w:sz="0" w:space="0" w:color="auto"/>
            <w:left w:val="none" w:sz="0" w:space="0" w:color="auto"/>
            <w:bottom w:val="none" w:sz="0" w:space="0" w:color="auto"/>
            <w:right w:val="none" w:sz="0" w:space="0" w:color="auto"/>
          </w:divBdr>
        </w:div>
        <w:div w:id="869345328">
          <w:marLeft w:val="0"/>
          <w:marRight w:val="0"/>
          <w:marTop w:val="0"/>
          <w:marBottom w:val="0"/>
          <w:divBdr>
            <w:top w:val="none" w:sz="0" w:space="0" w:color="auto"/>
            <w:left w:val="none" w:sz="0" w:space="0" w:color="auto"/>
            <w:bottom w:val="none" w:sz="0" w:space="0" w:color="auto"/>
            <w:right w:val="none" w:sz="0" w:space="0" w:color="auto"/>
          </w:divBdr>
        </w:div>
        <w:div w:id="1089278664">
          <w:marLeft w:val="0"/>
          <w:marRight w:val="0"/>
          <w:marTop w:val="0"/>
          <w:marBottom w:val="0"/>
          <w:divBdr>
            <w:top w:val="none" w:sz="0" w:space="0" w:color="auto"/>
            <w:left w:val="none" w:sz="0" w:space="0" w:color="auto"/>
            <w:bottom w:val="none" w:sz="0" w:space="0" w:color="auto"/>
            <w:right w:val="none" w:sz="0" w:space="0" w:color="auto"/>
          </w:divBdr>
        </w:div>
        <w:div w:id="1466315485">
          <w:marLeft w:val="0"/>
          <w:marRight w:val="0"/>
          <w:marTop w:val="0"/>
          <w:marBottom w:val="0"/>
          <w:divBdr>
            <w:top w:val="none" w:sz="0" w:space="0" w:color="auto"/>
            <w:left w:val="none" w:sz="0" w:space="0" w:color="auto"/>
            <w:bottom w:val="none" w:sz="0" w:space="0" w:color="auto"/>
            <w:right w:val="none" w:sz="0" w:space="0" w:color="auto"/>
          </w:divBdr>
        </w:div>
      </w:divsChild>
    </w:div>
    <w:div w:id="1905866877">
      <w:bodyDiv w:val="1"/>
      <w:marLeft w:val="0"/>
      <w:marRight w:val="0"/>
      <w:marTop w:val="0"/>
      <w:marBottom w:val="0"/>
      <w:divBdr>
        <w:top w:val="none" w:sz="0" w:space="0" w:color="auto"/>
        <w:left w:val="none" w:sz="0" w:space="0" w:color="auto"/>
        <w:bottom w:val="none" w:sz="0" w:space="0" w:color="auto"/>
        <w:right w:val="none" w:sz="0" w:space="0" w:color="auto"/>
      </w:divBdr>
    </w:div>
    <w:div w:id="1922176921">
      <w:bodyDiv w:val="1"/>
      <w:marLeft w:val="0"/>
      <w:marRight w:val="0"/>
      <w:marTop w:val="0"/>
      <w:marBottom w:val="0"/>
      <w:divBdr>
        <w:top w:val="none" w:sz="0" w:space="0" w:color="auto"/>
        <w:left w:val="none" w:sz="0" w:space="0" w:color="auto"/>
        <w:bottom w:val="none" w:sz="0" w:space="0" w:color="auto"/>
        <w:right w:val="none" w:sz="0" w:space="0" w:color="auto"/>
      </w:divBdr>
    </w:div>
    <w:div w:id="1929343510">
      <w:bodyDiv w:val="1"/>
      <w:marLeft w:val="0"/>
      <w:marRight w:val="0"/>
      <w:marTop w:val="0"/>
      <w:marBottom w:val="0"/>
      <w:divBdr>
        <w:top w:val="none" w:sz="0" w:space="0" w:color="auto"/>
        <w:left w:val="none" w:sz="0" w:space="0" w:color="auto"/>
        <w:bottom w:val="none" w:sz="0" w:space="0" w:color="auto"/>
        <w:right w:val="none" w:sz="0" w:space="0" w:color="auto"/>
      </w:divBdr>
    </w:div>
    <w:div w:id="1936866575">
      <w:bodyDiv w:val="1"/>
      <w:marLeft w:val="0"/>
      <w:marRight w:val="0"/>
      <w:marTop w:val="0"/>
      <w:marBottom w:val="0"/>
      <w:divBdr>
        <w:top w:val="none" w:sz="0" w:space="0" w:color="auto"/>
        <w:left w:val="none" w:sz="0" w:space="0" w:color="auto"/>
        <w:bottom w:val="none" w:sz="0" w:space="0" w:color="auto"/>
        <w:right w:val="none" w:sz="0" w:space="0" w:color="auto"/>
      </w:divBdr>
    </w:div>
    <w:div w:id="1941647561">
      <w:bodyDiv w:val="1"/>
      <w:marLeft w:val="0"/>
      <w:marRight w:val="0"/>
      <w:marTop w:val="0"/>
      <w:marBottom w:val="0"/>
      <w:divBdr>
        <w:top w:val="none" w:sz="0" w:space="0" w:color="auto"/>
        <w:left w:val="none" w:sz="0" w:space="0" w:color="auto"/>
        <w:bottom w:val="none" w:sz="0" w:space="0" w:color="auto"/>
        <w:right w:val="none" w:sz="0" w:space="0" w:color="auto"/>
      </w:divBdr>
    </w:div>
    <w:div w:id="1946301343">
      <w:bodyDiv w:val="1"/>
      <w:marLeft w:val="0"/>
      <w:marRight w:val="0"/>
      <w:marTop w:val="0"/>
      <w:marBottom w:val="0"/>
      <w:divBdr>
        <w:top w:val="none" w:sz="0" w:space="0" w:color="auto"/>
        <w:left w:val="none" w:sz="0" w:space="0" w:color="auto"/>
        <w:bottom w:val="none" w:sz="0" w:space="0" w:color="auto"/>
        <w:right w:val="none" w:sz="0" w:space="0" w:color="auto"/>
      </w:divBdr>
      <w:divsChild>
        <w:div w:id="1913194336">
          <w:marLeft w:val="0"/>
          <w:marRight w:val="0"/>
          <w:marTop w:val="0"/>
          <w:marBottom w:val="0"/>
          <w:divBdr>
            <w:top w:val="single" w:sz="2" w:space="0" w:color="auto"/>
            <w:left w:val="single" w:sz="2" w:space="0" w:color="auto"/>
            <w:bottom w:val="single" w:sz="2" w:space="0" w:color="auto"/>
            <w:right w:val="single" w:sz="2" w:space="0" w:color="auto"/>
          </w:divBdr>
          <w:divsChild>
            <w:div w:id="2134788784">
              <w:marLeft w:val="0"/>
              <w:marRight w:val="0"/>
              <w:marTop w:val="0"/>
              <w:marBottom w:val="0"/>
              <w:divBdr>
                <w:top w:val="single" w:sz="2" w:space="0" w:color="auto"/>
                <w:left w:val="single" w:sz="2" w:space="0" w:color="auto"/>
                <w:bottom w:val="single" w:sz="2" w:space="0" w:color="auto"/>
                <w:right w:val="single" w:sz="2" w:space="0" w:color="auto"/>
              </w:divBdr>
              <w:divsChild>
                <w:div w:id="946086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55556343">
      <w:bodyDiv w:val="1"/>
      <w:marLeft w:val="0"/>
      <w:marRight w:val="0"/>
      <w:marTop w:val="0"/>
      <w:marBottom w:val="0"/>
      <w:divBdr>
        <w:top w:val="none" w:sz="0" w:space="0" w:color="auto"/>
        <w:left w:val="none" w:sz="0" w:space="0" w:color="auto"/>
        <w:bottom w:val="none" w:sz="0" w:space="0" w:color="auto"/>
        <w:right w:val="none" w:sz="0" w:space="0" w:color="auto"/>
      </w:divBdr>
    </w:div>
    <w:div w:id="1961452995">
      <w:bodyDiv w:val="1"/>
      <w:marLeft w:val="0"/>
      <w:marRight w:val="0"/>
      <w:marTop w:val="0"/>
      <w:marBottom w:val="0"/>
      <w:divBdr>
        <w:top w:val="none" w:sz="0" w:space="0" w:color="auto"/>
        <w:left w:val="none" w:sz="0" w:space="0" w:color="auto"/>
        <w:bottom w:val="none" w:sz="0" w:space="0" w:color="auto"/>
        <w:right w:val="none" w:sz="0" w:space="0" w:color="auto"/>
      </w:divBdr>
    </w:div>
    <w:div w:id="1963805801">
      <w:bodyDiv w:val="1"/>
      <w:marLeft w:val="0"/>
      <w:marRight w:val="0"/>
      <w:marTop w:val="0"/>
      <w:marBottom w:val="0"/>
      <w:divBdr>
        <w:top w:val="none" w:sz="0" w:space="0" w:color="auto"/>
        <w:left w:val="none" w:sz="0" w:space="0" w:color="auto"/>
        <w:bottom w:val="none" w:sz="0" w:space="0" w:color="auto"/>
        <w:right w:val="none" w:sz="0" w:space="0" w:color="auto"/>
      </w:divBdr>
    </w:div>
    <w:div w:id="1984195353">
      <w:bodyDiv w:val="1"/>
      <w:marLeft w:val="0"/>
      <w:marRight w:val="0"/>
      <w:marTop w:val="0"/>
      <w:marBottom w:val="0"/>
      <w:divBdr>
        <w:top w:val="none" w:sz="0" w:space="0" w:color="auto"/>
        <w:left w:val="none" w:sz="0" w:space="0" w:color="auto"/>
        <w:bottom w:val="none" w:sz="0" w:space="0" w:color="auto"/>
        <w:right w:val="none" w:sz="0" w:space="0" w:color="auto"/>
      </w:divBdr>
    </w:div>
    <w:div w:id="1984235236">
      <w:bodyDiv w:val="1"/>
      <w:marLeft w:val="0"/>
      <w:marRight w:val="0"/>
      <w:marTop w:val="0"/>
      <w:marBottom w:val="0"/>
      <w:divBdr>
        <w:top w:val="none" w:sz="0" w:space="0" w:color="auto"/>
        <w:left w:val="none" w:sz="0" w:space="0" w:color="auto"/>
        <w:bottom w:val="none" w:sz="0" w:space="0" w:color="auto"/>
        <w:right w:val="none" w:sz="0" w:space="0" w:color="auto"/>
      </w:divBdr>
    </w:div>
    <w:div w:id="1994990533">
      <w:bodyDiv w:val="1"/>
      <w:marLeft w:val="0"/>
      <w:marRight w:val="0"/>
      <w:marTop w:val="0"/>
      <w:marBottom w:val="0"/>
      <w:divBdr>
        <w:top w:val="none" w:sz="0" w:space="0" w:color="auto"/>
        <w:left w:val="none" w:sz="0" w:space="0" w:color="auto"/>
        <w:bottom w:val="none" w:sz="0" w:space="0" w:color="auto"/>
        <w:right w:val="none" w:sz="0" w:space="0" w:color="auto"/>
      </w:divBdr>
    </w:div>
    <w:div w:id="1997757326">
      <w:bodyDiv w:val="1"/>
      <w:marLeft w:val="0"/>
      <w:marRight w:val="0"/>
      <w:marTop w:val="0"/>
      <w:marBottom w:val="0"/>
      <w:divBdr>
        <w:top w:val="none" w:sz="0" w:space="0" w:color="auto"/>
        <w:left w:val="none" w:sz="0" w:space="0" w:color="auto"/>
        <w:bottom w:val="none" w:sz="0" w:space="0" w:color="auto"/>
        <w:right w:val="none" w:sz="0" w:space="0" w:color="auto"/>
      </w:divBdr>
    </w:div>
    <w:div w:id="1998655659">
      <w:bodyDiv w:val="1"/>
      <w:marLeft w:val="0"/>
      <w:marRight w:val="0"/>
      <w:marTop w:val="0"/>
      <w:marBottom w:val="0"/>
      <w:divBdr>
        <w:top w:val="none" w:sz="0" w:space="0" w:color="auto"/>
        <w:left w:val="none" w:sz="0" w:space="0" w:color="auto"/>
        <w:bottom w:val="none" w:sz="0" w:space="0" w:color="auto"/>
        <w:right w:val="none" w:sz="0" w:space="0" w:color="auto"/>
      </w:divBdr>
    </w:div>
    <w:div w:id="2000188569">
      <w:bodyDiv w:val="1"/>
      <w:marLeft w:val="0"/>
      <w:marRight w:val="0"/>
      <w:marTop w:val="0"/>
      <w:marBottom w:val="0"/>
      <w:divBdr>
        <w:top w:val="none" w:sz="0" w:space="0" w:color="auto"/>
        <w:left w:val="none" w:sz="0" w:space="0" w:color="auto"/>
        <w:bottom w:val="none" w:sz="0" w:space="0" w:color="auto"/>
        <w:right w:val="none" w:sz="0" w:space="0" w:color="auto"/>
      </w:divBdr>
    </w:div>
    <w:div w:id="2003581269">
      <w:bodyDiv w:val="1"/>
      <w:marLeft w:val="0"/>
      <w:marRight w:val="0"/>
      <w:marTop w:val="0"/>
      <w:marBottom w:val="0"/>
      <w:divBdr>
        <w:top w:val="none" w:sz="0" w:space="0" w:color="auto"/>
        <w:left w:val="none" w:sz="0" w:space="0" w:color="auto"/>
        <w:bottom w:val="none" w:sz="0" w:space="0" w:color="auto"/>
        <w:right w:val="none" w:sz="0" w:space="0" w:color="auto"/>
      </w:divBdr>
    </w:div>
    <w:div w:id="2007978388">
      <w:bodyDiv w:val="1"/>
      <w:marLeft w:val="0"/>
      <w:marRight w:val="0"/>
      <w:marTop w:val="0"/>
      <w:marBottom w:val="0"/>
      <w:divBdr>
        <w:top w:val="none" w:sz="0" w:space="0" w:color="auto"/>
        <w:left w:val="none" w:sz="0" w:space="0" w:color="auto"/>
        <w:bottom w:val="none" w:sz="0" w:space="0" w:color="auto"/>
        <w:right w:val="none" w:sz="0" w:space="0" w:color="auto"/>
      </w:divBdr>
    </w:div>
    <w:div w:id="2008168400">
      <w:bodyDiv w:val="1"/>
      <w:marLeft w:val="0"/>
      <w:marRight w:val="0"/>
      <w:marTop w:val="0"/>
      <w:marBottom w:val="0"/>
      <w:divBdr>
        <w:top w:val="none" w:sz="0" w:space="0" w:color="auto"/>
        <w:left w:val="none" w:sz="0" w:space="0" w:color="auto"/>
        <w:bottom w:val="none" w:sz="0" w:space="0" w:color="auto"/>
        <w:right w:val="none" w:sz="0" w:space="0" w:color="auto"/>
      </w:divBdr>
    </w:div>
    <w:div w:id="2016495623">
      <w:bodyDiv w:val="1"/>
      <w:marLeft w:val="0"/>
      <w:marRight w:val="0"/>
      <w:marTop w:val="0"/>
      <w:marBottom w:val="0"/>
      <w:divBdr>
        <w:top w:val="none" w:sz="0" w:space="0" w:color="auto"/>
        <w:left w:val="none" w:sz="0" w:space="0" w:color="auto"/>
        <w:bottom w:val="none" w:sz="0" w:space="0" w:color="auto"/>
        <w:right w:val="none" w:sz="0" w:space="0" w:color="auto"/>
      </w:divBdr>
    </w:div>
    <w:div w:id="2028556744">
      <w:bodyDiv w:val="1"/>
      <w:marLeft w:val="0"/>
      <w:marRight w:val="0"/>
      <w:marTop w:val="0"/>
      <w:marBottom w:val="0"/>
      <w:divBdr>
        <w:top w:val="none" w:sz="0" w:space="0" w:color="auto"/>
        <w:left w:val="none" w:sz="0" w:space="0" w:color="auto"/>
        <w:bottom w:val="none" w:sz="0" w:space="0" w:color="auto"/>
        <w:right w:val="none" w:sz="0" w:space="0" w:color="auto"/>
      </w:divBdr>
    </w:div>
    <w:div w:id="2030519611">
      <w:bodyDiv w:val="1"/>
      <w:marLeft w:val="0"/>
      <w:marRight w:val="0"/>
      <w:marTop w:val="0"/>
      <w:marBottom w:val="0"/>
      <w:divBdr>
        <w:top w:val="none" w:sz="0" w:space="0" w:color="auto"/>
        <w:left w:val="none" w:sz="0" w:space="0" w:color="auto"/>
        <w:bottom w:val="none" w:sz="0" w:space="0" w:color="auto"/>
        <w:right w:val="none" w:sz="0" w:space="0" w:color="auto"/>
      </w:divBdr>
      <w:divsChild>
        <w:div w:id="294724347">
          <w:marLeft w:val="0"/>
          <w:marRight w:val="0"/>
          <w:marTop w:val="0"/>
          <w:marBottom w:val="0"/>
          <w:divBdr>
            <w:top w:val="single" w:sz="2" w:space="0" w:color="auto"/>
            <w:left w:val="single" w:sz="2" w:space="0" w:color="auto"/>
            <w:bottom w:val="single" w:sz="2" w:space="0" w:color="auto"/>
            <w:right w:val="single" w:sz="2" w:space="0" w:color="auto"/>
          </w:divBdr>
          <w:divsChild>
            <w:div w:id="611865936">
              <w:marLeft w:val="0"/>
              <w:marRight w:val="0"/>
              <w:marTop w:val="0"/>
              <w:marBottom w:val="0"/>
              <w:divBdr>
                <w:top w:val="single" w:sz="2" w:space="0" w:color="auto"/>
                <w:left w:val="single" w:sz="2" w:space="0" w:color="auto"/>
                <w:bottom w:val="single" w:sz="2" w:space="0" w:color="auto"/>
                <w:right w:val="single" w:sz="2" w:space="0" w:color="auto"/>
              </w:divBdr>
              <w:divsChild>
                <w:div w:id="131482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00673171">
          <w:marLeft w:val="0"/>
          <w:marRight w:val="0"/>
          <w:marTop w:val="0"/>
          <w:marBottom w:val="0"/>
          <w:divBdr>
            <w:top w:val="single" w:sz="2" w:space="0" w:color="auto"/>
            <w:left w:val="single" w:sz="2" w:space="0" w:color="auto"/>
            <w:bottom w:val="single" w:sz="2" w:space="0" w:color="auto"/>
            <w:right w:val="single" w:sz="2" w:space="0" w:color="auto"/>
          </w:divBdr>
          <w:divsChild>
            <w:div w:id="954336906">
              <w:marLeft w:val="0"/>
              <w:marRight w:val="0"/>
              <w:marTop w:val="0"/>
              <w:marBottom w:val="0"/>
              <w:divBdr>
                <w:top w:val="single" w:sz="2" w:space="0" w:color="auto"/>
                <w:left w:val="single" w:sz="2" w:space="0" w:color="auto"/>
                <w:bottom w:val="single" w:sz="2" w:space="0" w:color="auto"/>
                <w:right w:val="single" w:sz="2" w:space="0" w:color="auto"/>
              </w:divBdr>
              <w:divsChild>
                <w:div w:id="1996298980">
                  <w:marLeft w:val="0"/>
                  <w:marRight w:val="0"/>
                  <w:marTop w:val="0"/>
                  <w:marBottom w:val="0"/>
                  <w:divBdr>
                    <w:top w:val="single" w:sz="2" w:space="0" w:color="auto"/>
                    <w:left w:val="single" w:sz="2" w:space="0" w:color="auto"/>
                    <w:bottom w:val="single" w:sz="2" w:space="0" w:color="auto"/>
                    <w:right w:val="single" w:sz="2" w:space="0" w:color="auto"/>
                  </w:divBdr>
                  <w:divsChild>
                    <w:div w:id="2615692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31566223">
      <w:bodyDiv w:val="1"/>
      <w:marLeft w:val="0"/>
      <w:marRight w:val="0"/>
      <w:marTop w:val="0"/>
      <w:marBottom w:val="0"/>
      <w:divBdr>
        <w:top w:val="none" w:sz="0" w:space="0" w:color="auto"/>
        <w:left w:val="none" w:sz="0" w:space="0" w:color="auto"/>
        <w:bottom w:val="none" w:sz="0" w:space="0" w:color="auto"/>
        <w:right w:val="none" w:sz="0" w:space="0" w:color="auto"/>
      </w:divBdr>
    </w:div>
    <w:div w:id="2037844421">
      <w:bodyDiv w:val="1"/>
      <w:marLeft w:val="0"/>
      <w:marRight w:val="0"/>
      <w:marTop w:val="0"/>
      <w:marBottom w:val="0"/>
      <w:divBdr>
        <w:top w:val="none" w:sz="0" w:space="0" w:color="auto"/>
        <w:left w:val="none" w:sz="0" w:space="0" w:color="auto"/>
        <w:bottom w:val="none" w:sz="0" w:space="0" w:color="auto"/>
        <w:right w:val="none" w:sz="0" w:space="0" w:color="auto"/>
      </w:divBdr>
    </w:div>
    <w:div w:id="2051681938">
      <w:bodyDiv w:val="1"/>
      <w:marLeft w:val="0"/>
      <w:marRight w:val="0"/>
      <w:marTop w:val="0"/>
      <w:marBottom w:val="0"/>
      <w:divBdr>
        <w:top w:val="none" w:sz="0" w:space="0" w:color="auto"/>
        <w:left w:val="none" w:sz="0" w:space="0" w:color="auto"/>
        <w:bottom w:val="none" w:sz="0" w:space="0" w:color="auto"/>
        <w:right w:val="none" w:sz="0" w:space="0" w:color="auto"/>
      </w:divBdr>
    </w:div>
    <w:div w:id="2065635657">
      <w:bodyDiv w:val="1"/>
      <w:marLeft w:val="0"/>
      <w:marRight w:val="0"/>
      <w:marTop w:val="0"/>
      <w:marBottom w:val="0"/>
      <w:divBdr>
        <w:top w:val="none" w:sz="0" w:space="0" w:color="auto"/>
        <w:left w:val="none" w:sz="0" w:space="0" w:color="auto"/>
        <w:bottom w:val="none" w:sz="0" w:space="0" w:color="auto"/>
        <w:right w:val="none" w:sz="0" w:space="0" w:color="auto"/>
      </w:divBdr>
    </w:div>
    <w:div w:id="2069186849">
      <w:bodyDiv w:val="1"/>
      <w:marLeft w:val="0"/>
      <w:marRight w:val="0"/>
      <w:marTop w:val="0"/>
      <w:marBottom w:val="0"/>
      <w:divBdr>
        <w:top w:val="none" w:sz="0" w:space="0" w:color="auto"/>
        <w:left w:val="none" w:sz="0" w:space="0" w:color="auto"/>
        <w:bottom w:val="none" w:sz="0" w:space="0" w:color="auto"/>
        <w:right w:val="none" w:sz="0" w:space="0" w:color="auto"/>
      </w:divBdr>
    </w:div>
    <w:div w:id="2072461557">
      <w:bodyDiv w:val="1"/>
      <w:marLeft w:val="0"/>
      <w:marRight w:val="0"/>
      <w:marTop w:val="0"/>
      <w:marBottom w:val="0"/>
      <w:divBdr>
        <w:top w:val="none" w:sz="0" w:space="0" w:color="auto"/>
        <w:left w:val="none" w:sz="0" w:space="0" w:color="auto"/>
        <w:bottom w:val="none" w:sz="0" w:space="0" w:color="auto"/>
        <w:right w:val="none" w:sz="0" w:space="0" w:color="auto"/>
      </w:divBdr>
    </w:div>
    <w:div w:id="2073574361">
      <w:bodyDiv w:val="1"/>
      <w:marLeft w:val="0"/>
      <w:marRight w:val="0"/>
      <w:marTop w:val="0"/>
      <w:marBottom w:val="0"/>
      <w:divBdr>
        <w:top w:val="none" w:sz="0" w:space="0" w:color="auto"/>
        <w:left w:val="none" w:sz="0" w:space="0" w:color="auto"/>
        <w:bottom w:val="none" w:sz="0" w:space="0" w:color="auto"/>
        <w:right w:val="none" w:sz="0" w:space="0" w:color="auto"/>
      </w:divBdr>
      <w:divsChild>
        <w:div w:id="414712598">
          <w:marLeft w:val="0"/>
          <w:marRight w:val="0"/>
          <w:marTop w:val="0"/>
          <w:marBottom w:val="0"/>
          <w:divBdr>
            <w:top w:val="none" w:sz="0" w:space="0" w:color="auto"/>
            <w:left w:val="none" w:sz="0" w:space="0" w:color="auto"/>
            <w:bottom w:val="none" w:sz="0" w:space="0" w:color="auto"/>
            <w:right w:val="none" w:sz="0" w:space="0" w:color="auto"/>
          </w:divBdr>
          <w:divsChild>
            <w:div w:id="341782559">
              <w:marLeft w:val="0"/>
              <w:marRight w:val="0"/>
              <w:marTop w:val="0"/>
              <w:marBottom w:val="0"/>
              <w:divBdr>
                <w:top w:val="none" w:sz="0" w:space="0" w:color="auto"/>
                <w:left w:val="none" w:sz="0" w:space="0" w:color="auto"/>
                <w:bottom w:val="none" w:sz="0" w:space="0" w:color="auto"/>
                <w:right w:val="none" w:sz="0" w:space="0" w:color="auto"/>
              </w:divBdr>
              <w:divsChild>
                <w:div w:id="1264604860">
                  <w:marLeft w:val="0"/>
                  <w:marRight w:val="0"/>
                  <w:marTop w:val="0"/>
                  <w:marBottom w:val="0"/>
                  <w:divBdr>
                    <w:top w:val="none" w:sz="0" w:space="0" w:color="auto"/>
                    <w:left w:val="none" w:sz="0" w:space="0" w:color="auto"/>
                    <w:bottom w:val="none" w:sz="0" w:space="0" w:color="auto"/>
                    <w:right w:val="none" w:sz="0" w:space="0" w:color="auto"/>
                  </w:divBdr>
                  <w:divsChild>
                    <w:div w:id="38825827">
                      <w:marLeft w:val="0"/>
                      <w:marRight w:val="0"/>
                      <w:marTop w:val="0"/>
                      <w:marBottom w:val="0"/>
                      <w:divBdr>
                        <w:top w:val="none" w:sz="0" w:space="0" w:color="auto"/>
                        <w:left w:val="none" w:sz="0" w:space="0" w:color="auto"/>
                        <w:bottom w:val="none" w:sz="0" w:space="0" w:color="auto"/>
                        <w:right w:val="none" w:sz="0" w:space="0" w:color="auto"/>
                      </w:divBdr>
                      <w:divsChild>
                        <w:div w:id="226259996">
                          <w:marLeft w:val="0"/>
                          <w:marRight w:val="0"/>
                          <w:marTop w:val="0"/>
                          <w:marBottom w:val="0"/>
                          <w:divBdr>
                            <w:top w:val="none" w:sz="0" w:space="0" w:color="auto"/>
                            <w:left w:val="none" w:sz="0" w:space="0" w:color="auto"/>
                            <w:bottom w:val="none" w:sz="0" w:space="0" w:color="auto"/>
                            <w:right w:val="none" w:sz="0" w:space="0" w:color="auto"/>
                          </w:divBdr>
                          <w:divsChild>
                            <w:div w:id="118031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13147">
      <w:bodyDiv w:val="1"/>
      <w:marLeft w:val="0"/>
      <w:marRight w:val="0"/>
      <w:marTop w:val="0"/>
      <w:marBottom w:val="0"/>
      <w:divBdr>
        <w:top w:val="none" w:sz="0" w:space="0" w:color="auto"/>
        <w:left w:val="none" w:sz="0" w:space="0" w:color="auto"/>
        <w:bottom w:val="none" w:sz="0" w:space="0" w:color="auto"/>
        <w:right w:val="none" w:sz="0" w:space="0" w:color="auto"/>
      </w:divBdr>
    </w:div>
    <w:div w:id="2080404081">
      <w:bodyDiv w:val="1"/>
      <w:marLeft w:val="0"/>
      <w:marRight w:val="0"/>
      <w:marTop w:val="0"/>
      <w:marBottom w:val="0"/>
      <w:divBdr>
        <w:top w:val="none" w:sz="0" w:space="0" w:color="auto"/>
        <w:left w:val="none" w:sz="0" w:space="0" w:color="auto"/>
        <w:bottom w:val="none" w:sz="0" w:space="0" w:color="auto"/>
        <w:right w:val="none" w:sz="0" w:space="0" w:color="auto"/>
      </w:divBdr>
    </w:div>
    <w:div w:id="2104567502">
      <w:bodyDiv w:val="1"/>
      <w:marLeft w:val="0"/>
      <w:marRight w:val="0"/>
      <w:marTop w:val="0"/>
      <w:marBottom w:val="0"/>
      <w:divBdr>
        <w:top w:val="none" w:sz="0" w:space="0" w:color="auto"/>
        <w:left w:val="none" w:sz="0" w:space="0" w:color="auto"/>
        <w:bottom w:val="none" w:sz="0" w:space="0" w:color="auto"/>
        <w:right w:val="none" w:sz="0" w:space="0" w:color="auto"/>
      </w:divBdr>
      <w:divsChild>
        <w:div w:id="451944026">
          <w:marLeft w:val="0"/>
          <w:marRight w:val="0"/>
          <w:marTop w:val="0"/>
          <w:marBottom w:val="0"/>
          <w:divBdr>
            <w:top w:val="none" w:sz="0" w:space="0" w:color="auto"/>
            <w:left w:val="none" w:sz="0" w:space="0" w:color="auto"/>
            <w:bottom w:val="none" w:sz="0" w:space="0" w:color="auto"/>
            <w:right w:val="none" w:sz="0" w:space="0" w:color="auto"/>
          </w:divBdr>
          <w:divsChild>
            <w:div w:id="1680809370">
              <w:marLeft w:val="0"/>
              <w:marRight w:val="0"/>
              <w:marTop w:val="0"/>
              <w:marBottom w:val="0"/>
              <w:divBdr>
                <w:top w:val="none" w:sz="0" w:space="0" w:color="auto"/>
                <w:left w:val="none" w:sz="0" w:space="0" w:color="auto"/>
                <w:bottom w:val="none" w:sz="0" w:space="0" w:color="auto"/>
                <w:right w:val="none" w:sz="0" w:space="0" w:color="auto"/>
              </w:divBdr>
              <w:divsChild>
                <w:div w:id="754520661">
                  <w:marLeft w:val="0"/>
                  <w:marRight w:val="0"/>
                  <w:marTop w:val="0"/>
                  <w:marBottom w:val="0"/>
                  <w:divBdr>
                    <w:top w:val="none" w:sz="0" w:space="0" w:color="auto"/>
                    <w:left w:val="none" w:sz="0" w:space="0" w:color="auto"/>
                    <w:bottom w:val="none" w:sz="0" w:space="0" w:color="auto"/>
                    <w:right w:val="none" w:sz="0" w:space="0" w:color="auto"/>
                  </w:divBdr>
                  <w:divsChild>
                    <w:div w:id="1220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090173">
      <w:bodyDiv w:val="1"/>
      <w:marLeft w:val="0"/>
      <w:marRight w:val="0"/>
      <w:marTop w:val="0"/>
      <w:marBottom w:val="0"/>
      <w:divBdr>
        <w:top w:val="none" w:sz="0" w:space="0" w:color="auto"/>
        <w:left w:val="none" w:sz="0" w:space="0" w:color="auto"/>
        <w:bottom w:val="none" w:sz="0" w:space="0" w:color="auto"/>
        <w:right w:val="none" w:sz="0" w:space="0" w:color="auto"/>
      </w:divBdr>
    </w:div>
    <w:div w:id="2114090917">
      <w:bodyDiv w:val="1"/>
      <w:marLeft w:val="0"/>
      <w:marRight w:val="0"/>
      <w:marTop w:val="0"/>
      <w:marBottom w:val="0"/>
      <w:divBdr>
        <w:top w:val="none" w:sz="0" w:space="0" w:color="auto"/>
        <w:left w:val="none" w:sz="0" w:space="0" w:color="auto"/>
        <w:bottom w:val="none" w:sz="0" w:space="0" w:color="auto"/>
        <w:right w:val="none" w:sz="0" w:space="0" w:color="auto"/>
      </w:divBdr>
      <w:divsChild>
        <w:div w:id="2070569984">
          <w:marLeft w:val="0"/>
          <w:marRight w:val="0"/>
          <w:marTop w:val="0"/>
          <w:marBottom w:val="0"/>
          <w:divBdr>
            <w:top w:val="single" w:sz="2" w:space="0" w:color="auto"/>
            <w:left w:val="single" w:sz="2" w:space="0" w:color="auto"/>
            <w:bottom w:val="single" w:sz="2" w:space="0" w:color="auto"/>
            <w:right w:val="single" w:sz="2" w:space="0" w:color="auto"/>
          </w:divBdr>
          <w:divsChild>
            <w:div w:id="1900743183">
              <w:marLeft w:val="0"/>
              <w:marRight w:val="0"/>
              <w:marTop w:val="0"/>
              <w:marBottom w:val="0"/>
              <w:divBdr>
                <w:top w:val="single" w:sz="2" w:space="0" w:color="auto"/>
                <w:left w:val="single" w:sz="2" w:space="0" w:color="auto"/>
                <w:bottom w:val="single" w:sz="2" w:space="0" w:color="auto"/>
                <w:right w:val="single" w:sz="2" w:space="0" w:color="auto"/>
              </w:divBdr>
              <w:divsChild>
                <w:div w:id="13771190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21949443">
      <w:bodyDiv w:val="1"/>
      <w:marLeft w:val="0"/>
      <w:marRight w:val="0"/>
      <w:marTop w:val="0"/>
      <w:marBottom w:val="0"/>
      <w:divBdr>
        <w:top w:val="none" w:sz="0" w:space="0" w:color="auto"/>
        <w:left w:val="none" w:sz="0" w:space="0" w:color="auto"/>
        <w:bottom w:val="none" w:sz="0" w:space="0" w:color="auto"/>
        <w:right w:val="none" w:sz="0" w:space="0" w:color="auto"/>
      </w:divBdr>
      <w:divsChild>
        <w:div w:id="1017736727">
          <w:marLeft w:val="0"/>
          <w:marRight w:val="0"/>
          <w:marTop w:val="0"/>
          <w:marBottom w:val="0"/>
          <w:divBdr>
            <w:top w:val="none" w:sz="0" w:space="0" w:color="auto"/>
            <w:left w:val="none" w:sz="0" w:space="0" w:color="auto"/>
            <w:bottom w:val="none" w:sz="0" w:space="0" w:color="auto"/>
            <w:right w:val="none" w:sz="0" w:space="0" w:color="auto"/>
          </w:divBdr>
          <w:divsChild>
            <w:div w:id="1278566051">
              <w:marLeft w:val="0"/>
              <w:marRight w:val="0"/>
              <w:marTop w:val="0"/>
              <w:marBottom w:val="0"/>
              <w:divBdr>
                <w:top w:val="none" w:sz="0" w:space="0" w:color="auto"/>
                <w:left w:val="none" w:sz="0" w:space="0" w:color="auto"/>
                <w:bottom w:val="none" w:sz="0" w:space="0" w:color="auto"/>
                <w:right w:val="none" w:sz="0" w:space="0" w:color="auto"/>
              </w:divBdr>
              <w:divsChild>
                <w:div w:id="432163824">
                  <w:marLeft w:val="0"/>
                  <w:marRight w:val="0"/>
                  <w:marTop w:val="0"/>
                  <w:marBottom w:val="0"/>
                  <w:divBdr>
                    <w:top w:val="none" w:sz="0" w:space="0" w:color="auto"/>
                    <w:left w:val="none" w:sz="0" w:space="0" w:color="auto"/>
                    <w:bottom w:val="none" w:sz="0" w:space="0" w:color="auto"/>
                    <w:right w:val="none" w:sz="0" w:space="0" w:color="auto"/>
                  </w:divBdr>
                  <w:divsChild>
                    <w:div w:id="1082214489">
                      <w:marLeft w:val="0"/>
                      <w:marRight w:val="0"/>
                      <w:marTop w:val="0"/>
                      <w:marBottom w:val="0"/>
                      <w:divBdr>
                        <w:top w:val="none" w:sz="0" w:space="0" w:color="auto"/>
                        <w:left w:val="none" w:sz="0" w:space="0" w:color="auto"/>
                        <w:bottom w:val="none" w:sz="0" w:space="0" w:color="auto"/>
                        <w:right w:val="none" w:sz="0" w:space="0" w:color="auto"/>
                      </w:divBdr>
                      <w:divsChild>
                        <w:div w:id="648483199">
                          <w:marLeft w:val="0"/>
                          <w:marRight w:val="0"/>
                          <w:marTop w:val="0"/>
                          <w:marBottom w:val="0"/>
                          <w:divBdr>
                            <w:top w:val="none" w:sz="0" w:space="0" w:color="auto"/>
                            <w:left w:val="none" w:sz="0" w:space="0" w:color="auto"/>
                            <w:bottom w:val="none" w:sz="0" w:space="0" w:color="auto"/>
                            <w:right w:val="none" w:sz="0" w:space="0" w:color="auto"/>
                          </w:divBdr>
                          <w:divsChild>
                            <w:div w:id="13632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366803">
      <w:bodyDiv w:val="1"/>
      <w:marLeft w:val="0"/>
      <w:marRight w:val="0"/>
      <w:marTop w:val="0"/>
      <w:marBottom w:val="0"/>
      <w:divBdr>
        <w:top w:val="none" w:sz="0" w:space="0" w:color="auto"/>
        <w:left w:val="none" w:sz="0" w:space="0" w:color="auto"/>
        <w:bottom w:val="none" w:sz="0" w:space="0" w:color="auto"/>
        <w:right w:val="none" w:sz="0" w:space="0" w:color="auto"/>
      </w:divBdr>
    </w:div>
    <w:div w:id="213903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chart" Target="charts/chart23.xml"/><Relationship Id="rId21" Type="http://schemas.openxmlformats.org/officeDocument/2006/relationships/chart" Target="charts/chart6.xml"/><Relationship Id="rId34" Type="http://schemas.openxmlformats.org/officeDocument/2006/relationships/chart" Target="charts/chart18.xml"/><Relationship Id="rId42" Type="http://schemas.openxmlformats.org/officeDocument/2006/relationships/chart" Target="charts/chart26.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9.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0.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chart" Target="charts/chart15.xml"/><Relationship Id="rId44" Type="http://schemas.openxmlformats.org/officeDocument/2006/relationships/chart" Target="charts/chart2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image" Target="media/image6.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fontTable" Target="fontTable.xml"/><Relationship Id="rId20" Type="http://schemas.openxmlformats.org/officeDocument/2006/relationships/chart" Target="charts/chart5.xml"/><Relationship Id="rId41" Type="http://schemas.openxmlformats.org/officeDocument/2006/relationships/chart" Target="charts/chart2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home-affairs.ec.europa.eu/funding/asylum-migration-and-integration-funds/asylum-migration-and-integration-fund-2014-2020/union-actions_en" TargetMode="External"/><Relationship Id="rId18" Type="http://schemas.openxmlformats.org/officeDocument/2006/relationships/hyperlink" Target="https://likumi.lv/ta/id/283491" TargetMode="External"/><Relationship Id="rId26" Type="http://schemas.openxmlformats.org/officeDocument/2006/relationships/hyperlink" Target="https://home-affairs.ec.europa.eu/document/download/7da505d8-bb4d-4e0e-b4ec-1c556b9d9ffe_en?filename=Revised%20Annual%20work%20programme%20for%20Union%20actions%202020.pdf" TargetMode="External"/><Relationship Id="rId39" Type="http://schemas.openxmlformats.org/officeDocument/2006/relationships/hyperlink" Target="https://home-affairs.ec.europa.eu/document/download/2f4db808-13ae-4919-8b03-13ba7b01aede_en?filename=final-revised-annex-awp-isf-p-2017-4th-amm.pdf" TargetMode="External"/><Relationship Id="rId21" Type="http://schemas.openxmlformats.org/officeDocument/2006/relationships/hyperlink" Target="https://eur-lex.europa.eu/legal-content/EN/TXT/HTML/?uri=CELEX:52016SC0115" TargetMode="External"/><Relationship Id="rId34" Type="http://schemas.openxmlformats.org/officeDocument/2006/relationships/hyperlink" Target="https://www.iem.gov.lv/sites/iem/files/c_2015_9377_f1_commission_implementing_decision_lv_v2_p1_83393021.pdf" TargetMode="External"/><Relationship Id="rId42" Type="http://schemas.openxmlformats.org/officeDocument/2006/relationships/hyperlink" Target="https://ec.europa.eu/info/funding-tenders/opportunities/portal/screen/opportunities/projects-details/31077817/875896/ISFP?keywords=SCS&amp;isExactMatch=true&amp;order=DESC&amp;pageNumber=NaN&amp;sortBy=title" TargetMode="External"/><Relationship Id="rId47" Type="http://schemas.openxmlformats.org/officeDocument/2006/relationships/hyperlink" Target="https://ec.europa.eu/info/funding-tenders/opportunities/portal/screen/opportunities/projects-details/31077817/821194/ISFP?keywords=BALTFORDEX&amp;isExactMatch=true&amp;order=DESC&amp;pageNumber=1&amp;sortBy=title" TargetMode="External"/><Relationship Id="rId50" Type="http://schemas.openxmlformats.org/officeDocument/2006/relationships/hyperlink" Target="https://www.vp.gov.lv/lv/projekts/nreezvp20201-atbalsts-valsts-policijai-ekonomisko-noziegumu-izmeklesanas-paatrinasanai-un-kvalitates-uzlabosanai-latvija" TargetMode="External"/><Relationship Id="rId55" Type="http://schemas.openxmlformats.org/officeDocument/2006/relationships/hyperlink" Target="https://www.vugd.gov.lv/lv/projekts/latvijas-lietuvas-parrobezu-sadarbibas-programmas-ietvaros-valsts-ugunsdzesibas-un-glabsanas-dienests-isteno-projektu-vides-risku-parvaldibas-resursu-pilnveidosana-pierobezas-regiona-lai-efektivi-veiktu-vides-aizsardzibas-pasakumus-dermr-lli-232" TargetMode="External"/><Relationship Id="rId7" Type="http://schemas.openxmlformats.org/officeDocument/2006/relationships/hyperlink" Target="https://eur-lex.europa.eu/legal-content/LV/TXT/HTML/?uri=CELEX:32013R0604" TargetMode="External"/><Relationship Id="rId2" Type="http://schemas.openxmlformats.org/officeDocument/2006/relationships/hyperlink" Target="https://commission.europa.eu/system/files/2018-09/soteu2018-eurosur-evaluation_en.pdf" TargetMode="External"/><Relationship Id="rId16" Type="http://schemas.openxmlformats.org/officeDocument/2006/relationships/hyperlink" Target="https://www.nva.gov.lv/lv/projekts/projekts-beglu-un-alternativo-statusu-ieguvuso-personu-integracija-latvijas-darba-tirgu" TargetMode="External"/><Relationship Id="rId29" Type="http://schemas.openxmlformats.org/officeDocument/2006/relationships/hyperlink" Target="https://eeagrants.lv/starptautiska-policijas-sadarbiba/par-programmu/" TargetMode="External"/><Relationship Id="rId11" Type="http://schemas.openxmlformats.org/officeDocument/2006/relationships/hyperlink" Target="https://likumi.lv/ta/id/275751" TargetMode="External"/><Relationship Id="rId24" Type="http://schemas.openxmlformats.org/officeDocument/2006/relationships/hyperlink" Target="https://home-affairs.ec.europa.eu/document/download/888d6446-54ef-48cd-8213-e902d40d3209_en?filename=revised-annual-work-programme-02-03-2017.pdf" TargetMode="External"/><Relationship Id="rId32" Type="http://schemas.openxmlformats.org/officeDocument/2006/relationships/hyperlink" Target="https://www.rs.gov.lv/lv/projekts/intelektualas-mobilas-kontroles-sistemas-izstrade" TargetMode="External"/><Relationship Id="rId37" Type="http://schemas.openxmlformats.org/officeDocument/2006/relationships/hyperlink" Target="https://home-affairs.ec.europa.eu/document/download/fc7344fa-3341-48d6-82f6-109974dfe9e2_en?filename=awp_2014_isf_p_en.pdf" TargetMode="External"/><Relationship Id="rId40" Type="http://schemas.openxmlformats.org/officeDocument/2006/relationships/hyperlink" Target="https://ec.europa.eu/info/funding-tenders/opportunities/portal/screen/opportunities/projects-details/31077817/827944/ISFP?order=DESC&amp;pageNumber=1&amp;pageSize=10&amp;sortBy=title&amp;keywords=UMF&amp;isExactMatch=true" TargetMode="External"/><Relationship Id="rId45" Type="http://schemas.openxmlformats.org/officeDocument/2006/relationships/hyperlink" Target="https://home-affairs.ec.europa.eu/document/download/a0615da5-7d1e-44cd-8eda-b7e97f213851_en?filename=awp_isfp_2018_en.pdf" TargetMode="External"/><Relationship Id="rId53" Type="http://schemas.openxmlformats.org/officeDocument/2006/relationships/hyperlink" Target="https://2014-2020.latlit.eu/about-the-programme/%20latvi" TargetMode="External"/><Relationship Id="rId58" Type="http://schemas.openxmlformats.org/officeDocument/2006/relationships/hyperlink" Target="https://www.vp.gov.lv/lv/apvarsnis-2020" TargetMode="External"/><Relationship Id="rId5" Type="http://schemas.openxmlformats.org/officeDocument/2006/relationships/hyperlink" Target="https://lrvk.gov.lv/lv/getrevisionfile/29703-TrunR1tvpeFUQLmyE62yFTRi0VBDd3T-.pdf" TargetMode="External"/><Relationship Id="rId19" Type="http://schemas.openxmlformats.org/officeDocument/2006/relationships/hyperlink" Target="https://www.iem.gov.lv/sites/iem/files/c_2015_9377_f1_commission_implementing_decision_lv_v2_p1_83393021.pdf" TargetMode="External"/><Relationship Id="rId4" Type="http://schemas.openxmlformats.org/officeDocument/2006/relationships/hyperlink" Target="https://www.emn.lv/wp-content/uploads/2025/01/EMN_labour_migration_study_template_Latvia_Final-LV.pdf" TargetMode="External"/><Relationship Id="rId9" Type="http://schemas.openxmlformats.org/officeDocument/2006/relationships/hyperlink" Target="https://eur-lex.europa.eu/legal-content/EN/TXT/?uri=legissum:jl0014" TargetMode="External"/><Relationship Id="rId14" Type="http://schemas.openxmlformats.org/officeDocument/2006/relationships/hyperlink" Target="https://www.emn.lv/par-mums/" TargetMode="External"/><Relationship Id="rId22" Type="http://schemas.openxmlformats.org/officeDocument/2006/relationships/hyperlink" Target="https://likumi.lv/ta/id/275751" TargetMode="External"/><Relationship Id="rId27" Type="http://schemas.openxmlformats.org/officeDocument/2006/relationships/hyperlink" Target="https://latruscbc.eu/about-the-programme/objective-priorities/" TargetMode="External"/><Relationship Id="rId30" Type="http://schemas.openxmlformats.org/officeDocument/2006/relationships/hyperlink" Target="https://www.vid.gov.lv/lv/projekts/eiropas-ekonomikas-zonas-granta-projekti" TargetMode="External"/><Relationship Id="rId35" Type="http://schemas.openxmlformats.org/officeDocument/2006/relationships/hyperlink" Target="https://www.worldbank.org/en/region/eca/brief/economics-for-disaster-prevention-preparedness-europe" TargetMode="External"/><Relationship Id="rId43" Type="http://schemas.openxmlformats.org/officeDocument/2006/relationships/hyperlink" Target="https://ec.europa.eu/info/funding-tenders/opportunities/portal/screen/how-to-participate/org-details/999999999/project/766506/program/31077817/details" TargetMode="External"/><Relationship Id="rId48" Type="http://schemas.openxmlformats.org/officeDocument/2006/relationships/hyperlink" Target="https://home-affairs.ec.europa.eu/document/download/947851ed-fd8f-4200-b313-fa5dfb04a8fc_en?filename=Annual%20work%20programme%20ISF%20Police%20for%202019_en.pdf" TargetMode="External"/><Relationship Id="rId56" Type="http://schemas.openxmlformats.org/officeDocument/2006/relationships/hyperlink" Target="https://www.vp.gov.lv/lv/projekts/latvijas-lietuvas-programmas-projekts-sinergiskas-drosibas-platformas-izveide-austrumlatvijas-un-lietuvas-pierobeza-synergy-security" TargetMode="External"/><Relationship Id="rId8" Type="http://schemas.openxmlformats.org/officeDocument/2006/relationships/hyperlink" Target="https://www.mipex.eu/latvia" TargetMode="External"/><Relationship Id="rId51" Type="http://schemas.openxmlformats.org/officeDocument/2006/relationships/hyperlink" Target="https://www.vp.gov.lv/lv/projekts/nr-eeztm20227-tiesu-ekspertizu-sistemas-un-notikumu-vietas-apskates-kapacitates-stiprinasana" TargetMode="External"/><Relationship Id="rId3" Type="http://schemas.openxmlformats.org/officeDocument/2006/relationships/hyperlink" Target="https://www.iem.gov.lv/sites/iem/files/c_2016_1820_f1_commission_implementing_decision_en_v3_p1_843684-11.pdf" TargetMode="External"/><Relationship Id="rId12" Type="http://schemas.openxmlformats.org/officeDocument/2006/relationships/hyperlink" Target="https://www.km.gov.lv/lv/media/444/download?attachment" TargetMode="External"/><Relationship Id="rId17" Type="http://schemas.openxmlformats.org/officeDocument/2006/relationships/hyperlink" Target="https://likumi.lv/ta/id/272247" TargetMode="External"/><Relationship Id="rId25" Type="http://schemas.openxmlformats.org/officeDocument/2006/relationships/hyperlink" Target="https://ec.europa.eu/info/funding-tenders/opportunities/portal/screen/opportunities/projects-details/31077833/101045891/ISFB?keywords=EURLO&amp;isExactMatch=true&amp;order=DESC&amp;pageNumber=NaN&amp;sortBy=title" TargetMode="External"/><Relationship Id="rId33" Type="http://schemas.openxmlformats.org/officeDocument/2006/relationships/hyperlink" Target="https://www.rs.gov.lv/lv/starptautiskas-migracijas-politikas-attistibas-centra-programma" TargetMode="External"/><Relationship Id="rId38" Type="http://schemas.openxmlformats.org/officeDocument/2006/relationships/hyperlink" Target="https://home-affairs.ec.europa.eu/document/download/d2c5c9aa-0b8e-4d33-86a4-75fc76a0dde8_en" TargetMode="External"/><Relationship Id="rId46" Type="http://schemas.openxmlformats.org/officeDocument/2006/relationships/hyperlink" Target="https://ec.europa.eu/info/funding-tenders/opportunities/portal/screen/how-to-participate/org-details/907332957/project/869144/program/31077817/details" TargetMode="External"/><Relationship Id="rId20" Type="http://schemas.openxmlformats.org/officeDocument/2006/relationships/hyperlink" Target="https://www.frontex.europa.eu/assets/Publications/Research/Best_Practice_Operational_Guidelines_ABC.pdf" TargetMode="External"/><Relationship Id="rId41" Type="http://schemas.openxmlformats.org/officeDocument/2006/relationships/hyperlink" Target="https://ec.europa.eu/info/funding-tenders/opportunities/portal/screen/opportunities/projects-details/31077817/818468/ISFP?keywords=COOPERANT&amp;isExactMatch=true&amp;order=DESC&amp;pageNumber=NaN&amp;sortBy=title" TargetMode="External"/><Relationship Id="rId54" Type="http://schemas.openxmlformats.org/officeDocument/2006/relationships/hyperlink" Target="https://www.vugd.gov.lv/lv/projekts/cbrn-negadijumu-seku-likvidesana-un-piesarnojuma-mazinasana-latvijas-lietuvas-pierobeza-atom-lli-195" TargetMode="External"/><Relationship Id="rId1" Type="http://schemas.openxmlformats.org/officeDocument/2006/relationships/hyperlink" Target="http://eur-lex.europa.eu/legal-content/LV/TXT/HTML/?uri=CELEX:32017R0207" TargetMode="External"/><Relationship Id="rId6" Type="http://schemas.openxmlformats.org/officeDocument/2006/relationships/hyperlink" Target="https://lrvk.gov.lv/lv/getrevisionfile/29703-JMLRRDM2Dc7QReGOM-RTSqbisVedQ1Wt.pdf" TargetMode="External"/><Relationship Id="rId15" Type="http://schemas.openxmlformats.org/officeDocument/2006/relationships/hyperlink" Target="https://www.sif.gov.lv/lv/projekts/dazadibas-veicinasana" TargetMode="External"/><Relationship Id="rId23" Type="http://schemas.openxmlformats.org/officeDocument/2006/relationships/hyperlink" Target="https://ec.europa.eu/info/funding-tenders/opportunities/portal/screen/opportunities/projects-details/31077833/786413/ISFB?keywords=BSIEG%202&amp;isExactMatch=true&amp;order=DESC&amp;pageNumber=NaN&amp;sortBy=title" TargetMode="External"/><Relationship Id="rId28" Type="http://schemas.openxmlformats.org/officeDocument/2006/relationships/hyperlink" Target="https://www.eni-cbc.eu/llb/en/programme/thematic-objectives/63" TargetMode="External"/><Relationship Id="rId36" Type="http://schemas.openxmlformats.org/officeDocument/2006/relationships/hyperlink" Target="https://likumi.lv/ta/id/275751" TargetMode="External"/><Relationship Id="rId49" Type="http://schemas.openxmlformats.org/officeDocument/2006/relationships/hyperlink" Target="https://eeagrants.lv/starptautiska-policijas-sadarbiba/par-programmu/" TargetMode="External"/><Relationship Id="rId57" Type="http://schemas.openxmlformats.org/officeDocument/2006/relationships/hyperlink" Target="https://www.vp.gov.lv/lv/projekts/latvijas-un-lietuvas-policiju-k9-kapacitates-stiprinasana-latvijas-un-lietuvas-pierobezas-teritorijas" TargetMode="External"/><Relationship Id="rId10" Type="http://schemas.openxmlformats.org/officeDocument/2006/relationships/hyperlink" Target="https://www.km.gov.lv/lv/media/444/download?attachment" TargetMode="External"/><Relationship Id="rId31" Type="http://schemas.openxmlformats.org/officeDocument/2006/relationships/hyperlink" Target="https://www.rs.gov.lv/lv/projekts/sinergiskas-drosibas-platformas-izveide-austrumlatvijas-un-lietuvas-pierobeza" TargetMode="External"/><Relationship Id="rId44" Type="http://schemas.openxmlformats.org/officeDocument/2006/relationships/hyperlink" Target="https://home-affairs.ec.europa.eu/document/download/59af3f34-990a-4f82-be4d-e5bf36df4e01_en?filename=2nd%20revised%20Annual%20work%20programme%20ISF%20Police%20for%202016_en.pdf" TargetMode="External"/><Relationship Id="rId52" Type="http://schemas.openxmlformats.org/officeDocument/2006/relationships/hyperlink" Target="https://www.vid.gov.lv/lv/projekts/eiropas-ekonomikas-zonas-granta-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Rezultati_apkopoti.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civittacom-my.sharepoint.com/personal/ingvilda_strala_civitta_com/Documents/Iek&#353;lietu%20ministrija_Fondi_un_EEZ/Iekslietu_fondi/Rezultati_apkopoti.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Rezultati_apkopot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Iek&#353;lietu%20ministrija_Fondi_un_EEZ/Iekslietu_fondi/Aptauja/Rezultati/Grafik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PMIF!$A$5:$A$8</c:f>
              <c:strCache>
                <c:ptCount val="4"/>
                <c:pt idx="0">
                  <c:v>Mērķi daļēji tika sasniegti, un to sasniegšana netiek turpināta</c:v>
                </c:pt>
                <c:pt idx="1">
                  <c:v>Mērķi daļēji tika sasniegti, un to sasniegšana tiek turpināta no valsts budžeta vai cita ārējā finansējuma līdzekļiem</c:v>
                </c:pt>
                <c:pt idx="2">
                  <c:v>Mērķi daļēji tika sasniegti, un to sasniegšana tiek turpināta Programmu 2021.-2027. gada periodā</c:v>
                </c:pt>
                <c:pt idx="3">
                  <c:v>Mērķi tika sasniegti pilnībā</c:v>
                </c:pt>
              </c:strCache>
            </c:strRef>
          </c:cat>
          <c:val>
            <c:numRef>
              <c:f>PMIF!$D$5:$D$8</c:f>
              <c:numCache>
                <c:formatCode>General</c:formatCode>
                <c:ptCount val="4"/>
                <c:pt idx="0">
                  <c:v>1</c:v>
                </c:pt>
                <c:pt idx="1">
                  <c:v>1</c:v>
                </c:pt>
                <c:pt idx="2">
                  <c:v>3</c:v>
                </c:pt>
                <c:pt idx="3">
                  <c:v>14</c:v>
                </c:pt>
              </c:numCache>
            </c:numRef>
          </c:val>
          <c:extLst>
            <c:ext xmlns:c16="http://schemas.microsoft.com/office/drawing/2014/chart" uri="{C3380CC4-5D6E-409C-BE32-E72D297353CC}">
              <c16:uniqueId val="{00000000-7244-4A8B-B884-0910B59F0CCC}"/>
            </c:ext>
          </c:extLst>
        </c:ser>
        <c:dLbls>
          <c:showLegendKey val="0"/>
          <c:showVal val="0"/>
          <c:showCatName val="0"/>
          <c:showSerName val="0"/>
          <c:showPercent val="0"/>
          <c:showBubbleSize val="0"/>
        </c:dLbls>
        <c:gapWidth val="182"/>
        <c:axId val="1158733968"/>
        <c:axId val="1158750768"/>
      </c:barChart>
      <c:catAx>
        <c:axId val="1158733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750768"/>
        <c:crosses val="autoZero"/>
        <c:auto val="1"/>
        <c:lblAlgn val="ctr"/>
        <c:lblOffset val="100"/>
        <c:noMultiLvlLbl val="0"/>
      </c:catAx>
      <c:valAx>
        <c:axId val="1158750768"/>
        <c:scaling>
          <c:orientation val="minMax"/>
        </c:scaling>
        <c:delete val="1"/>
        <c:axPos val="b"/>
        <c:numFmt formatCode="General" sourceLinked="1"/>
        <c:majorTickMark val="none"/>
        <c:minorTickMark val="none"/>
        <c:tickLblPos val="nextTo"/>
        <c:crossAx val="1158733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PMIF!$A$133:$A$137</c:f>
              <c:strCache>
                <c:ptCount val="5"/>
                <c:pt idx="0">
                  <c:v>Cits</c:v>
                </c:pt>
                <c:pt idx="1">
                  <c:v>Nepietiekams finansējums jaunu aktivitāšu īstenošanai</c:v>
                </c:pt>
                <c:pt idx="2">
                  <c:v>Nepietiekami administratīvie resursi (skaidrojumu sagatavošana u.c.)</c:v>
                </c:pt>
                <c:pt idx="3">
                  <c:v>Ilgs grozījumu saskaņošanas process</c:v>
                </c:pt>
                <c:pt idx="4">
                  <c:v>Programmu ierobežojumi jaunu aktivitāšu īstenošanai, kas sākotnēji nav definētas projektā</c:v>
                </c:pt>
              </c:strCache>
            </c:strRef>
          </c:cat>
          <c:val>
            <c:numRef>
              <c:f>PMIF!$B$133:$B$137</c:f>
              <c:numCache>
                <c:formatCode>General</c:formatCode>
                <c:ptCount val="5"/>
                <c:pt idx="0">
                  <c:v>2</c:v>
                </c:pt>
                <c:pt idx="1">
                  <c:v>2</c:v>
                </c:pt>
                <c:pt idx="2">
                  <c:v>3</c:v>
                </c:pt>
                <c:pt idx="3">
                  <c:v>3</c:v>
                </c:pt>
                <c:pt idx="4">
                  <c:v>6</c:v>
                </c:pt>
              </c:numCache>
            </c:numRef>
          </c:val>
          <c:extLst>
            <c:ext xmlns:c16="http://schemas.microsoft.com/office/drawing/2014/chart" uri="{C3380CC4-5D6E-409C-BE32-E72D297353CC}">
              <c16:uniqueId val="{00000000-3D36-453F-942E-69058E9FC9A4}"/>
            </c:ext>
          </c:extLst>
        </c:ser>
        <c:dLbls>
          <c:showLegendKey val="0"/>
          <c:showVal val="0"/>
          <c:showCatName val="0"/>
          <c:showSerName val="0"/>
          <c:showPercent val="0"/>
          <c:showBubbleSize val="0"/>
        </c:dLbls>
        <c:gapWidth val="182"/>
        <c:axId val="214669920"/>
        <c:axId val="214670400"/>
      </c:barChart>
      <c:catAx>
        <c:axId val="214669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70400"/>
        <c:crosses val="autoZero"/>
        <c:auto val="1"/>
        <c:lblAlgn val="ctr"/>
        <c:lblOffset val="100"/>
        <c:noMultiLvlLbl val="0"/>
      </c:catAx>
      <c:valAx>
        <c:axId val="214670400"/>
        <c:scaling>
          <c:orientation val="minMax"/>
        </c:scaling>
        <c:delete val="1"/>
        <c:axPos val="b"/>
        <c:numFmt formatCode="General" sourceLinked="1"/>
        <c:majorTickMark val="none"/>
        <c:minorTickMark val="none"/>
        <c:tickLblPos val="nextTo"/>
        <c:crossAx val="214669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PMIF!$A$151:$A$154</c:f>
              <c:strCache>
                <c:ptCount val="4"/>
                <c:pt idx="0">
                  <c:v>Nezinu / grūti pateikt</c:v>
                </c:pt>
                <c:pt idx="1">
                  <c:v>Drīzāk jā, lielākā daļa aktivitāšu būtu bijušas ieviestas (vai tas būtu noticis ilgākā laika posmā)</c:v>
                </c:pt>
                <c:pt idx="2">
                  <c:v>Drīzāk nē, iespējams, tikai atsevišķas aktivitātes būtu bijušas ieviestas</c:v>
                </c:pt>
                <c:pt idx="3">
                  <c:v>Noteikti nē, bez Programmas/-u finansējuma neviena aktivitāte netiktu ieviesta</c:v>
                </c:pt>
              </c:strCache>
            </c:strRef>
          </c:cat>
          <c:val>
            <c:numRef>
              <c:f>PMIF!$B$151:$B$154</c:f>
              <c:numCache>
                <c:formatCode>General</c:formatCode>
                <c:ptCount val="4"/>
                <c:pt idx="0">
                  <c:v>1</c:v>
                </c:pt>
                <c:pt idx="1">
                  <c:v>1</c:v>
                </c:pt>
                <c:pt idx="2">
                  <c:v>6</c:v>
                </c:pt>
                <c:pt idx="3">
                  <c:v>11</c:v>
                </c:pt>
              </c:numCache>
            </c:numRef>
          </c:val>
          <c:extLst>
            <c:ext xmlns:c16="http://schemas.microsoft.com/office/drawing/2014/chart" uri="{C3380CC4-5D6E-409C-BE32-E72D297353CC}">
              <c16:uniqueId val="{00000000-1A7E-4C70-81C0-032F193DB21E}"/>
            </c:ext>
          </c:extLst>
        </c:ser>
        <c:dLbls>
          <c:showLegendKey val="0"/>
          <c:showVal val="0"/>
          <c:showCatName val="0"/>
          <c:showSerName val="0"/>
          <c:showPercent val="0"/>
          <c:showBubbleSize val="0"/>
        </c:dLbls>
        <c:gapWidth val="182"/>
        <c:axId val="1167373216"/>
        <c:axId val="1167386656"/>
      </c:barChart>
      <c:catAx>
        <c:axId val="1167373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386656"/>
        <c:crosses val="autoZero"/>
        <c:auto val="1"/>
        <c:lblAlgn val="ctr"/>
        <c:lblOffset val="100"/>
        <c:noMultiLvlLbl val="0"/>
      </c:catAx>
      <c:valAx>
        <c:axId val="1167386656"/>
        <c:scaling>
          <c:orientation val="minMax"/>
        </c:scaling>
        <c:delete val="1"/>
        <c:axPos val="b"/>
        <c:numFmt formatCode="General" sourceLinked="1"/>
        <c:majorTickMark val="none"/>
        <c:minorTickMark val="none"/>
        <c:tickLblPos val="nextTo"/>
        <c:crossAx val="11673732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PMIF!$A$168:$A$169</c:f>
              <c:strCache>
                <c:ptCount val="2"/>
                <c:pt idx="0">
                  <c:v>Rezultāti ir ļoti noturīgi</c:v>
                </c:pt>
                <c:pt idx="1">
                  <c:v>Rezultāti drīzāk ir noturīgi</c:v>
                </c:pt>
              </c:strCache>
            </c:strRef>
          </c:cat>
          <c:val>
            <c:numRef>
              <c:f>PMIF!$B$168:$B$169</c:f>
              <c:numCache>
                <c:formatCode>General</c:formatCode>
                <c:ptCount val="2"/>
                <c:pt idx="0">
                  <c:v>8</c:v>
                </c:pt>
                <c:pt idx="1">
                  <c:v>11</c:v>
                </c:pt>
              </c:numCache>
            </c:numRef>
          </c:val>
          <c:extLst>
            <c:ext xmlns:c16="http://schemas.microsoft.com/office/drawing/2014/chart" uri="{C3380CC4-5D6E-409C-BE32-E72D297353CC}">
              <c16:uniqueId val="{00000000-4DEE-424A-A471-538D1E1C8265}"/>
            </c:ext>
          </c:extLst>
        </c:ser>
        <c:dLbls>
          <c:showLegendKey val="0"/>
          <c:showVal val="0"/>
          <c:showCatName val="0"/>
          <c:showSerName val="0"/>
          <c:showPercent val="0"/>
          <c:showBubbleSize val="0"/>
        </c:dLbls>
        <c:gapWidth val="182"/>
        <c:axId val="1158742608"/>
        <c:axId val="1158736368"/>
      </c:barChart>
      <c:catAx>
        <c:axId val="1158742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736368"/>
        <c:crosses val="autoZero"/>
        <c:auto val="1"/>
        <c:lblAlgn val="ctr"/>
        <c:lblOffset val="100"/>
        <c:noMultiLvlLbl val="0"/>
      </c:catAx>
      <c:valAx>
        <c:axId val="1158736368"/>
        <c:scaling>
          <c:orientation val="minMax"/>
        </c:scaling>
        <c:delete val="1"/>
        <c:axPos val="b"/>
        <c:numFmt formatCode="General" sourceLinked="1"/>
        <c:majorTickMark val="none"/>
        <c:minorTickMark val="none"/>
        <c:tickLblPos val="nextTo"/>
        <c:crossAx val="11587426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PMIF!$B$186</c:f>
              <c:strCache>
                <c:ptCount val="1"/>
                <c:pt idx="0">
                  <c:v>Ļoti apdraud</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PMIF!$A$187:$A$193</c:f>
              <c:strCache>
                <c:ptCount val="7"/>
                <c:pt idx="0">
                  <c:v>Ierobežotas iespējas rezultātu mērogošanai vai paplašināšanai</c:v>
                </c:pt>
                <c:pt idx="1">
                  <c:v>Cilvēkresursu trūkums rezultātu uzturēšanai un attīstīšanai</c:v>
                </c:pt>
                <c:pt idx="2">
                  <c:v>Ārējas izmaiņas (piemēram, normatīvo aktu prasības un standarti, tehnoloģiskajos risinājumos)</c:v>
                </c:pt>
                <c:pt idx="3">
                  <c:v>Citi ārējie faktori (piemēram, globālas izmaiņas ekonomikā, ģeopolitiskajā stāvoklī utml.)</c:v>
                </c:pt>
                <c:pt idx="4">
                  <c:v>Vietēja un/vai valstiska līmeņa politiskā atbalsta trūkums rezultātu uzturēšanā</c:v>
                </c:pt>
                <c:pt idx="5">
                  <c:v>Uzsākto aktivitāšu neturpināšana bez papildu ārējā finansējuma</c:v>
                </c:pt>
                <c:pt idx="6">
                  <c:v>Finanšu trūkums projekta rezultātu uzturēšanai</c:v>
                </c:pt>
              </c:strCache>
            </c:strRef>
          </c:cat>
          <c:val>
            <c:numRef>
              <c:f>PMIF!$B$187:$B$193</c:f>
              <c:numCache>
                <c:formatCode>General</c:formatCode>
                <c:ptCount val="7"/>
                <c:pt idx="0">
                  <c:v>3</c:v>
                </c:pt>
                <c:pt idx="1">
                  <c:v>5</c:v>
                </c:pt>
                <c:pt idx="2">
                  <c:v>3</c:v>
                </c:pt>
                <c:pt idx="3">
                  <c:v>3</c:v>
                </c:pt>
                <c:pt idx="4">
                  <c:v>5</c:v>
                </c:pt>
                <c:pt idx="5">
                  <c:v>7</c:v>
                </c:pt>
                <c:pt idx="6">
                  <c:v>8</c:v>
                </c:pt>
              </c:numCache>
            </c:numRef>
          </c:val>
          <c:extLst>
            <c:ext xmlns:c16="http://schemas.microsoft.com/office/drawing/2014/chart" uri="{C3380CC4-5D6E-409C-BE32-E72D297353CC}">
              <c16:uniqueId val="{00000000-69E9-452E-BA83-1CFC34B325A7}"/>
            </c:ext>
          </c:extLst>
        </c:ser>
        <c:ser>
          <c:idx val="1"/>
          <c:order val="1"/>
          <c:tx>
            <c:strRef>
              <c:f>PMIF!$C$186</c:f>
              <c:strCache>
                <c:ptCount val="1"/>
                <c:pt idx="0">
                  <c:v>Drīzāk apdraud</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PMIF!$A$187:$A$193</c:f>
              <c:strCache>
                <c:ptCount val="7"/>
                <c:pt idx="0">
                  <c:v>Ierobežotas iespējas rezultātu mērogošanai vai paplašināšanai</c:v>
                </c:pt>
                <c:pt idx="1">
                  <c:v>Cilvēkresursu trūkums rezultātu uzturēšanai un attīstīšanai</c:v>
                </c:pt>
                <c:pt idx="2">
                  <c:v>Ārējas izmaiņas (piemēram, normatīvo aktu prasības un standarti, tehnoloģiskajos risinājumos)</c:v>
                </c:pt>
                <c:pt idx="3">
                  <c:v>Citi ārējie faktori (piemēram, globālas izmaiņas ekonomikā, ģeopolitiskajā stāvoklī utml.)</c:v>
                </c:pt>
                <c:pt idx="4">
                  <c:v>Vietēja un/vai valstiska līmeņa politiskā atbalsta trūkums rezultātu uzturēšanā</c:v>
                </c:pt>
                <c:pt idx="5">
                  <c:v>Uzsākto aktivitāšu neturpināšana bez papildu ārējā finansējuma</c:v>
                </c:pt>
                <c:pt idx="6">
                  <c:v>Finanšu trūkums projekta rezultātu uzturēšanai</c:v>
                </c:pt>
              </c:strCache>
            </c:strRef>
          </c:cat>
          <c:val>
            <c:numRef>
              <c:f>PMIF!$C$187:$C$193</c:f>
              <c:numCache>
                <c:formatCode>General</c:formatCode>
                <c:ptCount val="7"/>
                <c:pt idx="0">
                  <c:v>4</c:v>
                </c:pt>
                <c:pt idx="1">
                  <c:v>4</c:v>
                </c:pt>
                <c:pt idx="2">
                  <c:v>6</c:v>
                </c:pt>
                <c:pt idx="3">
                  <c:v>9</c:v>
                </c:pt>
                <c:pt idx="4">
                  <c:v>8</c:v>
                </c:pt>
                <c:pt idx="5">
                  <c:v>7</c:v>
                </c:pt>
                <c:pt idx="6">
                  <c:v>6</c:v>
                </c:pt>
              </c:numCache>
            </c:numRef>
          </c:val>
          <c:extLst>
            <c:ext xmlns:c16="http://schemas.microsoft.com/office/drawing/2014/chart" uri="{C3380CC4-5D6E-409C-BE32-E72D297353CC}">
              <c16:uniqueId val="{00000001-69E9-452E-BA83-1CFC34B325A7}"/>
            </c:ext>
          </c:extLst>
        </c:ser>
        <c:ser>
          <c:idx val="2"/>
          <c:order val="2"/>
          <c:tx>
            <c:strRef>
              <c:f>PMIF!$D$186</c:f>
              <c:strCache>
                <c:ptCount val="1"/>
                <c:pt idx="0">
                  <c:v>Drīzāk neapdraud</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PMIF!$A$187:$A$193</c:f>
              <c:strCache>
                <c:ptCount val="7"/>
                <c:pt idx="0">
                  <c:v>Ierobežotas iespējas rezultātu mērogošanai vai paplašināšanai</c:v>
                </c:pt>
                <c:pt idx="1">
                  <c:v>Cilvēkresursu trūkums rezultātu uzturēšanai un attīstīšanai</c:v>
                </c:pt>
                <c:pt idx="2">
                  <c:v>Ārējas izmaiņas (piemēram, normatīvo aktu prasības un standarti, tehnoloģiskajos risinājumos)</c:v>
                </c:pt>
                <c:pt idx="3">
                  <c:v>Citi ārējie faktori (piemēram, globālas izmaiņas ekonomikā, ģeopolitiskajā stāvoklī utml.)</c:v>
                </c:pt>
                <c:pt idx="4">
                  <c:v>Vietēja un/vai valstiska līmeņa politiskā atbalsta trūkums rezultātu uzturēšanā</c:v>
                </c:pt>
                <c:pt idx="5">
                  <c:v>Uzsākto aktivitāšu neturpināšana bez papildu ārējā finansējuma</c:v>
                </c:pt>
                <c:pt idx="6">
                  <c:v>Finanšu trūkums projekta rezultātu uzturēšanai</c:v>
                </c:pt>
              </c:strCache>
            </c:strRef>
          </c:cat>
          <c:val>
            <c:numRef>
              <c:f>PMIF!$D$187:$D$193</c:f>
              <c:numCache>
                <c:formatCode>General</c:formatCode>
                <c:ptCount val="7"/>
                <c:pt idx="0">
                  <c:v>7</c:v>
                </c:pt>
                <c:pt idx="1">
                  <c:v>6</c:v>
                </c:pt>
                <c:pt idx="2">
                  <c:v>6</c:v>
                </c:pt>
                <c:pt idx="3">
                  <c:v>3</c:v>
                </c:pt>
                <c:pt idx="4">
                  <c:v>3</c:v>
                </c:pt>
                <c:pt idx="5">
                  <c:v>2</c:v>
                </c:pt>
                <c:pt idx="6">
                  <c:v>3</c:v>
                </c:pt>
              </c:numCache>
            </c:numRef>
          </c:val>
          <c:extLst>
            <c:ext xmlns:c16="http://schemas.microsoft.com/office/drawing/2014/chart" uri="{C3380CC4-5D6E-409C-BE32-E72D297353CC}">
              <c16:uniqueId val="{00000002-69E9-452E-BA83-1CFC34B325A7}"/>
            </c:ext>
          </c:extLst>
        </c:ser>
        <c:ser>
          <c:idx val="3"/>
          <c:order val="3"/>
          <c:tx>
            <c:strRef>
              <c:f>PMIF!$E$186</c:f>
              <c:strCache>
                <c:ptCount val="1"/>
                <c:pt idx="0">
                  <c:v>Nemaz neapdraud</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PMIF!$A$187:$A$193</c:f>
              <c:strCache>
                <c:ptCount val="7"/>
                <c:pt idx="0">
                  <c:v>Ierobežotas iespējas rezultātu mērogošanai vai paplašināšanai</c:v>
                </c:pt>
                <c:pt idx="1">
                  <c:v>Cilvēkresursu trūkums rezultātu uzturēšanai un attīstīšanai</c:v>
                </c:pt>
                <c:pt idx="2">
                  <c:v>Ārējas izmaiņas (piemēram, normatīvo aktu prasības un standarti, tehnoloģiskajos risinājumos)</c:v>
                </c:pt>
                <c:pt idx="3">
                  <c:v>Citi ārējie faktori (piemēram, globālas izmaiņas ekonomikā, ģeopolitiskajā stāvoklī utml.)</c:v>
                </c:pt>
                <c:pt idx="4">
                  <c:v>Vietēja un/vai valstiska līmeņa politiskā atbalsta trūkums rezultātu uzturēšanā</c:v>
                </c:pt>
                <c:pt idx="5">
                  <c:v>Uzsākto aktivitāšu neturpināšana bez papildu ārējā finansējuma</c:v>
                </c:pt>
                <c:pt idx="6">
                  <c:v>Finanšu trūkums projekta rezultātu uzturēšanai</c:v>
                </c:pt>
              </c:strCache>
            </c:strRef>
          </c:cat>
          <c:val>
            <c:numRef>
              <c:f>PMIF!$E$187:$E$193</c:f>
              <c:numCache>
                <c:formatCode>General</c:formatCode>
                <c:ptCount val="7"/>
                <c:pt idx="1">
                  <c:v>2</c:v>
                </c:pt>
                <c:pt idx="6">
                  <c:v>0</c:v>
                </c:pt>
              </c:numCache>
            </c:numRef>
          </c:val>
          <c:extLst>
            <c:ext xmlns:c16="http://schemas.microsoft.com/office/drawing/2014/chart" uri="{C3380CC4-5D6E-409C-BE32-E72D297353CC}">
              <c16:uniqueId val="{00000003-69E9-452E-BA83-1CFC34B325A7}"/>
            </c:ext>
          </c:extLst>
        </c:ser>
        <c:ser>
          <c:idx val="4"/>
          <c:order val="4"/>
          <c:tx>
            <c:strRef>
              <c:f>PMIF!$F$186</c:f>
              <c:strCache>
                <c:ptCount val="1"/>
                <c:pt idx="0">
                  <c:v>Grūti pateikt/neattiecas</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PMIF!$A$187:$A$193</c:f>
              <c:strCache>
                <c:ptCount val="7"/>
                <c:pt idx="0">
                  <c:v>Ierobežotas iespējas rezultātu mērogošanai vai paplašināšanai</c:v>
                </c:pt>
                <c:pt idx="1">
                  <c:v>Cilvēkresursu trūkums rezultātu uzturēšanai un attīstīšanai</c:v>
                </c:pt>
                <c:pt idx="2">
                  <c:v>Ārējas izmaiņas (piemēram, normatīvo aktu prasības un standarti, tehnoloģiskajos risinājumos)</c:v>
                </c:pt>
                <c:pt idx="3">
                  <c:v>Citi ārējie faktori (piemēram, globālas izmaiņas ekonomikā, ģeopolitiskajā stāvoklī utml.)</c:v>
                </c:pt>
                <c:pt idx="4">
                  <c:v>Vietēja un/vai valstiska līmeņa politiskā atbalsta trūkums rezultātu uzturēšanā</c:v>
                </c:pt>
                <c:pt idx="5">
                  <c:v>Uzsākto aktivitāšu neturpināšana bez papildu ārējā finansējuma</c:v>
                </c:pt>
                <c:pt idx="6">
                  <c:v>Finanšu trūkums projekta rezultātu uzturēšanai</c:v>
                </c:pt>
              </c:strCache>
            </c:strRef>
          </c:cat>
          <c:val>
            <c:numRef>
              <c:f>PMIF!$F$187:$F$193</c:f>
              <c:numCache>
                <c:formatCode>General</c:formatCode>
                <c:ptCount val="7"/>
                <c:pt idx="0">
                  <c:v>5</c:v>
                </c:pt>
                <c:pt idx="1">
                  <c:v>2</c:v>
                </c:pt>
                <c:pt idx="2">
                  <c:v>4</c:v>
                </c:pt>
                <c:pt idx="3">
                  <c:v>4</c:v>
                </c:pt>
                <c:pt idx="4">
                  <c:v>3</c:v>
                </c:pt>
                <c:pt idx="5">
                  <c:v>3</c:v>
                </c:pt>
                <c:pt idx="6">
                  <c:v>2</c:v>
                </c:pt>
              </c:numCache>
            </c:numRef>
          </c:val>
          <c:extLst>
            <c:ext xmlns:c16="http://schemas.microsoft.com/office/drawing/2014/chart" uri="{C3380CC4-5D6E-409C-BE32-E72D297353CC}">
              <c16:uniqueId val="{00000004-69E9-452E-BA83-1CFC34B325A7}"/>
            </c:ext>
          </c:extLst>
        </c:ser>
        <c:dLbls>
          <c:showLegendKey val="0"/>
          <c:showVal val="0"/>
          <c:showCatName val="0"/>
          <c:showSerName val="0"/>
          <c:showPercent val="0"/>
          <c:showBubbleSize val="0"/>
        </c:dLbls>
        <c:gapWidth val="150"/>
        <c:overlap val="100"/>
        <c:axId val="1164828928"/>
        <c:axId val="1164827488"/>
      </c:barChart>
      <c:catAx>
        <c:axId val="1164828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4827488"/>
        <c:crosses val="autoZero"/>
        <c:auto val="1"/>
        <c:lblAlgn val="ctr"/>
        <c:lblOffset val="100"/>
        <c:noMultiLvlLbl val="0"/>
      </c:catAx>
      <c:valAx>
        <c:axId val="1164827488"/>
        <c:scaling>
          <c:orientation val="minMax"/>
        </c:scaling>
        <c:delete val="1"/>
        <c:axPos val="b"/>
        <c:numFmt formatCode="General" sourceLinked="1"/>
        <c:majorTickMark val="none"/>
        <c:minorTickMark val="none"/>
        <c:tickLblPos val="nextTo"/>
        <c:crossAx val="116482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IDF!$A$7:$A$8</c:f>
              <c:strCache>
                <c:ptCount val="2"/>
                <c:pt idx="0">
                  <c:v>Mērķi daļēji tika sasniegti, un to sasniegšana tiek turpināta Programmu 2021.-2027. gada periodā</c:v>
                </c:pt>
                <c:pt idx="1">
                  <c:v>Mērķi tika sasniegti pilnībā</c:v>
                </c:pt>
              </c:strCache>
            </c:strRef>
          </c:cat>
          <c:val>
            <c:numRef>
              <c:f>IDF!$D$7:$D$8</c:f>
              <c:numCache>
                <c:formatCode>General</c:formatCode>
                <c:ptCount val="2"/>
                <c:pt idx="0">
                  <c:v>5</c:v>
                </c:pt>
                <c:pt idx="1">
                  <c:v>7</c:v>
                </c:pt>
              </c:numCache>
            </c:numRef>
          </c:val>
          <c:extLst>
            <c:ext xmlns:c16="http://schemas.microsoft.com/office/drawing/2014/chart" uri="{C3380CC4-5D6E-409C-BE32-E72D297353CC}">
              <c16:uniqueId val="{00000000-08CE-4782-AE29-901283CF1750}"/>
            </c:ext>
          </c:extLst>
        </c:ser>
        <c:dLbls>
          <c:showLegendKey val="0"/>
          <c:showVal val="0"/>
          <c:showCatName val="0"/>
          <c:showSerName val="0"/>
          <c:showPercent val="0"/>
          <c:showBubbleSize val="0"/>
        </c:dLbls>
        <c:gapWidth val="182"/>
        <c:axId val="1158733968"/>
        <c:axId val="1158750768"/>
      </c:barChart>
      <c:catAx>
        <c:axId val="1158733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750768"/>
        <c:crosses val="autoZero"/>
        <c:auto val="1"/>
        <c:lblAlgn val="ctr"/>
        <c:lblOffset val="100"/>
        <c:noMultiLvlLbl val="0"/>
      </c:catAx>
      <c:valAx>
        <c:axId val="1158750768"/>
        <c:scaling>
          <c:orientation val="minMax"/>
        </c:scaling>
        <c:delete val="1"/>
        <c:axPos val="b"/>
        <c:numFmt formatCode="General" sourceLinked="1"/>
        <c:majorTickMark val="none"/>
        <c:minorTickMark val="none"/>
        <c:tickLblPos val="nextTo"/>
        <c:crossAx val="1158733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IDF!$A$21:$A$25</c:f>
              <c:strCache>
                <c:ptCount val="5"/>
                <c:pt idx="0">
                  <c:v>Sadarbība ar citām iestādēm / organizācijām, t.sk. no citām valstīm</c:v>
                </c:pt>
                <c:pt idx="1">
                  <c:v>Savlaicīga projektu aktivitāšu plānošana (piemēram, iepirkumu organizēšanas, projekta atskaišu iesniegšanas)</c:v>
                </c:pt>
                <c:pt idx="2">
                  <c:v>Projekta/-u mērķim atbilstošu speciālistu (ar atbilstošu pieredzi un zināšanām) komandas izveide</c:v>
                </c:pt>
                <c:pt idx="3">
                  <c:v>Regulāra komunikācija un sadarbība ar atbildīgo iestādi problēmjautājumu risināšanā</c:v>
                </c:pt>
                <c:pt idx="4">
                  <c:v>Iepriekšējo projektu pieredzes izmantošana jaunajos projektos</c:v>
                </c:pt>
              </c:strCache>
            </c:strRef>
          </c:cat>
          <c:val>
            <c:numRef>
              <c:f>IDF!$D$21:$D$25</c:f>
              <c:numCache>
                <c:formatCode>General</c:formatCode>
                <c:ptCount val="5"/>
                <c:pt idx="0">
                  <c:v>1</c:v>
                </c:pt>
                <c:pt idx="1">
                  <c:v>6</c:v>
                </c:pt>
                <c:pt idx="2">
                  <c:v>7</c:v>
                </c:pt>
                <c:pt idx="3">
                  <c:v>8</c:v>
                </c:pt>
                <c:pt idx="4">
                  <c:v>10</c:v>
                </c:pt>
              </c:numCache>
            </c:numRef>
          </c:val>
          <c:extLst>
            <c:ext xmlns:c16="http://schemas.microsoft.com/office/drawing/2014/chart" uri="{C3380CC4-5D6E-409C-BE32-E72D297353CC}">
              <c16:uniqueId val="{00000000-4EF2-4BC1-A5D7-4719F229A9B9}"/>
            </c:ext>
          </c:extLst>
        </c:ser>
        <c:dLbls>
          <c:showLegendKey val="0"/>
          <c:showVal val="0"/>
          <c:showCatName val="0"/>
          <c:showSerName val="0"/>
          <c:showPercent val="0"/>
          <c:showBubbleSize val="0"/>
        </c:dLbls>
        <c:gapWidth val="182"/>
        <c:axId val="1166680176"/>
        <c:axId val="1166681136"/>
      </c:barChart>
      <c:catAx>
        <c:axId val="1166680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6681136"/>
        <c:crosses val="autoZero"/>
        <c:auto val="1"/>
        <c:lblAlgn val="ctr"/>
        <c:lblOffset val="100"/>
        <c:noMultiLvlLbl val="0"/>
      </c:catAx>
      <c:valAx>
        <c:axId val="1166681136"/>
        <c:scaling>
          <c:orientation val="minMax"/>
        </c:scaling>
        <c:delete val="1"/>
        <c:axPos val="b"/>
        <c:numFmt formatCode="General" sourceLinked="1"/>
        <c:majorTickMark val="none"/>
        <c:minorTickMark val="none"/>
        <c:tickLblPos val="nextTo"/>
        <c:crossAx val="11666801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IDF!$B$39</c:f>
              <c:strCache>
                <c:ptCount val="1"/>
                <c:pt idx="0">
                  <c:v>Ļoti ietekmēja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IDF!$A$40:$A$45</c:f>
              <c:strCache>
                <c:ptCount val="6"/>
                <c:pt idx="0">
                  <c:v>Piegādātāju / pakalpojuma sniedzēju piesaistes grūtības projekta/-u aktivitāšu īstenošanai</c:v>
                </c:pt>
                <c:pt idx="1">
                  <c:v>Cilvēkresursu trūkums projekta aktivitāšu īstenošanai</c:v>
                </c:pt>
                <c:pt idx="2">
                  <c:v>Covid-19 pandēmijas ierobežojumi</c:v>
                </c:pt>
                <c:pt idx="3">
                  <c:v>Ģeopolitiskās izmaiņas</c:v>
                </c:pt>
                <c:pt idx="4">
                  <c:v>Ar iepirkumu procedūru sagatavošanu un īstenošanu saistīti aspekti </c:v>
                </c:pt>
                <c:pt idx="5">
                  <c:v>Krievijas militārā iebrukuma Ukrainā sekas</c:v>
                </c:pt>
              </c:strCache>
            </c:strRef>
          </c:cat>
          <c:val>
            <c:numRef>
              <c:f>IDF!$B$40:$B$45</c:f>
              <c:numCache>
                <c:formatCode>General</c:formatCode>
                <c:ptCount val="6"/>
                <c:pt idx="1">
                  <c:v>3</c:v>
                </c:pt>
                <c:pt idx="2">
                  <c:v>4</c:v>
                </c:pt>
                <c:pt idx="3">
                  <c:v>5</c:v>
                </c:pt>
                <c:pt idx="4">
                  <c:v>5</c:v>
                </c:pt>
                <c:pt idx="5">
                  <c:v>8</c:v>
                </c:pt>
              </c:numCache>
            </c:numRef>
          </c:val>
          <c:extLst>
            <c:ext xmlns:c16="http://schemas.microsoft.com/office/drawing/2014/chart" uri="{C3380CC4-5D6E-409C-BE32-E72D297353CC}">
              <c16:uniqueId val="{00000000-D001-44C7-9BB3-D31469205020}"/>
            </c:ext>
          </c:extLst>
        </c:ser>
        <c:ser>
          <c:idx val="1"/>
          <c:order val="1"/>
          <c:tx>
            <c:strRef>
              <c:f>IDF!$C$39</c:f>
              <c:strCache>
                <c:ptCount val="1"/>
                <c:pt idx="0">
                  <c:v>Drīzāk ietekmēja</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IDF!$A$40:$A$45</c:f>
              <c:strCache>
                <c:ptCount val="6"/>
                <c:pt idx="0">
                  <c:v>Piegādātāju / pakalpojuma sniedzēju piesaistes grūtības projekta/-u aktivitāšu īstenošanai</c:v>
                </c:pt>
                <c:pt idx="1">
                  <c:v>Cilvēkresursu trūkums projekta aktivitāšu īstenošanai</c:v>
                </c:pt>
                <c:pt idx="2">
                  <c:v>Covid-19 pandēmijas ierobežojumi</c:v>
                </c:pt>
                <c:pt idx="3">
                  <c:v>Ģeopolitiskās izmaiņas</c:v>
                </c:pt>
                <c:pt idx="4">
                  <c:v>Ar iepirkumu procedūru sagatavošanu un īstenošanu saistīti aspekti </c:v>
                </c:pt>
                <c:pt idx="5">
                  <c:v>Krievijas militārā iebrukuma Ukrainā sekas</c:v>
                </c:pt>
              </c:strCache>
            </c:strRef>
          </c:cat>
          <c:val>
            <c:numRef>
              <c:f>IDF!$C$40:$C$45</c:f>
              <c:numCache>
                <c:formatCode>General</c:formatCode>
                <c:ptCount val="6"/>
                <c:pt idx="0">
                  <c:v>7</c:v>
                </c:pt>
                <c:pt idx="1">
                  <c:v>4</c:v>
                </c:pt>
                <c:pt idx="2">
                  <c:v>3</c:v>
                </c:pt>
                <c:pt idx="3">
                  <c:v>4</c:v>
                </c:pt>
                <c:pt idx="4">
                  <c:v>5</c:v>
                </c:pt>
                <c:pt idx="5">
                  <c:v>1</c:v>
                </c:pt>
              </c:numCache>
            </c:numRef>
          </c:val>
          <c:extLst>
            <c:ext xmlns:c16="http://schemas.microsoft.com/office/drawing/2014/chart" uri="{C3380CC4-5D6E-409C-BE32-E72D297353CC}">
              <c16:uniqueId val="{00000001-D001-44C7-9BB3-D31469205020}"/>
            </c:ext>
          </c:extLst>
        </c:ser>
        <c:ser>
          <c:idx val="2"/>
          <c:order val="2"/>
          <c:tx>
            <c:strRef>
              <c:f>IDF!$D$39</c:f>
              <c:strCache>
                <c:ptCount val="1"/>
                <c:pt idx="0">
                  <c:v>Drīzāk neietekmēja</c:v>
                </c:pt>
              </c:strCache>
            </c:strRef>
          </c:tx>
          <c:spPr>
            <a:solidFill>
              <a:schemeClr val="accent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IDF!$A$40:$A$45</c:f>
              <c:strCache>
                <c:ptCount val="6"/>
                <c:pt idx="0">
                  <c:v>Piegādātāju / pakalpojuma sniedzēju piesaistes grūtības projekta/-u aktivitāšu īstenošanai</c:v>
                </c:pt>
                <c:pt idx="1">
                  <c:v>Cilvēkresursu trūkums projekta aktivitāšu īstenošanai</c:v>
                </c:pt>
                <c:pt idx="2">
                  <c:v>Covid-19 pandēmijas ierobežojumi</c:v>
                </c:pt>
                <c:pt idx="3">
                  <c:v>Ģeopolitiskās izmaiņas</c:v>
                </c:pt>
                <c:pt idx="4">
                  <c:v>Ar iepirkumu procedūru sagatavošanu un īstenošanu saistīti aspekti </c:v>
                </c:pt>
                <c:pt idx="5">
                  <c:v>Krievijas militārā iebrukuma Ukrainā sekas</c:v>
                </c:pt>
              </c:strCache>
            </c:strRef>
          </c:cat>
          <c:val>
            <c:numRef>
              <c:f>IDF!$D$40:$D$45</c:f>
              <c:numCache>
                <c:formatCode>General</c:formatCode>
                <c:ptCount val="6"/>
                <c:pt idx="0">
                  <c:v>5</c:v>
                </c:pt>
                <c:pt idx="1">
                  <c:v>4</c:v>
                </c:pt>
                <c:pt idx="2">
                  <c:v>4</c:v>
                </c:pt>
                <c:pt idx="3">
                  <c:v>3</c:v>
                </c:pt>
                <c:pt idx="4">
                  <c:v>2</c:v>
                </c:pt>
                <c:pt idx="5">
                  <c:v>2</c:v>
                </c:pt>
              </c:numCache>
            </c:numRef>
          </c:val>
          <c:extLst>
            <c:ext xmlns:c16="http://schemas.microsoft.com/office/drawing/2014/chart" uri="{C3380CC4-5D6E-409C-BE32-E72D297353CC}">
              <c16:uniqueId val="{00000002-D001-44C7-9BB3-D31469205020}"/>
            </c:ext>
          </c:extLst>
        </c:ser>
        <c:ser>
          <c:idx val="3"/>
          <c:order val="3"/>
          <c:tx>
            <c:strRef>
              <c:f>IDF!$E$39</c:f>
              <c:strCache>
                <c:ptCount val="1"/>
                <c:pt idx="0">
                  <c:v>Nemaz neietekmēja</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IDF!$A$40:$A$45</c:f>
              <c:strCache>
                <c:ptCount val="6"/>
                <c:pt idx="0">
                  <c:v>Piegādātāju / pakalpojuma sniedzēju piesaistes grūtības projekta/-u aktivitāšu īstenošanai</c:v>
                </c:pt>
                <c:pt idx="1">
                  <c:v>Cilvēkresursu trūkums projekta aktivitāšu īstenošanai</c:v>
                </c:pt>
                <c:pt idx="2">
                  <c:v>Covid-19 pandēmijas ierobežojumi</c:v>
                </c:pt>
                <c:pt idx="3">
                  <c:v>Ģeopolitiskās izmaiņas</c:v>
                </c:pt>
                <c:pt idx="4">
                  <c:v>Ar iepirkumu procedūru sagatavošanu un īstenošanu saistīti aspekti </c:v>
                </c:pt>
                <c:pt idx="5">
                  <c:v>Krievijas militārā iebrukuma Ukrainā sekas</c:v>
                </c:pt>
              </c:strCache>
            </c:strRef>
          </c:cat>
          <c:val>
            <c:numRef>
              <c:f>IDF!$E$40:$E$45</c:f>
              <c:numCache>
                <c:formatCode>General</c:formatCode>
                <c:ptCount val="6"/>
                <c:pt idx="2">
                  <c:v>1</c:v>
                </c:pt>
                <c:pt idx="5">
                  <c:v>1</c:v>
                </c:pt>
              </c:numCache>
            </c:numRef>
          </c:val>
          <c:extLst>
            <c:ext xmlns:c16="http://schemas.microsoft.com/office/drawing/2014/chart" uri="{C3380CC4-5D6E-409C-BE32-E72D297353CC}">
              <c16:uniqueId val="{00000003-D001-44C7-9BB3-D31469205020}"/>
            </c:ext>
          </c:extLst>
        </c:ser>
        <c:ser>
          <c:idx val="4"/>
          <c:order val="4"/>
          <c:tx>
            <c:strRef>
              <c:f>IDF!$F$39</c:f>
              <c:strCache>
                <c:ptCount val="1"/>
                <c:pt idx="0">
                  <c:v>Nezinu / grūti pateikt</c:v>
                </c:pt>
              </c:strCache>
            </c:strRef>
          </c:tx>
          <c:spPr>
            <a:solidFill>
              <a:schemeClr val="tx1">
                <a:lumMod val="10000"/>
                <a:lumOff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IDF!$A$40:$A$45</c:f>
              <c:strCache>
                <c:ptCount val="6"/>
                <c:pt idx="0">
                  <c:v>Piegādātāju / pakalpojuma sniedzēju piesaistes grūtības projekta/-u aktivitāšu īstenošanai</c:v>
                </c:pt>
                <c:pt idx="1">
                  <c:v>Cilvēkresursu trūkums projekta aktivitāšu īstenošanai</c:v>
                </c:pt>
                <c:pt idx="2">
                  <c:v>Covid-19 pandēmijas ierobežojumi</c:v>
                </c:pt>
                <c:pt idx="3">
                  <c:v>Ģeopolitiskās izmaiņas</c:v>
                </c:pt>
                <c:pt idx="4">
                  <c:v>Ar iepirkumu procedūru sagatavošanu un īstenošanu saistīti aspekti </c:v>
                </c:pt>
                <c:pt idx="5">
                  <c:v>Krievijas militārā iebrukuma Ukrainā sekas</c:v>
                </c:pt>
              </c:strCache>
            </c:strRef>
          </c:cat>
          <c:val>
            <c:numRef>
              <c:f>IDF!$F$40:$F$45</c:f>
              <c:numCache>
                <c:formatCode>General</c:formatCode>
                <c:ptCount val="6"/>
                <c:pt idx="1">
                  <c:v>1</c:v>
                </c:pt>
              </c:numCache>
            </c:numRef>
          </c:val>
          <c:extLst>
            <c:ext xmlns:c16="http://schemas.microsoft.com/office/drawing/2014/chart" uri="{C3380CC4-5D6E-409C-BE32-E72D297353CC}">
              <c16:uniqueId val="{00000004-D001-44C7-9BB3-D31469205020}"/>
            </c:ext>
          </c:extLst>
        </c:ser>
        <c:dLbls>
          <c:showLegendKey val="0"/>
          <c:showVal val="0"/>
          <c:showCatName val="0"/>
          <c:showSerName val="0"/>
          <c:showPercent val="0"/>
          <c:showBubbleSize val="0"/>
        </c:dLbls>
        <c:gapWidth val="150"/>
        <c:overlap val="100"/>
        <c:axId val="100010160"/>
        <c:axId val="100014960"/>
      </c:barChart>
      <c:catAx>
        <c:axId val="100010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014960"/>
        <c:crosses val="autoZero"/>
        <c:auto val="1"/>
        <c:lblAlgn val="ctr"/>
        <c:lblOffset val="100"/>
        <c:noMultiLvlLbl val="0"/>
      </c:catAx>
      <c:valAx>
        <c:axId val="100014960"/>
        <c:scaling>
          <c:orientation val="minMax"/>
        </c:scaling>
        <c:delete val="1"/>
        <c:axPos val="b"/>
        <c:numFmt formatCode="General" sourceLinked="1"/>
        <c:majorTickMark val="none"/>
        <c:minorTickMark val="none"/>
        <c:tickLblPos val="nextTo"/>
        <c:crossAx val="100010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FIN_IDF_Robezas!$C$14</c:f>
              <c:strCache>
                <c:ptCount val="1"/>
                <c:pt idx="0">
                  <c:v>Plānots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FIN_IDF_Robezas!$B$15:$B$17</c:f>
              <c:strCache>
                <c:ptCount val="3"/>
                <c:pt idx="0">
                  <c:v>SM1 Atbalsts vienotai vīzu politikai</c:v>
                </c:pt>
                <c:pt idx="1">
                  <c:v>SM2 Robežas</c:v>
                </c:pt>
                <c:pt idx="2">
                  <c:v>Tehniskā palīdzība</c:v>
                </c:pt>
              </c:strCache>
            </c:strRef>
          </c:cat>
          <c:val>
            <c:numRef>
              <c:f>FIN_IDF_Robezas!$C$15:$C$17</c:f>
              <c:numCache>
                <c:formatCode>#,##0.00</c:formatCode>
                <c:ptCount val="3"/>
                <c:pt idx="0">
                  <c:v>2.08</c:v>
                </c:pt>
                <c:pt idx="1">
                  <c:v>29.35</c:v>
                </c:pt>
                <c:pt idx="2">
                  <c:v>1.28</c:v>
                </c:pt>
              </c:numCache>
            </c:numRef>
          </c:val>
          <c:extLst>
            <c:ext xmlns:c16="http://schemas.microsoft.com/office/drawing/2014/chart" uri="{C3380CC4-5D6E-409C-BE32-E72D297353CC}">
              <c16:uniqueId val="{00000000-98E7-48A7-A9DA-0B37408FA858}"/>
            </c:ext>
          </c:extLst>
        </c:ser>
        <c:ser>
          <c:idx val="1"/>
          <c:order val="1"/>
          <c:tx>
            <c:strRef>
              <c:f>FIN_IDF_Robezas!$D$14</c:f>
              <c:strCache>
                <c:ptCount val="1"/>
                <c:pt idx="0">
                  <c:v>Apgūts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FIN_IDF_Robezas!$B$15:$B$17</c:f>
              <c:strCache>
                <c:ptCount val="3"/>
                <c:pt idx="0">
                  <c:v>SM1 Atbalsts vienotai vīzu politikai</c:v>
                </c:pt>
                <c:pt idx="1">
                  <c:v>SM2 Robežas</c:v>
                </c:pt>
                <c:pt idx="2">
                  <c:v>Tehniskā palīdzība</c:v>
                </c:pt>
              </c:strCache>
            </c:strRef>
          </c:cat>
          <c:val>
            <c:numRef>
              <c:f>FIN_IDF_Robezas!$D$15:$D$17</c:f>
              <c:numCache>
                <c:formatCode>#,##0.00</c:formatCode>
                <c:ptCount val="3"/>
                <c:pt idx="0">
                  <c:v>1.9</c:v>
                </c:pt>
                <c:pt idx="1">
                  <c:v>21.57</c:v>
                </c:pt>
                <c:pt idx="2">
                  <c:v>1.28</c:v>
                </c:pt>
              </c:numCache>
            </c:numRef>
          </c:val>
          <c:extLst>
            <c:ext xmlns:c16="http://schemas.microsoft.com/office/drawing/2014/chart" uri="{C3380CC4-5D6E-409C-BE32-E72D297353CC}">
              <c16:uniqueId val="{00000001-98E7-48A7-A9DA-0B37408FA858}"/>
            </c:ext>
          </c:extLst>
        </c:ser>
        <c:dLbls>
          <c:dLblPos val="outEnd"/>
          <c:showLegendKey val="0"/>
          <c:showVal val="1"/>
          <c:showCatName val="0"/>
          <c:showSerName val="0"/>
          <c:showPercent val="0"/>
          <c:showBubbleSize val="0"/>
        </c:dLbls>
        <c:gapWidth val="219"/>
        <c:overlap val="-27"/>
        <c:axId val="377491552"/>
        <c:axId val="377494912"/>
      </c:barChart>
      <c:catAx>
        <c:axId val="37749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494912"/>
        <c:crosses val="autoZero"/>
        <c:auto val="1"/>
        <c:lblAlgn val="ctr"/>
        <c:lblOffset val="100"/>
        <c:noMultiLvlLbl val="0"/>
      </c:catAx>
      <c:valAx>
        <c:axId val="377494912"/>
        <c:scaling>
          <c:orientation val="minMax"/>
        </c:scaling>
        <c:delete val="1"/>
        <c:axPos val="l"/>
        <c:numFmt formatCode="#,##0.00" sourceLinked="1"/>
        <c:majorTickMark val="none"/>
        <c:minorTickMark val="none"/>
        <c:tickLblPos val="nextTo"/>
        <c:crossAx val="377491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IDF!$A$55:$A$57</c:f>
              <c:strCache>
                <c:ptCount val="3"/>
                <c:pt idx="0">
                  <c:v>Finansējums nebija atbilstošs</c:v>
                </c:pt>
                <c:pt idx="1">
                  <c:v>Finansējums bija daļēji atbilstošs</c:v>
                </c:pt>
                <c:pt idx="2">
                  <c:v>Finansējums bija pilnībā atbilstošs</c:v>
                </c:pt>
              </c:strCache>
            </c:strRef>
          </c:cat>
          <c:val>
            <c:numRef>
              <c:f>IDF!$B$55:$B$57</c:f>
              <c:numCache>
                <c:formatCode>General</c:formatCode>
                <c:ptCount val="3"/>
                <c:pt idx="0">
                  <c:v>1</c:v>
                </c:pt>
                <c:pt idx="1">
                  <c:v>2</c:v>
                </c:pt>
                <c:pt idx="2">
                  <c:v>9</c:v>
                </c:pt>
              </c:numCache>
            </c:numRef>
          </c:val>
          <c:extLst>
            <c:ext xmlns:c16="http://schemas.microsoft.com/office/drawing/2014/chart" uri="{C3380CC4-5D6E-409C-BE32-E72D297353CC}">
              <c16:uniqueId val="{00000000-1759-4EE3-9686-9C057134B93D}"/>
            </c:ext>
          </c:extLst>
        </c:ser>
        <c:dLbls>
          <c:showLegendKey val="0"/>
          <c:showVal val="0"/>
          <c:showCatName val="0"/>
          <c:showSerName val="0"/>
          <c:showPercent val="0"/>
          <c:showBubbleSize val="0"/>
        </c:dLbls>
        <c:gapWidth val="182"/>
        <c:axId val="1503002944"/>
        <c:axId val="1503003904"/>
      </c:barChart>
      <c:catAx>
        <c:axId val="1503002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003904"/>
        <c:crosses val="autoZero"/>
        <c:auto val="1"/>
        <c:lblAlgn val="ctr"/>
        <c:lblOffset val="100"/>
        <c:noMultiLvlLbl val="0"/>
      </c:catAx>
      <c:valAx>
        <c:axId val="1503003904"/>
        <c:scaling>
          <c:orientation val="minMax"/>
        </c:scaling>
        <c:delete val="1"/>
        <c:axPos val="b"/>
        <c:numFmt formatCode="General" sourceLinked="1"/>
        <c:majorTickMark val="none"/>
        <c:minorTickMark val="none"/>
        <c:tickLblPos val="nextTo"/>
        <c:crossAx val="1503002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IDF!$A$68:$A$72</c:f>
              <c:strCache>
                <c:ptCount val="5"/>
                <c:pt idx="0">
                  <c:v>Izvēlēto pasākumu un aktivitāšu izmaksu efektivitāte</c:v>
                </c:pt>
                <c:pt idx="1">
                  <c:v>Pierādīta pasākuma efektivitāte noteikto mērķu sasniegšanai, ko apliecina, piemēram, citu valstu pieredze vai zinātniskie pētījumi</c:v>
                </c:pt>
                <c:pt idx="2">
                  <c:v>Iepriekšēja iestādes / organizācijas / mērķa grupu vajadzību izpēte</c:v>
                </c:pt>
                <c:pt idx="3">
                  <c:v>Ārēji noteiktās prasības (piemēram, ES regulās, nacionālajos normatīvajos aktos vai plānošanas dokumentos noteiktās prasības)</c:v>
                </c:pt>
                <c:pt idx="4">
                  <c:v>Finansējuma saņēmēja līdzšinējā pieredze līdzīgu pasākumu īstenošanā</c:v>
                </c:pt>
              </c:strCache>
            </c:strRef>
          </c:cat>
          <c:val>
            <c:numRef>
              <c:f>IDF!$B$68:$B$72</c:f>
              <c:numCache>
                <c:formatCode>General</c:formatCode>
                <c:ptCount val="5"/>
                <c:pt idx="0">
                  <c:v>1</c:v>
                </c:pt>
                <c:pt idx="1">
                  <c:v>2</c:v>
                </c:pt>
                <c:pt idx="2">
                  <c:v>8</c:v>
                </c:pt>
                <c:pt idx="3">
                  <c:v>10</c:v>
                </c:pt>
                <c:pt idx="4">
                  <c:v>11</c:v>
                </c:pt>
              </c:numCache>
            </c:numRef>
          </c:val>
          <c:extLst>
            <c:ext xmlns:c16="http://schemas.microsoft.com/office/drawing/2014/chart" uri="{C3380CC4-5D6E-409C-BE32-E72D297353CC}">
              <c16:uniqueId val="{00000000-5510-4440-9F40-F7285D004C2F}"/>
            </c:ext>
          </c:extLst>
        </c:ser>
        <c:dLbls>
          <c:showLegendKey val="0"/>
          <c:showVal val="0"/>
          <c:showCatName val="0"/>
          <c:showSerName val="0"/>
          <c:showPercent val="0"/>
          <c:showBubbleSize val="0"/>
        </c:dLbls>
        <c:gapWidth val="182"/>
        <c:axId val="382039632"/>
        <c:axId val="382036272"/>
      </c:barChart>
      <c:catAx>
        <c:axId val="382039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036272"/>
        <c:crosses val="autoZero"/>
        <c:auto val="1"/>
        <c:lblAlgn val="ctr"/>
        <c:lblOffset val="100"/>
        <c:noMultiLvlLbl val="0"/>
      </c:catAx>
      <c:valAx>
        <c:axId val="382036272"/>
        <c:scaling>
          <c:orientation val="minMax"/>
        </c:scaling>
        <c:delete val="1"/>
        <c:axPos val="b"/>
        <c:numFmt formatCode="General" sourceLinked="1"/>
        <c:majorTickMark val="none"/>
        <c:minorTickMark val="none"/>
        <c:tickLblPos val="nextTo"/>
        <c:crossAx val="3820396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PMIF!$A$21:$A$25</c:f>
              <c:strCache>
                <c:ptCount val="5"/>
                <c:pt idx="0">
                  <c:v>Sadarbība ar citām iestādēm / organizācijām, t.sk. no citām valstīm</c:v>
                </c:pt>
                <c:pt idx="1">
                  <c:v>Savlaicīga projektu aktivitāšu plānošana (piemēram, iepirkumu organizēšanas, projekta atskaišu iesniegšanas)</c:v>
                </c:pt>
                <c:pt idx="2">
                  <c:v>Regulāra komunikācija un sadarbība ar atbildīgo / deleģēto iestādi problēmjautājumu risināšanā</c:v>
                </c:pt>
                <c:pt idx="3">
                  <c:v>Projekta/-u mērķim atbilstošu speciālistu (ar atbilstošu pieredzi un zināšanām) komandas izveide</c:v>
                </c:pt>
                <c:pt idx="4">
                  <c:v>Iepriekšējo projektu pieredzes izmantošana jaunajos projektos</c:v>
                </c:pt>
              </c:strCache>
            </c:strRef>
          </c:cat>
          <c:val>
            <c:numRef>
              <c:f>PMIF!$D$21:$D$25</c:f>
              <c:numCache>
                <c:formatCode>General</c:formatCode>
                <c:ptCount val="5"/>
                <c:pt idx="0">
                  <c:v>4</c:v>
                </c:pt>
                <c:pt idx="1">
                  <c:v>6</c:v>
                </c:pt>
                <c:pt idx="2">
                  <c:v>11</c:v>
                </c:pt>
                <c:pt idx="3">
                  <c:v>15</c:v>
                </c:pt>
                <c:pt idx="4">
                  <c:v>15</c:v>
                </c:pt>
              </c:numCache>
            </c:numRef>
          </c:val>
          <c:extLst>
            <c:ext xmlns:c16="http://schemas.microsoft.com/office/drawing/2014/chart" uri="{C3380CC4-5D6E-409C-BE32-E72D297353CC}">
              <c16:uniqueId val="{00000000-82D4-4BE0-BC93-090F539C7AB4}"/>
            </c:ext>
          </c:extLst>
        </c:ser>
        <c:dLbls>
          <c:showLegendKey val="0"/>
          <c:showVal val="0"/>
          <c:showCatName val="0"/>
          <c:showSerName val="0"/>
          <c:showPercent val="0"/>
          <c:showBubbleSize val="0"/>
        </c:dLbls>
        <c:gapWidth val="182"/>
        <c:axId val="1166680176"/>
        <c:axId val="1166681136"/>
      </c:barChart>
      <c:catAx>
        <c:axId val="1166680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6681136"/>
        <c:crosses val="autoZero"/>
        <c:auto val="1"/>
        <c:lblAlgn val="ctr"/>
        <c:lblOffset val="100"/>
        <c:noMultiLvlLbl val="0"/>
      </c:catAx>
      <c:valAx>
        <c:axId val="1166681136"/>
        <c:scaling>
          <c:orientation val="minMax"/>
        </c:scaling>
        <c:delete val="1"/>
        <c:axPos val="b"/>
        <c:numFmt formatCode="General" sourceLinked="1"/>
        <c:majorTickMark val="none"/>
        <c:minorTickMark val="none"/>
        <c:tickLblPos val="nextTo"/>
        <c:crossAx val="11666801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IDF!$A$88:$A$97</c:f>
              <c:strCache>
                <c:ptCount val="10"/>
                <c:pt idx="0">
                  <c:v>Nezinu / grūti pateikt</c:v>
                </c:pt>
                <c:pt idx="1">
                  <c:v>Administratīvās procedūras projekta/-u īstenošanas gaitu neietekmēja</c:v>
                </c:pt>
                <c:pt idx="2">
                  <c:v>Savlaicīgas informācijas trūkums par Programmās paredzētajām izmaiņām </c:v>
                </c:pt>
                <c:pt idx="3">
                  <c:v>Iespējas nodrošināt projekta administrēšanai nepieciešamo personāla kapacitāti</c:v>
                </c:pt>
                <c:pt idx="4">
                  <c:v>Saskaņojumu un lēmumu saņemšanas ilgums no uzraugošajām iestādēm par projekta gaitā radušos problēmsituāciju risinājumiem</c:v>
                </c:pt>
                <c:pt idx="5">
                  <c:v>Projekta/-u atskaišu iesniegšanas biežums un ietveramās informācijas detalizācija</c:v>
                </c:pt>
                <c:pt idx="6">
                  <c:v>Vienotas projektu uzraudzības sistēmas trūkums dokumentu iesniegšanai un informācijas ievadei</c:v>
                </c:pt>
                <c:pt idx="7">
                  <c:v>Projekta/-u līguma un projekta iesnieguma formas grozījumu veikšana</c:v>
                </c:pt>
                <c:pt idx="8">
                  <c:v>Iepirkumu procedūru īstenošana </c:v>
                </c:pt>
                <c:pt idx="9">
                  <c:v>Iepirkumu procedūras dokumentācijas sagatavošana</c:v>
                </c:pt>
              </c:strCache>
            </c:strRef>
          </c:cat>
          <c:val>
            <c:numRef>
              <c:f>IDF!$B$88:$B$97</c:f>
              <c:numCache>
                <c:formatCode>General</c:formatCode>
                <c:ptCount val="10"/>
                <c:pt idx="0">
                  <c:v>1</c:v>
                </c:pt>
                <c:pt idx="2">
                  <c:v>1</c:v>
                </c:pt>
                <c:pt idx="3">
                  <c:v>2</c:v>
                </c:pt>
                <c:pt idx="4">
                  <c:v>3</c:v>
                </c:pt>
                <c:pt idx="5">
                  <c:v>3</c:v>
                </c:pt>
                <c:pt idx="6">
                  <c:v>4</c:v>
                </c:pt>
                <c:pt idx="7">
                  <c:v>5</c:v>
                </c:pt>
                <c:pt idx="8">
                  <c:v>6</c:v>
                </c:pt>
                <c:pt idx="9">
                  <c:v>7</c:v>
                </c:pt>
              </c:numCache>
            </c:numRef>
          </c:val>
          <c:extLst>
            <c:ext xmlns:c16="http://schemas.microsoft.com/office/drawing/2014/chart" uri="{C3380CC4-5D6E-409C-BE32-E72D297353CC}">
              <c16:uniqueId val="{00000000-230B-45C5-957B-AD8DDBC24D03}"/>
            </c:ext>
          </c:extLst>
        </c:ser>
        <c:dLbls>
          <c:showLegendKey val="0"/>
          <c:showVal val="0"/>
          <c:showCatName val="0"/>
          <c:showSerName val="0"/>
          <c:showPercent val="0"/>
          <c:showBubbleSize val="0"/>
        </c:dLbls>
        <c:gapWidth val="182"/>
        <c:axId val="77435376"/>
        <c:axId val="77435856"/>
      </c:barChart>
      <c:catAx>
        <c:axId val="77435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7435856"/>
        <c:crosses val="autoZero"/>
        <c:auto val="1"/>
        <c:lblAlgn val="ctr"/>
        <c:lblOffset val="100"/>
        <c:noMultiLvlLbl val="0"/>
      </c:catAx>
      <c:valAx>
        <c:axId val="77435856"/>
        <c:scaling>
          <c:orientation val="minMax"/>
        </c:scaling>
        <c:delete val="1"/>
        <c:axPos val="b"/>
        <c:numFmt formatCode="General" sourceLinked="1"/>
        <c:majorTickMark val="none"/>
        <c:minorTickMark val="none"/>
        <c:tickLblPos val="nextTo"/>
        <c:crossAx val="77435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IDF!$B$108</c:f>
              <c:strCache>
                <c:ptCount val="1"/>
                <c:pt idx="0">
                  <c:v>Programmu administratīvais slogs ir mazāks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IDF!$A$109:$A$110</c:f>
              <c:strCache>
                <c:ptCount val="2"/>
                <c:pt idx="0">
                  <c:v>Esošo 2021.-2027. gada plānošanas periodu</c:v>
                </c:pt>
                <c:pt idx="1">
                  <c:v>Iepriekšējo 2007-2013. gada plānošanas periodu </c:v>
                </c:pt>
              </c:strCache>
            </c:strRef>
          </c:cat>
          <c:val>
            <c:numRef>
              <c:f>IDF!$B$109:$B$110</c:f>
              <c:numCache>
                <c:formatCode>General</c:formatCode>
                <c:ptCount val="2"/>
              </c:numCache>
            </c:numRef>
          </c:val>
          <c:extLst>
            <c:ext xmlns:c16="http://schemas.microsoft.com/office/drawing/2014/chart" uri="{C3380CC4-5D6E-409C-BE32-E72D297353CC}">
              <c16:uniqueId val="{00000000-3B93-4D1F-BD4D-7255206D360B}"/>
            </c:ext>
          </c:extLst>
        </c:ser>
        <c:ser>
          <c:idx val="1"/>
          <c:order val="1"/>
          <c:tx>
            <c:strRef>
              <c:f>IDF!$C$108</c:f>
              <c:strCache>
                <c:ptCount val="1"/>
                <c:pt idx="0">
                  <c:v>Programmu administratīvais slogs ir drīzāk mazāks</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IDF!$A$109:$A$110</c:f>
              <c:strCache>
                <c:ptCount val="2"/>
                <c:pt idx="0">
                  <c:v>Esošo 2021.-2027. gada plānošanas periodu</c:v>
                </c:pt>
                <c:pt idx="1">
                  <c:v>Iepriekšējo 2007-2013. gada plānošanas periodu </c:v>
                </c:pt>
              </c:strCache>
            </c:strRef>
          </c:cat>
          <c:val>
            <c:numRef>
              <c:f>IDF!$C$109:$C$110</c:f>
              <c:numCache>
                <c:formatCode>General</c:formatCode>
                <c:ptCount val="2"/>
                <c:pt idx="0">
                  <c:v>4</c:v>
                </c:pt>
                <c:pt idx="1">
                  <c:v>1</c:v>
                </c:pt>
              </c:numCache>
            </c:numRef>
          </c:val>
          <c:extLst>
            <c:ext xmlns:c16="http://schemas.microsoft.com/office/drawing/2014/chart" uri="{C3380CC4-5D6E-409C-BE32-E72D297353CC}">
              <c16:uniqueId val="{00000001-3B93-4D1F-BD4D-7255206D360B}"/>
            </c:ext>
          </c:extLst>
        </c:ser>
        <c:ser>
          <c:idx val="2"/>
          <c:order val="2"/>
          <c:tx>
            <c:strRef>
              <c:f>IDF!$D$108</c:f>
              <c:strCache>
                <c:ptCount val="1"/>
                <c:pt idx="0">
                  <c:v>Programmu administratīvais slogs ir drīzāk lielāks</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IDF!$A$109:$A$110</c:f>
              <c:strCache>
                <c:ptCount val="2"/>
                <c:pt idx="0">
                  <c:v>Esošo 2021.-2027. gada plānošanas periodu</c:v>
                </c:pt>
                <c:pt idx="1">
                  <c:v>Iepriekšējo 2007-2013. gada plānošanas periodu </c:v>
                </c:pt>
              </c:strCache>
            </c:strRef>
          </c:cat>
          <c:val>
            <c:numRef>
              <c:f>IDF!$D$109:$D$110</c:f>
              <c:numCache>
                <c:formatCode>General</c:formatCode>
                <c:ptCount val="2"/>
                <c:pt idx="0">
                  <c:v>4</c:v>
                </c:pt>
                <c:pt idx="1">
                  <c:v>3</c:v>
                </c:pt>
              </c:numCache>
            </c:numRef>
          </c:val>
          <c:extLst>
            <c:ext xmlns:c16="http://schemas.microsoft.com/office/drawing/2014/chart" uri="{C3380CC4-5D6E-409C-BE32-E72D297353CC}">
              <c16:uniqueId val="{00000002-3B93-4D1F-BD4D-7255206D360B}"/>
            </c:ext>
          </c:extLst>
        </c:ser>
        <c:ser>
          <c:idx val="3"/>
          <c:order val="3"/>
          <c:tx>
            <c:strRef>
              <c:f>IDF!$E$108</c:f>
              <c:strCache>
                <c:ptCount val="1"/>
                <c:pt idx="0">
                  <c:v>Programmu administratīvais slogs ir lielāks</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IDF!$A$109:$A$110</c:f>
              <c:strCache>
                <c:ptCount val="2"/>
                <c:pt idx="0">
                  <c:v>Esošo 2021.-2027. gada plānošanas periodu</c:v>
                </c:pt>
                <c:pt idx="1">
                  <c:v>Iepriekšējo 2007-2013. gada plānošanas periodu </c:v>
                </c:pt>
              </c:strCache>
            </c:strRef>
          </c:cat>
          <c:val>
            <c:numRef>
              <c:f>IDF!$E$109:$E$110</c:f>
              <c:numCache>
                <c:formatCode>General</c:formatCode>
                <c:ptCount val="2"/>
                <c:pt idx="0">
                  <c:v>1</c:v>
                </c:pt>
                <c:pt idx="1">
                  <c:v>1</c:v>
                </c:pt>
              </c:numCache>
            </c:numRef>
          </c:val>
          <c:extLst>
            <c:ext xmlns:c16="http://schemas.microsoft.com/office/drawing/2014/chart" uri="{C3380CC4-5D6E-409C-BE32-E72D297353CC}">
              <c16:uniqueId val="{00000003-3B93-4D1F-BD4D-7255206D360B}"/>
            </c:ext>
          </c:extLst>
        </c:ser>
        <c:ser>
          <c:idx val="4"/>
          <c:order val="4"/>
          <c:tx>
            <c:strRef>
              <c:f>IDF!$F$108</c:f>
              <c:strCache>
                <c:ptCount val="1"/>
                <c:pt idx="0">
                  <c:v>Nezinu / nav īstenojis projektu šajā periodā</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IDF!$A$109:$A$110</c:f>
              <c:strCache>
                <c:ptCount val="2"/>
                <c:pt idx="0">
                  <c:v>Esošo 2021.-2027. gada plānošanas periodu</c:v>
                </c:pt>
                <c:pt idx="1">
                  <c:v>Iepriekšējo 2007-2013. gada plānošanas periodu </c:v>
                </c:pt>
              </c:strCache>
            </c:strRef>
          </c:cat>
          <c:val>
            <c:numRef>
              <c:f>IDF!$F$109:$F$110</c:f>
              <c:numCache>
                <c:formatCode>General</c:formatCode>
                <c:ptCount val="2"/>
                <c:pt idx="0">
                  <c:v>3</c:v>
                </c:pt>
                <c:pt idx="1">
                  <c:v>7</c:v>
                </c:pt>
              </c:numCache>
            </c:numRef>
          </c:val>
          <c:extLst>
            <c:ext xmlns:c16="http://schemas.microsoft.com/office/drawing/2014/chart" uri="{C3380CC4-5D6E-409C-BE32-E72D297353CC}">
              <c16:uniqueId val="{00000004-3B93-4D1F-BD4D-7255206D360B}"/>
            </c:ext>
          </c:extLst>
        </c:ser>
        <c:dLbls>
          <c:showLegendKey val="0"/>
          <c:showVal val="0"/>
          <c:showCatName val="0"/>
          <c:showSerName val="0"/>
          <c:showPercent val="0"/>
          <c:showBubbleSize val="0"/>
        </c:dLbls>
        <c:gapWidth val="150"/>
        <c:overlap val="100"/>
        <c:axId val="1509610992"/>
        <c:axId val="1509611472"/>
      </c:barChart>
      <c:catAx>
        <c:axId val="1509610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9611472"/>
        <c:crosses val="autoZero"/>
        <c:auto val="1"/>
        <c:lblAlgn val="ctr"/>
        <c:lblOffset val="100"/>
        <c:noMultiLvlLbl val="0"/>
      </c:catAx>
      <c:valAx>
        <c:axId val="1509611472"/>
        <c:scaling>
          <c:orientation val="minMax"/>
        </c:scaling>
        <c:delete val="1"/>
        <c:axPos val="b"/>
        <c:numFmt formatCode="General" sourceLinked="1"/>
        <c:majorTickMark val="none"/>
        <c:minorTickMark val="none"/>
        <c:tickLblPos val="nextTo"/>
        <c:crossAx val="150961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IDF!$A$121:$A$123</c:f>
              <c:strCache>
                <c:ptCount val="3"/>
                <c:pt idx="0">
                  <c:v>Jaunas aktivitātes projektā/-os nebija nepieciešams pievienot</c:v>
                </c:pt>
                <c:pt idx="1">
                  <c:v>Drīzāk sarežģīti</c:v>
                </c:pt>
                <c:pt idx="2">
                  <c:v>Drīzāk viegli</c:v>
                </c:pt>
              </c:strCache>
            </c:strRef>
          </c:cat>
          <c:val>
            <c:numRef>
              <c:f>IDF!$B$121:$B$123</c:f>
              <c:numCache>
                <c:formatCode>General</c:formatCode>
                <c:ptCount val="3"/>
                <c:pt idx="0">
                  <c:v>1</c:v>
                </c:pt>
                <c:pt idx="1">
                  <c:v>4</c:v>
                </c:pt>
                <c:pt idx="2">
                  <c:v>7</c:v>
                </c:pt>
              </c:numCache>
            </c:numRef>
          </c:val>
          <c:extLst>
            <c:ext xmlns:c16="http://schemas.microsoft.com/office/drawing/2014/chart" uri="{C3380CC4-5D6E-409C-BE32-E72D297353CC}">
              <c16:uniqueId val="{00000000-1509-4053-A9CB-D0E052E078E6}"/>
            </c:ext>
          </c:extLst>
        </c:ser>
        <c:dLbls>
          <c:showLegendKey val="0"/>
          <c:showVal val="0"/>
          <c:showCatName val="0"/>
          <c:showSerName val="0"/>
          <c:showPercent val="0"/>
          <c:showBubbleSize val="0"/>
        </c:dLbls>
        <c:gapWidth val="182"/>
        <c:axId val="75429744"/>
        <c:axId val="75428784"/>
      </c:barChart>
      <c:catAx>
        <c:axId val="75429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28784"/>
        <c:crosses val="autoZero"/>
        <c:auto val="1"/>
        <c:lblAlgn val="ctr"/>
        <c:lblOffset val="100"/>
        <c:noMultiLvlLbl val="0"/>
      </c:catAx>
      <c:valAx>
        <c:axId val="75428784"/>
        <c:scaling>
          <c:orientation val="minMax"/>
        </c:scaling>
        <c:delete val="1"/>
        <c:axPos val="b"/>
        <c:numFmt formatCode="General" sourceLinked="1"/>
        <c:majorTickMark val="none"/>
        <c:minorTickMark val="none"/>
        <c:tickLblPos val="nextTo"/>
        <c:crossAx val="754297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IDF!$A$133:$A$137</c:f>
              <c:strCache>
                <c:ptCount val="5"/>
                <c:pt idx="0">
                  <c:v>Cits</c:v>
                </c:pt>
                <c:pt idx="1">
                  <c:v>Nepietiekams finansējums jaunu aktivitāšu īstenošanai</c:v>
                </c:pt>
                <c:pt idx="2">
                  <c:v>Programmu ierobežojumi jaunu aktivitāšu īstenošanai, kas sākotnēji nav definētas projektā</c:v>
                </c:pt>
                <c:pt idx="3">
                  <c:v>Nepietiekami administratīvie resursi (skaidrojumu sagatavošana u.c.)</c:v>
                </c:pt>
                <c:pt idx="4">
                  <c:v>Ilgs grozījumu saskaņošanas process</c:v>
                </c:pt>
              </c:strCache>
            </c:strRef>
          </c:cat>
          <c:val>
            <c:numRef>
              <c:f>IDF!$B$133:$B$137</c:f>
              <c:numCache>
                <c:formatCode>General</c:formatCode>
                <c:ptCount val="5"/>
                <c:pt idx="0">
                  <c:v>1</c:v>
                </c:pt>
                <c:pt idx="1">
                  <c:v>1</c:v>
                </c:pt>
                <c:pt idx="2">
                  <c:v>1</c:v>
                </c:pt>
                <c:pt idx="3">
                  <c:v>3</c:v>
                </c:pt>
                <c:pt idx="4">
                  <c:v>4</c:v>
                </c:pt>
              </c:numCache>
            </c:numRef>
          </c:val>
          <c:extLst>
            <c:ext xmlns:c16="http://schemas.microsoft.com/office/drawing/2014/chart" uri="{C3380CC4-5D6E-409C-BE32-E72D297353CC}">
              <c16:uniqueId val="{00000000-5CD0-45FF-8CAF-3C572EE8CBB8}"/>
            </c:ext>
          </c:extLst>
        </c:ser>
        <c:dLbls>
          <c:showLegendKey val="0"/>
          <c:showVal val="0"/>
          <c:showCatName val="0"/>
          <c:showSerName val="0"/>
          <c:showPercent val="0"/>
          <c:showBubbleSize val="0"/>
        </c:dLbls>
        <c:gapWidth val="182"/>
        <c:axId val="214669920"/>
        <c:axId val="214670400"/>
      </c:barChart>
      <c:catAx>
        <c:axId val="214669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70400"/>
        <c:crosses val="autoZero"/>
        <c:auto val="1"/>
        <c:lblAlgn val="ctr"/>
        <c:lblOffset val="100"/>
        <c:noMultiLvlLbl val="0"/>
      </c:catAx>
      <c:valAx>
        <c:axId val="214670400"/>
        <c:scaling>
          <c:orientation val="minMax"/>
        </c:scaling>
        <c:delete val="1"/>
        <c:axPos val="b"/>
        <c:numFmt formatCode="General" sourceLinked="1"/>
        <c:majorTickMark val="none"/>
        <c:minorTickMark val="none"/>
        <c:tickLblPos val="nextTo"/>
        <c:crossAx val="214669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IDF!$A$153:$A$154</c:f>
              <c:strCache>
                <c:ptCount val="2"/>
                <c:pt idx="0">
                  <c:v>Noteikti nē, bez Programmas/-u finansējuma neviena aktivitāte netiktu ieviesta</c:v>
                </c:pt>
                <c:pt idx="1">
                  <c:v>Drīzāk nē, iespējams, tikai atsevišķas aktivitātes būtu bijušas ieviestas</c:v>
                </c:pt>
              </c:strCache>
            </c:strRef>
          </c:cat>
          <c:val>
            <c:numRef>
              <c:f>IDF!$B$153:$B$154</c:f>
              <c:numCache>
                <c:formatCode>General</c:formatCode>
                <c:ptCount val="2"/>
                <c:pt idx="0">
                  <c:v>4</c:v>
                </c:pt>
                <c:pt idx="1">
                  <c:v>8</c:v>
                </c:pt>
              </c:numCache>
            </c:numRef>
          </c:val>
          <c:extLst>
            <c:ext xmlns:c16="http://schemas.microsoft.com/office/drawing/2014/chart" uri="{C3380CC4-5D6E-409C-BE32-E72D297353CC}">
              <c16:uniqueId val="{00000000-7B0D-4DE1-B08B-F0BAA40E5117}"/>
            </c:ext>
          </c:extLst>
        </c:ser>
        <c:dLbls>
          <c:showLegendKey val="0"/>
          <c:showVal val="0"/>
          <c:showCatName val="0"/>
          <c:showSerName val="0"/>
          <c:showPercent val="0"/>
          <c:showBubbleSize val="0"/>
        </c:dLbls>
        <c:gapWidth val="182"/>
        <c:axId val="1167373216"/>
        <c:axId val="1167386656"/>
      </c:barChart>
      <c:catAx>
        <c:axId val="1167373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7386656"/>
        <c:crosses val="autoZero"/>
        <c:auto val="1"/>
        <c:lblAlgn val="ctr"/>
        <c:lblOffset val="100"/>
        <c:noMultiLvlLbl val="0"/>
      </c:catAx>
      <c:valAx>
        <c:axId val="1167386656"/>
        <c:scaling>
          <c:orientation val="minMax"/>
        </c:scaling>
        <c:delete val="1"/>
        <c:axPos val="b"/>
        <c:numFmt formatCode="General" sourceLinked="1"/>
        <c:majorTickMark val="none"/>
        <c:minorTickMark val="none"/>
        <c:tickLblPos val="nextTo"/>
        <c:crossAx val="11673732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IDF!$A$168:$A$169</c:f>
              <c:strCache>
                <c:ptCount val="2"/>
                <c:pt idx="0">
                  <c:v>Rezultāti ir ļoti noturīgi</c:v>
                </c:pt>
                <c:pt idx="1">
                  <c:v>Rezultāti drīzāk ir noturīgi</c:v>
                </c:pt>
              </c:strCache>
            </c:strRef>
          </c:cat>
          <c:val>
            <c:numRef>
              <c:f>IDF!$B$168:$B$169</c:f>
              <c:numCache>
                <c:formatCode>General</c:formatCode>
                <c:ptCount val="2"/>
                <c:pt idx="0">
                  <c:v>3</c:v>
                </c:pt>
                <c:pt idx="1">
                  <c:v>9</c:v>
                </c:pt>
              </c:numCache>
            </c:numRef>
          </c:val>
          <c:extLst>
            <c:ext xmlns:c16="http://schemas.microsoft.com/office/drawing/2014/chart" uri="{C3380CC4-5D6E-409C-BE32-E72D297353CC}">
              <c16:uniqueId val="{00000000-3A20-4F29-821C-423EDD863A06}"/>
            </c:ext>
          </c:extLst>
        </c:ser>
        <c:dLbls>
          <c:showLegendKey val="0"/>
          <c:showVal val="0"/>
          <c:showCatName val="0"/>
          <c:showSerName val="0"/>
          <c:showPercent val="0"/>
          <c:showBubbleSize val="0"/>
        </c:dLbls>
        <c:gapWidth val="182"/>
        <c:axId val="1158742608"/>
        <c:axId val="1158736368"/>
      </c:barChart>
      <c:catAx>
        <c:axId val="1158742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736368"/>
        <c:crosses val="autoZero"/>
        <c:auto val="1"/>
        <c:lblAlgn val="ctr"/>
        <c:lblOffset val="100"/>
        <c:noMultiLvlLbl val="0"/>
      </c:catAx>
      <c:valAx>
        <c:axId val="1158736368"/>
        <c:scaling>
          <c:orientation val="minMax"/>
        </c:scaling>
        <c:delete val="1"/>
        <c:axPos val="b"/>
        <c:numFmt formatCode="General" sourceLinked="1"/>
        <c:majorTickMark val="none"/>
        <c:minorTickMark val="none"/>
        <c:tickLblPos val="nextTo"/>
        <c:crossAx val="11587426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IDF!$B$186</c:f>
              <c:strCache>
                <c:ptCount val="1"/>
                <c:pt idx="0">
                  <c:v>Ļoti apdraud</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IDF!$A$187:$A$193</c:f>
              <c:strCache>
                <c:ptCount val="7"/>
                <c:pt idx="0">
                  <c:v>Ierobežotas iespējas rezultātu mērogošanai vai paplašināšanai</c:v>
                </c:pt>
                <c:pt idx="1">
                  <c:v>Vietēja un/vai valstiska līmeņa politiskā atbalsta trūkums rezultātu uzturēšanā</c:v>
                </c:pt>
                <c:pt idx="2">
                  <c:v>Ārējas izmaiņas (piemēram, normatīvo aktu prasības un standarti, tehnoloģiskajos risinājumos)</c:v>
                </c:pt>
                <c:pt idx="3">
                  <c:v>Citi ārējie faktori (piemēram, globālas izmaiņas ekonomikā, ģeopolitiskajā stāvoklī utml.)</c:v>
                </c:pt>
                <c:pt idx="4">
                  <c:v>Uzsākto aktivitāšu neturpināšana bez papildu ārējā finansējuma</c:v>
                </c:pt>
                <c:pt idx="5">
                  <c:v>Cilvēkresursu trūkums rezultātu uzturēšanai un attīstīšanai</c:v>
                </c:pt>
                <c:pt idx="6">
                  <c:v>Finanšu trūkums projekta rezultātu uzturēšanai</c:v>
                </c:pt>
              </c:strCache>
            </c:strRef>
          </c:cat>
          <c:val>
            <c:numRef>
              <c:f>IDF!$B$187:$B$193</c:f>
              <c:numCache>
                <c:formatCode>General</c:formatCode>
                <c:ptCount val="7"/>
                <c:pt idx="0">
                  <c:v>1</c:v>
                </c:pt>
                <c:pt idx="1">
                  <c:v>1</c:v>
                </c:pt>
                <c:pt idx="2">
                  <c:v>2</c:v>
                </c:pt>
                <c:pt idx="3">
                  <c:v>1</c:v>
                </c:pt>
                <c:pt idx="4">
                  <c:v>4</c:v>
                </c:pt>
                <c:pt idx="5">
                  <c:v>3</c:v>
                </c:pt>
                <c:pt idx="6">
                  <c:v>4</c:v>
                </c:pt>
              </c:numCache>
            </c:numRef>
          </c:val>
          <c:extLst>
            <c:ext xmlns:c16="http://schemas.microsoft.com/office/drawing/2014/chart" uri="{C3380CC4-5D6E-409C-BE32-E72D297353CC}">
              <c16:uniqueId val="{00000000-85C6-436A-A5CC-01F830884005}"/>
            </c:ext>
          </c:extLst>
        </c:ser>
        <c:ser>
          <c:idx val="1"/>
          <c:order val="1"/>
          <c:tx>
            <c:strRef>
              <c:f>IDF!$C$186</c:f>
              <c:strCache>
                <c:ptCount val="1"/>
                <c:pt idx="0">
                  <c:v>Drīzāk apdraud</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IDF!$A$187:$A$193</c:f>
              <c:strCache>
                <c:ptCount val="7"/>
                <c:pt idx="0">
                  <c:v>Ierobežotas iespējas rezultātu mērogošanai vai paplašināšanai</c:v>
                </c:pt>
                <c:pt idx="1">
                  <c:v>Vietēja un/vai valstiska līmeņa politiskā atbalsta trūkums rezultātu uzturēšanā</c:v>
                </c:pt>
                <c:pt idx="2">
                  <c:v>Ārējas izmaiņas (piemēram, normatīvo aktu prasības un standarti, tehnoloģiskajos risinājumos)</c:v>
                </c:pt>
                <c:pt idx="3">
                  <c:v>Citi ārējie faktori (piemēram, globālas izmaiņas ekonomikā, ģeopolitiskajā stāvoklī utml.)</c:v>
                </c:pt>
                <c:pt idx="4">
                  <c:v>Uzsākto aktivitāšu neturpināšana bez papildu ārējā finansējuma</c:v>
                </c:pt>
                <c:pt idx="5">
                  <c:v>Cilvēkresursu trūkums rezultātu uzturēšanai un attīstīšanai</c:v>
                </c:pt>
                <c:pt idx="6">
                  <c:v>Finanšu trūkums projekta rezultātu uzturēšanai</c:v>
                </c:pt>
              </c:strCache>
            </c:strRef>
          </c:cat>
          <c:val>
            <c:numRef>
              <c:f>IDF!$C$187:$C$193</c:f>
              <c:numCache>
                <c:formatCode>General</c:formatCode>
                <c:ptCount val="7"/>
                <c:pt idx="0">
                  <c:v>3</c:v>
                </c:pt>
                <c:pt idx="1">
                  <c:v>5</c:v>
                </c:pt>
                <c:pt idx="2">
                  <c:v>4</c:v>
                </c:pt>
                <c:pt idx="3">
                  <c:v>6</c:v>
                </c:pt>
                <c:pt idx="4">
                  <c:v>4</c:v>
                </c:pt>
                <c:pt idx="5">
                  <c:v>7</c:v>
                </c:pt>
                <c:pt idx="6">
                  <c:v>6</c:v>
                </c:pt>
              </c:numCache>
            </c:numRef>
          </c:val>
          <c:extLst>
            <c:ext xmlns:c16="http://schemas.microsoft.com/office/drawing/2014/chart" uri="{C3380CC4-5D6E-409C-BE32-E72D297353CC}">
              <c16:uniqueId val="{00000001-85C6-436A-A5CC-01F830884005}"/>
            </c:ext>
          </c:extLst>
        </c:ser>
        <c:ser>
          <c:idx val="2"/>
          <c:order val="2"/>
          <c:tx>
            <c:strRef>
              <c:f>IDF!$D$186</c:f>
              <c:strCache>
                <c:ptCount val="1"/>
                <c:pt idx="0">
                  <c:v>Drīzāk neapdraud</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IDF!$A$187:$A$193</c:f>
              <c:strCache>
                <c:ptCount val="7"/>
                <c:pt idx="0">
                  <c:v>Ierobežotas iespējas rezultātu mērogošanai vai paplašināšanai</c:v>
                </c:pt>
                <c:pt idx="1">
                  <c:v>Vietēja un/vai valstiska līmeņa politiskā atbalsta trūkums rezultātu uzturēšanā</c:v>
                </c:pt>
                <c:pt idx="2">
                  <c:v>Ārējas izmaiņas (piemēram, normatīvo aktu prasības un standarti, tehnoloģiskajos risinājumos)</c:v>
                </c:pt>
                <c:pt idx="3">
                  <c:v>Citi ārējie faktori (piemēram, globālas izmaiņas ekonomikā, ģeopolitiskajā stāvoklī utml.)</c:v>
                </c:pt>
                <c:pt idx="4">
                  <c:v>Uzsākto aktivitāšu neturpināšana bez papildu ārējā finansējuma</c:v>
                </c:pt>
                <c:pt idx="5">
                  <c:v>Cilvēkresursu trūkums rezultātu uzturēšanai un attīstīšanai</c:v>
                </c:pt>
                <c:pt idx="6">
                  <c:v>Finanšu trūkums projekta rezultātu uzturēšanai</c:v>
                </c:pt>
              </c:strCache>
            </c:strRef>
          </c:cat>
          <c:val>
            <c:numRef>
              <c:f>IDF!$D$187:$D$193</c:f>
              <c:numCache>
                <c:formatCode>General</c:formatCode>
                <c:ptCount val="7"/>
                <c:pt idx="0">
                  <c:v>6</c:v>
                </c:pt>
                <c:pt idx="1">
                  <c:v>4</c:v>
                </c:pt>
                <c:pt idx="2">
                  <c:v>4</c:v>
                </c:pt>
                <c:pt idx="3">
                  <c:v>3</c:v>
                </c:pt>
                <c:pt idx="4">
                  <c:v>3</c:v>
                </c:pt>
                <c:pt idx="5">
                  <c:v>1</c:v>
                </c:pt>
                <c:pt idx="6">
                  <c:v>1</c:v>
                </c:pt>
              </c:numCache>
            </c:numRef>
          </c:val>
          <c:extLst>
            <c:ext xmlns:c16="http://schemas.microsoft.com/office/drawing/2014/chart" uri="{C3380CC4-5D6E-409C-BE32-E72D297353CC}">
              <c16:uniqueId val="{00000002-85C6-436A-A5CC-01F830884005}"/>
            </c:ext>
          </c:extLst>
        </c:ser>
        <c:ser>
          <c:idx val="3"/>
          <c:order val="3"/>
          <c:tx>
            <c:strRef>
              <c:f>IDF!$E$186</c:f>
              <c:strCache>
                <c:ptCount val="1"/>
                <c:pt idx="0">
                  <c:v>Nemaz neapdraud</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IDF!$A$187:$A$193</c:f>
              <c:strCache>
                <c:ptCount val="7"/>
                <c:pt idx="0">
                  <c:v>Ierobežotas iespējas rezultātu mērogošanai vai paplašināšanai</c:v>
                </c:pt>
                <c:pt idx="1">
                  <c:v>Vietēja un/vai valstiska līmeņa politiskā atbalsta trūkums rezultātu uzturēšanā</c:v>
                </c:pt>
                <c:pt idx="2">
                  <c:v>Ārējas izmaiņas (piemēram, normatīvo aktu prasības un standarti, tehnoloģiskajos risinājumos)</c:v>
                </c:pt>
                <c:pt idx="3">
                  <c:v>Citi ārējie faktori (piemēram, globālas izmaiņas ekonomikā, ģeopolitiskajā stāvoklī utml.)</c:v>
                </c:pt>
                <c:pt idx="4">
                  <c:v>Uzsākto aktivitāšu neturpināšana bez papildu ārējā finansējuma</c:v>
                </c:pt>
                <c:pt idx="5">
                  <c:v>Cilvēkresursu trūkums rezultātu uzturēšanai un attīstīšanai</c:v>
                </c:pt>
                <c:pt idx="6">
                  <c:v>Finanšu trūkums projekta rezultātu uzturēšanai</c:v>
                </c:pt>
              </c:strCache>
            </c:strRef>
          </c:cat>
          <c:val>
            <c:numRef>
              <c:f>IDF!$E$187:$E$193</c:f>
              <c:numCache>
                <c:formatCode>General</c:formatCode>
                <c:ptCount val="7"/>
                <c:pt idx="5">
                  <c:v>1</c:v>
                </c:pt>
                <c:pt idx="6">
                  <c:v>1</c:v>
                </c:pt>
              </c:numCache>
            </c:numRef>
          </c:val>
          <c:extLst>
            <c:ext xmlns:c16="http://schemas.microsoft.com/office/drawing/2014/chart" uri="{C3380CC4-5D6E-409C-BE32-E72D297353CC}">
              <c16:uniqueId val="{00000003-85C6-436A-A5CC-01F830884005}"/>
            </c:ext>
          </c:extLst>
        </c:ser>
        <c:ser>
          <c:idx val="4"/>
          <c:order val="4"/>
          <c:tx>
            <c:strRef>
              <c:f>IDF!$F$186</c:f>
              <c:strCache>
                <c:ptCount val="1"/>
                <c:pt idx="0">
                  <c:v>Grūti pateikt/neattiecas</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IDF!$A$187:$A$193</c:f>
              <c:strCache>
                <c:ptCount val="7"/>
                <c:pt idx="0">
                  <c:v>Ierobežotas iespējas rezultātu mērogošanai vai paplašināšanai</c:v>
                </c:pt>
                <c:pt idx="1">
                  <c:v>Vietēja un/vai valstiska līmeņa politiskā atbalsta trūkums rezultātu uzturēšanā</c:v>
                </c:pt>
                <c:pt idx="2">
                  <c:v>Ārējas izmaiņas (piemēram, normatīvo aktu prasības un standarti, tehnoloģiskajos risinājumos)</c:v>
                </c:pt>
                <c:pt idx="3">
                  <c:v>Citi ārējie faktori (piemēram, globālas izmaiņas ekonomikā, ģeopolitiskajā stāvoklī utml.)</c:v>
                </c:pt>
                <c:pt idx="4">
                  <c:v>Uzsākto aktivitāšu neturpināšana bez papildu ārējā finansējuma</c:v>
                </c:pt>
                <c:pt idx="5">
                  <c:v>Cilvēkresursu trūkums rezultātu uzturēšanai un attīstīšanai</c:v>
                </c:pt>
                <c:pt idx="6">
                  <c:v>Finanšu trūkums projekta rezultātu uzturēšanai</c:v>
                </c:pt>
              </c:strCache>
            </c:strRef>
          </c:cat>
          <c:val>
            <c:numRef>
              <c:f>IDF!$F$187:$F$193</c:f>
              <c:numCache>
                <c:formatCode>General</c:formatCode>
                <c:ptCount val="7"/>
                <c:pt idx="0">
                  <c:v>2</c:v>
                </c:pt>
                <c:pt idx="1">
                  <c:v>2</c:v>
                </c:pt>
                <c:pt idx="2">
                  <c:v>2</c:v>
                </c:pt>
                <c:pt idx="3">
                  <c:v>2</c:v>
                </c:pt>
                <c:pt idx="4">
                  <c:v>1</c:v>
                </c:pt>
              </c:numCache>
            </c:numRef>
          </c:val>
          <c:extLst>
            <c:ext xmlns:c16="http://schemas.microsoft.com/office/drawing/2014/chart" uri="{C3380CC4-5D6E-409C-BE32-E72D297353CC}">
              <c16:uniqueId val="{00000004-85C6-436A-A5CC-01F830884005}"/>
            </c:ext>
          </c:extLst>
        </c:ser>
        <c:dLbls>
          <c:showLegendKey val="0"/>
          <c:showVal val="0"/>
          <c:showCatName val="0"/>
          <c:showSerName val="0"/>
          <c:showPercent val="0"/>
          <c:showBubbleSize val="0"/>
        </c:dLbls>
        <c:gapWidth val="150"/>
        <c:overlap val="100"/>
        <c:axId val="1164828928"/>
        <c:axId val="1164827488"/>
      </c:barChart>
      <c:catAx>
        <c:axId val="1164828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4827488"/>
        <c:crosses val="autoZero"/>
        <c:auto val="1"/>
        <c:lblAlgn val="ctr"/>
        <c:lblOffset val="100"/>
        <c:noMultiLvlLbl val="0"/>
      </c:catAx>
      <c:valAx>
        <c:axId val="1164827488"/>
        <c:scaling>
          <c:orientation val="minMax"/>
        </c:scaling>
        <c:delete val="1"/>
        <c:axPos val="b"/>
        <c:numFmt formatCode="General" sourceLinked="1"/>
        <c:majorTickMark val="none"/>
        <c:minorTickMark val="none"/>
        <c:tickLblPos val="nextTo"/>
        <c:crossAx val="116482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FIN_IDF_Drosiba!$C$11</c:f>
              <c:strCache>
                <c:ptCount val="1"/>
                <c:pt idx="0">
                  <c:v>Plānots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FIN_IDF_Drosiba!$B$12:$B$14</c:f>
              <c:strCache>
                <c:ptCount val="3"/>
                <c:pt idx="0">
                  <c:v>SM5 Noziedzības novēršana un apkarošana</c:v>
                </c:pt>
                <c:pt idx="1">
                  <c:v>SM6 Riski un krīzes</c:v>
                </c:pt>
                <c:pt idx="2">
                  <c:v>Tehniskā palīdzība</c:v>
                </c:pt>
              </c:strCache>
            </c:strRef>
          </c:cat>
          <c:val>
            <c:numRef>
              <c:f>FIN_IDF_Drosiba!$C$12:$C$14</c:f>
              <c:numCache>
                <c:formatCode>#,##0.00</c:formatCode>
                <c:ptCount val="3"/>
                <c:pt idx="0">
                  <c:v>10.42</c:v>
                </c:pt>
                <c:pt idx="1">
                  <c:v>7.72</c:v>
                </c:pt>
                <c:pt idx="2">
                  <c:v>1.1599999999999999</c:v>
                </c:pt>
              </c:numCache>
            </c:numRef>
          </c:val>
          <c:extLst>
            <c:ext xmlns:c16="http://schemas.microsoft.com/office/drawing/2014/chart" uri="{C3380CC4-5D6E-409C-BE32-E72D297353CC}">
              <c16:uniqueId val="{00000000-B4F7-46B8-A621-C75771CA1BA1}"/>
            </c:ext>
          </c:extLst>
        </c:ser>
        <c:ser>
          <c:idx val="1"/>
          <c:order val="1"/>
          <c:tx>
            <c:strRef>
              <c:f>FIN_IDF_Drosiba!$D$11</c:f>
              <c:strCache>
                <c:ptCount val="1"/>
                <c:pt idx="0">
                  <c:v>Apgūts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FIN_IDF_Drosiba!$B$12:$B$14</c:f>
              <c:strCache>
                <c:ptCount val="3"/>
                <c:pt idx="0">
                  <c:v>SM5 Noziedzības novēršana un apkarošana</c:v>
                </c:pt>
                <c:pt idx="1">
                  <c:v>SM6 Riski un krīzes</c:v>
                </c:pt>
                <c:pt idx="2">
                  <c:v>Tehniskā palīdzība</c:v>
                </c:pt>
              </c:strCache>
            </c:strRef>
          </c:cat>
          <c:val>
            <c:numRef>
              <c:f>FIN_IDF_Drosiba!$D$12:$D$14</c:f>
              <c:numCache>
                <c:formatCode>#,##0.00</c:formatCode>
                <c:ptCount val="3"/>
                <c:pt idx="0">
                  <c:v>7.96</c:v>
                </c:pt>
                <c:pt idx="1">
                  <c:v>10.01</c:v>
                </c:pt>
                <c:pt idx="2">
                  <c:v>1.17</c:v>
                </c:pt>
              </c:numCache>
            </c:numRef>
          </c:val>
          <c:extLst>
            <c:ext xmlns:c16="http://schemas.microsoft.com/office/drawing/2014/chart" uri="{C3380CC4-5D6E-409C-BE32-E72D297353CC}">
              <c16:uniqueId val="{00000001-B4F7-46B8-A621-C75771CA1BA1}"/>
            </c:ext>
          </c:extLst>
        </c:ser>
        <c:dLbls>
          <c:dLblPos val="outEnd"/>
          <c:showLegendKey val="0"/>
          <c:showVal val="1"/>
          <c:showCatName val="0"/>
          <c:showSerName val="0"/>
          <c:showPercent val="0"/>
          <c:showBubbleSize val="0"/>
        </c:dLbls>
        <c:gapWidth val="219"/>
        <c:overlap val="-27"/>
        <c:axId val="6922576"/>
        <c:axId val="6919216"/>
      </c:barChart>
      <c:catAx>
        <c:axId val="692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19216"/>
        <c:crosses val="autoZero"/>
        <c:auto val="1"/>
        <c:lblAlgn val="ctr"/>
        <c:lblOffset val="100"/>
        <c:noMultiLvlLbl val="0"/>
      </c:catAx>
      <c:valAx>
        <c:axId val="6919216"/>
        <c:scaling>
          <c:orientation val="minMax"/>
        </c:scaling>
        <c:delete val="1"/>
        <c:axPos val="l"/>
        <c:numFmt formatCode="#,##0.00" sourceLinked="1"/>
        <c:majorTickMark val="none"/>
        <c:minorTickMark val="none"/>
        <c:tickLblPos val="nextTo"/>
        <c:crossAx val="6922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PMIF!$B$39</c:f>
              <c:strCache>
                <c:ptCount val="1"/>
                <c:pt idx="0">
                  <c:v>Ļoti ietekmēja</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PMIF!$A$40:$A$45</c:f>
              <c:strCache>
                <c:ptCount val="6"/>
                <c:pt idx="0">
                  <c:v>Cilvēkresursu trūkums projekta aktivitāšu īstenošanai</c:v>
                </c:pt>
                <c:pt idx="1">
                  <c:v>Piegādātāju / pakalpojuma sniedzēju piesaistes grūtības projekta/-u aktivitāšu īstenošanai</c:v>
                </c:pt>
                <c:pt idx="2">
                  <c:v>Ar iepirkumu procedūru sagatavošanu un īstenošanu saistīti aspekti </c:v>
                </c:pt>
                <c:pt idx="3">
                  <c:v>Covid-19 pandēmijas ierobežojumi</c:v>
                </c:pt>
                <c:pt idx="4">
                  <c:v>Krievijas militārā iebrukuma Ukrainā sekas</c:v>
                </c:pt>
                <c:pt idx="5">
                  <c:v>Ģeopolitiskās izmaiņas</c:v>
                </c:pt>
              </c:strCache>
            </c:strRef>
          </c:cat>
          <c:val>
            <c:numRef>
              <c:f>PMIF!$B$40:$B$45</c:f>
              <c:numCache>
                <c:formatCode>General</c:formatCode>
                <c:ptCount val="6"/>
                <c:pt idx="0">
                  <c:v>2</c:v>
                </c:pt>
                <c:pt idx="1">
                  <c:v>1</c:v>
                </c:pt>
                <c:pt idx="2">
                  <c:v>6</c:v>
                </c:pt>
                <c:pt idx="3">
                  <c:v>8</c:v>
                </c:pt>
                <c:pt idx="4">
                  <c:v>6</c:v>
                </c:pt>
                <c:pt idx="5">
                  <c:v>7</c:v>
                </c:pt>
              </c:numCache>
            </c:numRef>
          </c:val>
          <c:extLst>
            <c:ext xmlns:c16="http://schemas.microsoft.com/office/drawing/2014/chart" uri="{C3380CC4-5D6E-409C-BE32-E72D297353CC}">
              <c16:uniqueId val="{00000000-F15B-411F-9330-FF3CA1FB6E7E}"/>
            </c:ext>
          </c:extLst>
        </c:ser>
        <c:ser>
          <c:idx val="1"/>
          <c:order val="1"/>
          <c:tx>
            <c:strRef>
              <c:f>PMIF!$C$39</c:f>
              <c:strCache>
                <c:ptCount val="1"/>
                <c:pt idx="0">
                  <c:v>Drīzāk ietekmēja</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PMIF!$A$40:$A$45</c:f>
              <c:strCache>
                <c:ptCount val="6"/>
                <c:pt idx="0">
                  <c:v>Cilvēkresursu trūkums projekta aktivitāšu īstenošanai</c:v>
                </c:pt>
                <c:pt idx="1">
                  <c:v>Piegādātāju / pakalpojuma sniedzēju piesaistes grūtības projekta/-u aktivitāšu īstenošanai</c:v>
                </c:pt>
                <c:pt idx="2">
                  <c:v>Ar iepirkumu procedūru sagatavošanu un īstenošanu saistīti aspekti </c:v>
                </c:pt>
                <c:pt idx="3">
                  <c:v>Covid-19 pandēmijas ierobežojumi</c:v>
                </c:pt>
                <c:pt idx="4">
                  <c:v>Krievijas militārā iebrukuma Ukrainā sekas</c:v>
                </c:pt>
                <c:pt idx="5">
                  <c:v>Ģeopolitiskās izmaiņas</c:v>
                </c:pt>
              </c:strCache>
            </c:strRef>
          </c:cat>
          <c:val>
            <c:numRef>
              <c:f>PMIF!$C$40:$C$45</c:f>
              <c:numCache>
                <c:formatCode>General</c:formatCode>
                <c:ptCount val="6"/>
                <c:pt idx="0">
                  <c:v>4</c:v>
                </c:pt>
                <c:pt idx="1">
                  <c:v>6</c:v>
                </c:pt>
                <c:pt idx="2">
                  <c:v>3</c:v>
                </c:pt>
                <c:pt idx="3">
                  <c:v>4</c:v>
                </c:pt>
                <c:pt idx="4">
                  <c:v>5</c:v>
                </c:pt>
                <c:pt idx="5">
                  <c:v>5</c:v>
                </c:pt>
              </c:numCache>
            </c:numRef>
          </c:val>
          <c:extLst>
            <c:ext xmlns:c16="http://schemas.microsoft.com/office/drawing/2014/chart" uri="{C3380CC4-5D6E-409C-BE32-E72D297353CC}">
              <c16:uniqueId val="{00000001-F15B-411F-9330-FF3CA1FB6E7E}"/>
            </c:ext>
          </c:extLst>
        </c:ser>
        <c:ser>
          <c:idx val="2"/>
          <c:order val="2"/>
          <c:tx>
            <c:strRef>
              <c:f>PMIF!$D$39</c:f>
              <c:strCache>
                <c:ptCount val="1"/>
                <c:pt idx="0">
                  <c:v>Drīzāk neietekmēja</c:v>
                </c:pt>
              </c:strCache>
            </c:strRef>
          </c:tx>
          <c:spPr>
            <a:solidFill>
              <a:schemeClr val="accent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PMIF!$A$40:$A$45</c:f>
              <c:strCache>
                <c:ptCount val="6"/>
                <c:pt idx="0">
                  <c:v>Cilvēkresursu trūkums projekta aktivitāšu īstenošanai</c:v>
                </c:pt>
                <c:pt idx="1">
                  <c:v>Piegādātāju / pakalpojuma sniedzēju piesaistes grūtības projekta/-u aktivitāšu īstenošanai</c:v>
                </c:pt>
                <c:pt idx="2">
                  <c:v>Ar iepirkumu procedūru sagatavošanu un īstenošanu saistīti aspekti </c:v>
                </c:pt>
                <c:pt idx="3">
                  <c:v>Covid-19 pandēmijas ierobežojumi</c:v>
                </c:pt>
                <c:pt idx="4">
                  <c:v>Krievijas militārā iebrukuma Ukrainā sekas</c:v>
                </c:pt>
                <c:pt idx="5">
                  <c:v>Ģeopolitiskās izmaiņas</c:v>
                </c:pt>
              </c:strCache>
            </c:strRef>
          </c:cat>
          <c:val>
            <c:numRef>
              <c:f>PMIF!$D$40:$D$45</c:f>
              <c:numCache>
                <c:formatCode>General</c:formatCode>
                <c:ptCount val="6"/>
                <c:pt idx="0">
                  <c:v>8</c:v>
                </c:pt>
                <c:pt idx="1">
                  <c:v>5</c:v>
                </c:pt>
                <c:pt idx="2">
                  <c:v>8</c:v>
                </c:pt>
                <c:pt idx="3">
                  <c:v>5</c:v>
                </c:pt>
                <c:pt idx="4">
                  <c:v>4</c:v>
                </c:pt>
                <c:pt idx="5">
                  <c:v>6</c:v>
                </c:pt>
              </c:numCache>
            </c:numRef>
          </c:val>
          <c:extLst>
            <c:ext xmlns:c16="http://schemas.microsoft.com/office/drawing/2014/chart" uri="{C3380CC4-5D6E-409C-BE32-E72D297353CC}">
              <c16:uniqueId val="{00000002-F15B-411F-9330-FF3CA1FB6E7E}"/>
            </c:ext>
          </c:extLst>
        </c:ser>
        <c:ser>
          <c:idx val="3"/>
          <c:order val="3"/>
          <c:tx>
            <c:strRef>
              <c:f>PMIF!$E$39</c:f>
              <c:strCache>
                <c:ptCount val="1"/>
                <c:pt idx="0">
                  <c:v>Nemaz neietekmēja</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PMIF!$A$40:$A$45</c:f>
              <c:strCache>
                <c:ptCount val="6"/>
                <c:pt idx="0">
                  <c:v>Cilvēkresursu trūkums projekta aktivitāšu īstenošanai</c:v>
                </c:pt>
                <c:pt idx="1">
                  <c:v>Piegādātāju / pakalpojuma sniedzēju piesaistes grūtības projekta/-u aktivitāšu īstenošanai</c:v>
                </c:pt>
                <c:pt idx="2">
                  <c:v>Ar iepirkumu procedūru sagatavošanu un īstenošanu saistīti aspekti </c:v>
                </c:pt>
                <c:pt idx="3">
                  <c:v>Covid-19 pandēmijas ierobežojumi</c:v>
                </c:pt>
                <c:pt idx="4">
                  <c:v>Krievijas militārā iebrukuma Ukrainā sekas</c:v>
                </c:pt>
                <c:pt idx="5">
                  <c:v>Ģeopolitiskās izmaiņas</c:v>
                </c:pt>
              </c:strCache>
            </c:strRef>
          </c:cat>
          <c:val>
            <c:numRef>
              <c:f>PMIF!$E$40:$E$45</c:f>
              <c:numCache>
                <c:formatCode>General</c:formatCode>
                <c:ptCount val="6"/>
                <c:pt idx="0">
                  <c:v>4</c:v>
                </c:pt>
                <c:pt idx="1">
                  <c:v>6</c:v>
                </c:pt>
                <c:pt idx="3">
                  <c:v>2</c:v>
                </c:pt>
                <c:pt idx="4">
                  <c:v>4</c:v>
                </c:pt>
                <c:pt idx="5">
                  <c:v>1</c:v>
                </c:pt>
              </c:numCache>
            </c:numRef>
          </c:val>
          <c:extLst>
            <c:ext xmlns:c16="http://schemas.microsoft.com/office/drawing/2014/chart" uri="{C3380CC4-5D6E-409C-BE32-E72D297353CC}">
              <c16:uniqueId val="{00000003-F15B-411F-9330-FF3CA1FB6E7E}"/>
            </c:ext>
          </c:extLst>
        </c:ser>
        <c:ser>
          <c:idx val="4"/>
          <c:order val="4"/>
          <c:tx>
            <c:strRef>
              <c:f>PMIF!$F$39</c:f>
              <c:strCache>
                <c:ptCount val="1"/>
                <c:pt idx="0">
                  <c:v>Nezinu / grūti pateikt</c:v>
                </c:pt>
              </c:strCache>
            </c:strRef>
          </c:tx>
          <c:spPr>
            <a:solidFill>
              <a:schemeClr val="tx1">
                <a:lumMod val="10000"/>
                <a:lumOff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PMIF!$A$40:$A$45</c:f>
              <c:strCache>
                <c:ptCount val="6"/>
                <c:pt idx="0">
                  <c:v>Cilvēkresursu trūkums projekta aktivitāšu īstenošanai</c:v>
                </c:pt>
                <c:pt idx="1">
                  <c:v>Piegādātāju / pakalpojuma sniedzēju piesaistes grūtības projekta/-u aktivitāšu īstenošanai</c:v>
                </c:pt>
                <c:pt idx="2">
                  <c:v>Ar iepirkumu procedūru sagatavošanu un īstenošanu saistīti aspekti </c:v>
                </c:pt>
                <c:pt idx="3">
                  <c:v>Covid-19 pandēmijas ierobežojumi</c:v>
                </c:pt>
                <c:pt idx="4">
                  <c:v>Krievijas militārā iebrukuma Ukrainā sekas</c:v>
                </c:pt>
                <c:pt idx="5">
                  <c:v>Ģeopolitiskās izmaiņas</c:v>
                </c:pt>
              </c:strCache>
            </c:strRef>
          </c:cat>
          <c:val>
            <c:numRef>
              <c:f>PMIF!$F$40:$F$45</c:f>
              <c:numCache>
                <c:formatCode>General</c:formatCode>
                <c:ptCount val="6"/>
                <c:pt idx="1">
                  <c:v>1</c:v>
                </c:pt>
                <c:pt idx="2">
                  <c:v>2</c:v>
                </c:pt>
              </c:numCache>
            </c:numRef>
          </c:val>
          <c:extLst>
            <c:ext xmlns:c16="http://schemas.microsoft.com/office/drawing/2014/chart" uri="{C3380CC4-5D6E-409C-BE32-E72D297353CC}">
              <c16:uniqueId val="{00000004-F15B-411F-9330-FF3CA1FB6E7E}"/>
            </c:ext>
          </c:extLst>
        </c:ser>
        <c:dLbls>
          <c:showLegendKey val="0"/>
          <c:showVal val="0"/>
          <c:showCatName val="0"/>
          <c:showSerName val="0"/>
          <c:showPercent val="0"/>
          <c:showBubbleSize val="0"/>
        </c:dLbls>
        <c:gapWidth val="150"/>
        <c:overlap val="100"/>
        <c:axId val="100010160"/>
        <c:axId val="100014960"/>
      </c:barChart>
      <c:catAx>
        <c:axId val="100010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014960"/>
        <c:crosses val="autoZero"/>
        <c:auto val="1"/>
        <c:lblAlgn val="ctr"/>
        <c:lblOffset val="100"/>
        <c:noMultiLvlLbl val="0"/>
      </c:catAx>
      <c:valAx>
        <c:axId val="100014960"/>
        <c:scaling>
          <c:orientation val="minMax"/>
        </c:scaling>
        <c:delete val="1"/>
        <c:axPos val="b"/>
        <c:numFmt formatCode="General" sourceLinked="1"/>
        <c:majorTickMark val="none"/>
        <c:minorTickMark val="none"/>
        <c:tickLblPos val="nextTo"/>
        <c:crossAx val="100010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585801268768526E-2"/>
          <c:y val="5.1281244711667673E-2"/>
          <c:w val="0.94078061911170929"/>
          <c:h val="0.66568683396009554"/>
        </c:manualLayout>
      </c:layout>
      <c:barChart>
        <c:barDir val="col"/>
        <c:grouping val="clustered"/>
        <c:varyColors val="0"/>
        <c:ser>
          <c:idx val="0"/>
          <c:order val="0"/>
          <c:tx>
            <c:strRef>
              <c:f>FIN_PMIF!$C$21</c:f>
              <c:strCache>
                <c:ptCount val="1"/>
                <c:pt idx="0">
                  <c:v>Plānots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FIN_PMIF!$B$22:$B$26</c:f>
              <c:strCache>
                <c:ptCount val="5"/>
                <c:pt idx="0">
                  <c:v>SM1 Patvērums</c:v>
                </c:pt>
                <c:pt idx="1">
                  <c:v>SM2 Integrācija / legālā migrācija</c:v>
                </c:pt>
                <c:pt idx="2">
                  <c:v>SM3 Atgriešana</c:v>
                </c:pt>
                <c:pt idx="3">
                  <c:v>Īpašie gadījumi</c:v>
                </c:pt>
                <c:pt idx="4">
                  <c:v>Tehniskā palīdzība</c:v>
                </c:pt>
              </c:strCache>
            </c:strRef>
          </c:cat>
          <c:val>
            <c:numRef>
              <c:f>FIN_PMIF!$C$22:$C$26</c:f>
              <c:numCache>
                <c:formatCode>#,##0.00</c:formatCode>
                <c:ptCount val="5"/>
                <c:pt idx="0">
                  <c:v>3.68</c:v>
                </c:pt>
                <c:pt idx="1">
                  <c:v>6.49</c:v>
                </c:pt>
                <c:pt idx="2">
                  <c:v>4.26</c:v>
                </c:pt>
                <c:pt idx="3">
                  <c:v>2.65</c:v>
                </c:pt>
                <c:pt idx="4">
                  <c:v>1.84</c:v>
                </c:pt>
              </c:numCache>
            </c:numRef>
          </c:val>
          <c:extLst>
            <c:ext xmlns:c16="http://schemas.microsoft.com/office/drawing/2014/chart" uri="{C3380CC4-5D6E-409C-BE32-E72D297353CC}">
              <c16:uniqueId val="{00000000-8394-4489-A50B-5DF33A8778FB}"/>
            </c:ext>
          </c:extLst>
        </c:ser>
        <c:ser>
          <c:idx val="1"/>
          <c:order val="1"/>
          <c:tx>
            <c:strRef>
              <c:f>FIN_PMIF!$D$21</c:f>
              <c:strCache>
                <c:ptCount val="1"/>
                <c:pt idx="0">
                  <c:v>Apgūts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FIN_PMIF!$B$22:$B$26</c:f>
              <c:strCache>
                <c:ptCount val="5"/>
                <c:pt idx="0">
                  <c:v>SM1 Patvērums</c:v>
                </c:pt>
                <c:pt idx="1">
                  <c:v>SM2 Integrācija / legālā migrācija</c:v>
                </c:pt>
                <c:pt idx="2">
                  <c:v>SM3 Atgriešana</c:v>
                </c:pt>
                <c:pt idx="3">
                  <c:v>Īpašie gadījumi</c:v>
                </c:pt>
                <c:pt idx="4">
                  <c:v>Tehniskā palīdzība</c:v>
                </c:pt>
              </c:strCache>
            </c:strRef>
          </c:cat>
          <c:val>
            <c:numRef>
              <c:f>FIN_PMIF!$D$22:$D$26</c:f>
              <c:numCache>
                <c:formatCode>#,##0.00</c:formatCode>
                <c:ptCount val="5"/>
                <c:pt idx="0">
                  <c:v>4.12</c:v>
                </c:pt>
                <c:pt idx="1">
                  <c:v>4.92</c:v>
                </c:pt>
                <c:pt idx="2">
                  <c:v>4.1399999999999997</c:v>
                </c:pt>
                <c:pt idx="3">
                  <c:v>2.4300000000000002</c:v>
                </c:pt>
                <c:pt idx="4">
                  <c:v>1.83</c:v>
                </c:pt>
              </c:numCache>
            </c:numRef>
          </c:val>
          <c:extLst>
            <c:ext xmlns:c16="http://schemas.microsoft.com/office/drawing/2014/chart" uri="{C3380CC4-5D6E-409C-BE32-E72D297353CC}">
              <c16:uniqueId val="{00000001-8394-4489-A50B-5DF33A8778FB}"/>
            </c:ext>
          </c:extLst>
        </c:ser>
        <c:dLbls>
          <c:dLblPos val="outEnd"/>
          <c:showLegendKey val="0"/>
          <c:showVal val="1"/>
          <c:showCatName val="0"/>
          <c:showSerName val="0"/>
          <c:showPercent val="0"/>
          <c:showBubbleSize val="0"/>
        </c:dLbls>
        <c:gapWidth val="219"/>
        <c:overlap val="-27"/>
        <c:axId val="522752016"/>
        <c:axId val="522754896"/>
      </c:barChart>
      <c:catAx>
        <c:axId val="52275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2754896"/>
        <c:crosses val="autoZero"/>
        <c:auto val="1"/>
        <c:lblAlgn val="ctr"/>
        <c:lblOffset val="100"/>
        <c:noMultiLvlLbl val="0"/>
      </c:catAx>
      <c:valAx>
        <c:axId val="522754896"/>
        <c:scaling>
          <c:orientation val="minMax"/>
        </c:scaling>
        <c:delete val="1"/>
        <c:axPos val="l"/>
        <c:numFmt formatCode="#,##0.00" sourceLinked="1"/>
        <c:majorTickMark val="none"/>
        <c:minorTickMark val="none"/>
        <c:tickLblPos val="nextTo"/>
        <c:crossAx val="52275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PMIF!$A$54:$A$57</c:f>
              <c:strCache>
                <c:ptCount val="4"/>
                <c:pt idx="0">
                  <c:v>Nezinu/grūti pateikt</c:v>
                </c:pt>
                <c:pt idx="1">
                  <c:v>Finansējums nebija atbilstošs</c:v>
                </c:pt>
                <c:pt idx="2">
                  <c:v>Finansējums bija daļēji atbilstošs</c:v>
                </c:pt>
                <c:pt idx="3">
                  <c:v>Finansējums bija pilnībā atbilstošs</c:v>
                </c:pt>
              </c:strCache>
            </c:strRef>
          </c:cat>
          <c:val>
            <c:numRef>
              <c:f>PMIF!$B$54:$B$57</c:f>
              <c:numCache>
                <c:formatCode>General</c:formatCode>
                <c:ptCount val="4"/>
                <c:pt idx="0">
                  <c:v>1</c:v>
                </c:pt>
                <c:pt idx="1">
                  <c:v>1</c:v>
                </c:pt>
                <c:pt idx="2">
                  <c:v>2</c:v>
                </c:pt>
                <c:pt idx="3">
                  <c:v>15</c:v>
                </c:pt>
              </c:numCache>
            </c:numRef>
          </c:val>
          <c:extLst>
            <c:ext xmlns:c16="http://schemas.microsoft.com/office/drawing/2014/chart" uri="{C3380CC4-5D6E-409C-BE32-E72D297353CC}">
              <c16:uniqueId val="{00000000-A2BC-4D7E-919D-77DDE3A5B509}"/>
            </c:ext>
          </c:extLst>
        </c:ser>
        <c:dLbls>
          <c:showLegendKey val="0"/>
          <c:showVal val="0"/>
          <c:showCatName val="0"/>
          <c:showSerName val="0"/>
          <c:showPercent val="0"/>
          <c:showBubbleSize val="0"/>
        </c:dLbls>
        <c:gapWidth val="182"/>
        <c:axId val="1503002944"/>
        <c:axId val="1503003904"/>
      </c:barChart>
      <c:catAx>
        <c:axId val="1503002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003904"/>
        <c:crosses val="autoZero"/>
        <c:auto val="1"/>
        <c:lblAlgn val="ctr"/>
        <c:lblOffset val="100"/>
        <c:noMultiLvlLbl val="0"/>
      </c:catAx>
      <c:valAx>
        <c:axId val="1503003904"/>
        <c:scaling>
          <c:orientation val="minMax"/>
        </c:scaling>
        <c:delete val="1"/>
        <c:axPos val="b"/>
        <c:numFmt formatCode="General" sourceLinked="1"/>
        <c:majorTickMark val="none"/>
        <c:minorTickMark val="none"/>
        <c:tickLblPos val="nextTo"/>
        <c:crossAx val="1503002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PMIF!$A$68:$A$72</c:f>
              <c:strCache>
                <c:ptCount val="5"/>
                <c:pt idx="0">
                  <c:v>Izvēlēto pasākumu un aktivitāšu izmaksu efektivitāte</c:v>
                </c:pt>
                <c:pt idx="1">
                  <c:v>Pierādīta pasākuma efektivitāte noteikto mērķu sasniegšanai, ko apliecina, piemēram, citu valstu pieredze vai zinātniskie pētījumi</c:v>
                </c:pt>
                <c:pt idx="2">
                  <c:v>Iepriekšēja iestādes / organizācijas / mērķa grupu vajadzību izpēte</c:v>
                </c:pt>
                <c:pt idx="3">
                  <c:v>Ārēji noteiktās prasības (piemēram, ES regulās, nacionālajos normatīvajos aktos vai plānošanas dokumentos noteiktās prasības)</c:v>
                </c:pt>
                <c:pt idx="4">
                  <c:v>Finansējuma saņēmēja līdzšinējā pieredze līdzīgu pasākumu īstenošanā</c:v>
                </c:pt>
              </c:strCache>
            </c:strRef>
          </c:cat>
          <c:val>
            <c:numRef>
              <c:f>PMIF!$B$68:$B$72</c:f>
              <c:numCache>
                <c:formatCode>General</c:formatCode>
                <c:ptCount val="5"/>
                <c:pt idx="0">
                  <c:v>4</c:v>
                </c:pt>
                <c:pt idx="1">
                  <c:v>4</c:v>
                </c:pt>
                <c:pt idx="2">
                  <c:v>12</c:v>
                </c:pt>
                <c:pt idx="3">
                  <c:v>14</c:v>
                </c:pt>
                <c:pt idx="4">
                  <c:v>17</c:v>
                </c:pt>
              </c:numCache>
            </c:numRef>
          </c:val>
          <c:extLst>
            <c:ext xmlns:c16="http://schemas.microsoft.com/office/drawing/2014/chart" uri="{C3380CC4-5D6E-409C-BE32-E72D297353CC}">
              <c16:uniqueId val="{00000000-56CC-417D-ACAC-A1B619044F96}"/>
            </c:ext>
          </c:extLst>
        </c:ser>
        <c:dLbls>
          <c:showLegendKey val="0"/>
          <c:showVal val="0"/>
          <c:showCatName val="0"/>
          <c:showSerName val="0"/>
          <c:showPercent val="0"/>
          <c:showBubbleSize val="0"/>
        </c:dLbls>
        <c:gapWidth val="182"/>
        <c:axId val="382039632"/>
        <c:axId val="382036272"/>
      </c:barChart>
      <c:catAx>
        <c:axId val="382039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82036272"/>
        <c:crosses val="autoZero"/>
        <c:auto val="1"/>
        <c:lblAlgn val="ctr"/>
        <c:lblOffset val="100"/>
        <c:noMultiLvlLbl val="0"/>
      </c:catAx>
      <c:valAx>
        <c:axId val="382036272"/>
        <c:scaling>
          <c:orientation val="minMax"/>
        </c:scaling>
        <c:delete val="1"/>
        <c:axPos val="b"/>
        <c:numFmt formatCode="General" sourceLinked="1"/>
        <c:majorTickMark val="none"/>
        <c:minorTickMark val="none"/>
        <c:tickLblPos val="nextTo"/>
        <c:crossAx val="3820396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PMIF!$A$88:$A$97</c:f>
              <c:strCache>
                <c:ptCount val="10"/>
                <c:pt idx="0">
                  <c:v>Nezinu / grūti pateikt</c:v>
                </c:pt>
                <c:pt idx="1">
                  <c:v>Savlaicīgas informācijas trūkums par Programmās paredzētajām izmaiņām </c:v>
                </c:pt>
                <c:pt idx="2">
                  <c:v>Administratīvās procedūras projekta/-u īstenošanas gaitu neietekmēja</c:v>
                </c:pt>
                <c:pt idx="3">
                  <c:v>Saskaņojumu un lēmumu saņemšanas ilgums no uzraugošajām iestādēm par projekta gaitā radušos problēmsituāciju risinājumiem</c:v>
                </c:pt>
                <c:pt idx="4">
                  <c:v>Iespējas nodrošināt projekta administrēšanai nepieciešamo personāla kapacitāti</c:v>
                </c:pt>
                <c:pt idx="5">
                  <c:v>Vienotas projektu uzraudzības sistēmas trūkums dokumentu iesniegšanai un informācijas ievadei</c:v>
                </c:pt>
                <c:pt idx="6">
                  <c:v>Projekta/-u atskaišu iesniegšanas biežums un ietveramās informācijas detalizācija</c:v>
                </c:pt>
                <c:pt idx="7">
                  <c:v>Iepirkumu procedūru īstenošana </c:v>
                </c:pt>
                <c:pt idx="8">
                  <c:v>Iepirkumu procedūras dokumentācijas sagatavošana</c:v>
                </c:pt>
                <c:pt idx="9">
                  <c:v>Projekta/-u līguma un projekta iesnieguma formas grozījumu veikšana</c:v>
                </c:pt>
              </c:strCache>
            </c:strRef>
          </c:cat>
          <c:val>
            <c:numRef>
              <c:f>PMIF!$B$88:$B$97</c:f>
              <c:numCache>
                <c:formatCode>General</c:formatCode>
                <c:ptCount val="10"/>
                <c:pt idx="0">
                  <c:v>2</c:v>
                </c:pt>
                <c:pt idx="1">
                  <c:v>1</c:v>
                </c:pt>
                <c:pt idx="2">
                  <c:v>2</c:v>
                </c:pt>
                <c:pt idx="3">
                  <c:v>3</c:v>
                </c:pt>
                <c:pt idx="4">
                  <c:v>4</c:v>
                </c:pt>
                <c:pt idx="5">
                  <c:v>4</c:v>
                </c:pt>
                <c:pt idx="6">
                  <c:v>6</c:v>
                </c:pt>
                <c:pt idx="7">
                  <c:v>6</c:v>
                </c:pt>
                <c:pt idx="8">
                  <c:v>7</c:v>
                </c:pt>
                <c:pt idx="9">
                  <c:v>8</c:v>
                </c:pt>
              </c:numCache>
            </c:numRef>
          </c:val>
          <c:extLst>
            <c:ext xmlns:c16="http://schemas.microsoft.com/office/drawing/2014/chart" uri="{C3380CC4-5D6E-409C-BE32-E72D297353CC}">
              <c16:uniqueId val="{00000000-E5FB-4BE1-9F39-594BDDF7C6EB}"/>
            </c:ext>
          </c:extLst>
        </c:ser>
        <c:dLbls>
          <c:showLegendKey val="0"/>
          <c:showVal val="0"/>
          <c:showCatName val="0"/>
          <c:showSerName val="0"/>
          <c:showPercent val="0"/>
          <c:showBubbleSize val="0"/>
        </c:dLbls>
        <c:gapWidth val="182"/>
        <c:axId val="77435376"/>
        <c:axId val="77435856"/>
      </c:barChart>
      <c:catAx>
        <c:axId val="77435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7435856"/>
        <c:crosses val="autoZero"/>
        <c:auto val="1"/>
        <c:lblAlgn val="ctr"/>
        <c:lblOffset val="100"/>
        <c:noMultiLvlLbl val="0"/>
      </c:catAx>
      <c:valAx>
        <c:axId val="77435856"/>
        <c:scaling>
          <c:orientation val="minMax"/>
        </c:scaling>
        <c:delete val="1"/>
        <c:axPos val="b"/>
        <c:numFmt formatCode="General" sourceLinked="1"/>
        <c:majorTickMark val="none"/>
        <c:minorTickMark val="none"/>
        <c:tickLblPos val="nextTo"/>
        <c:crossAx val="77435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PMIF!$B$108</c:f>
              <c:strCache>
                <c:ptCount val="1"/>
                <c:pt idx="0">
                  <c:v>Programmu administratīvais slogs ir mazāks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PMIF!$A$109:$A$110</c:f>
              <c:strCache>
                <c:ptCount val="2"/>
                <c:pt idx="0">
                  <c:v>Esošo 2021.-2027. gada plānošanas periodu</c:v>
                </c:pt>
                <c:pt idx="1">
                  <c:v>Iepriekšējo 2007-2013. gada plānošanas periodu </c:v>
                </c:pt>
              </c:strCache>
            </c:strRef>
          </c:cat>
          <c:val>
            <c:numRef>
              <c:f>PMIF!$B$109:$B$110</c:f>
              <c:numCache>
                <c:formatCode>General</c:formatCode>
                <c:ptCount val="2"/>
                <c:pt idx="0">
                  <c:v>2</c:v>
                </c:pt>
                <c:pt idx="1">
                  <c:v>3</c:v>
                </c:pt>
              </c:numCache>
            </c:numRef>
          </c:val>
          <c:extLst>
            <c:ext xmlns:c16="http://schemas.microsoft.com/office/drawing/2014/chart" uri="{C3380CC4-5D6E-409C-BE32-E72D297353CC}">
              <c16:uniqueId val="{00000000-ED23-4411-9BE2-823B061ECE17}"/>
            </c:ext>
          </c:extLst>
        </c:ser>
        <c:ser>
          <c:idx val="1"/>
          <c:order val="1"/>
          <c:tx>
            <c:strRef>
              <c:f>PMIF!$C$108</c:f>
              <c:strCache>
                <c:ptCount val="1"/>
                <c:pt idx="0">
                  <c:v>Programmu administratīvais slogs ir drīzāk mazāks</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PMIF!$A$109:$A$110</c:f>
              <c:strCache>
                <c:ptCount val="2"/>
                <c:pt idx="0">
                  <c:v>Esošo 2021.-2027. gada plānošanas periodu</c:v>
                </c:pt>
                <c:pt idx="1">
                  <c:v>Iepriekšējo 2007-2013. gada plānošanas periodu </c:v>
                </c:pt>
              </c:strCache>
            </c:strRef>
          </c:cat>
          <c:val>
            <c:numRef>
              <c:f>PMIF!$C$109:$C$110</c:f>
              <c:numCache>
                <c:formatCode>General</c:formatCode>
                <c:ptCount val="2"/>
                <c:pt idx="0">
                  <c:v>3</c:v>
                </c:pt>
                <c:pt idx="1">
                  <c:v>3</c:v>
                </c:pt>
              </c:numCache>
            </c:numRef>
          </c:val>
          <c:extLst>
            <c:ext xmlns:c16="http://schemas.microsoft.com/office/drawing/2014/chart" uri="{C3380CC4-5D6E-409C-BE32-E72D297353CC}">
              <c16:uniqueId val="{00000001-ED23-4411-9BE2-823B061ECE17}"/>
            </c:ext>
          </c:extLst>
        </c:ser>
        <c:ser>
          <c:idx val="2"/>
          <c:order val="2"/>
          <c:tx>
            <c:strRef>
              <c:f>PMIF!$D$108</c:f>
              <c:strCache>
                <c:ptCount val="1"/>
                <c:pt idx="0">
                  <c:v>Programmu administratīvais slogs ir drīzāk lielāks</c:v>
                </c:pt>
              </c:strCache>
            </c:strRef>
          </c:tx>
          <c:spPr>
            <a:solidFill>
              <a:schemeClr val="tx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PMIF!$A$109:$A$110</c:f>
              <c:strCache>
                <c:ptCount val="2"/>
                <c:pt idx="0">
                  <c:v>Esošo 2021.-2027. gada plānošanas periodu</c:v>
                </c:pt>
                <c:pt idx="1">
                  <c:v>Iepriekšējo 2007-2013. gada plānošanas periodu </c:v>
                </c:pt>
              </c:strCache>
            </c:strRef>
          </c:cat>
          <c:val>
            <c:numRef>
              <c:f>PMIF!$D$109:$D$110</c:f>
              <c:numCache>
                <c:formatCode>General</c:formatCode>
                <c:ptCount val="2"/>
                <c:pt idx="0">
                  <c:v>3</c:v>
                </c:pt>
                <c:pt idx="1">
                  <c:v>3</c:v>
                </c:pt>
              </c:numCache>
            </c:numRef>
          </c:val>
          <c:extLst>
            <c:ext xmlns:c16="http://schemas.microsoft.com/office/drawing/2014/chart" uri="{C3380CC4-5D6E-409C-BE32-E72D297353CC}">
              <c16:uniqueId val="{00000002-ED23-4411-9BE2-823B061ECE17}"/>
            </c:ext>
          </c:extLst>
        </c:ser>
        <c:ser>
          <c:idx val="3"/>
          <c:order val="3"/>
          <c:tx>
            <c:strRef>
              <c:f>PMIF!$E$108</c:f>
              <c:strCache>
                <c:ptCount val="1"/>
                <c:pt idx="0">
                  <c:v>Programmu administratīvais slogs ir lielāks</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PMIF!$A$109:$A$110</c:f>
              <c:strCache>
                <c:ptCount val="2"/>
                <c:pt idx="0">
                  <c:v>Esošo 2021.-2027. gada plānošanas periodu</c:v>
                </c:pt>
                <c:pt idx="1">
                  <c:v>Iepriekšējo 2007-2013. gada plānošanas periodu </c:v>
                </c:pt>
              </c:strCache>
            </c:strRef>
          </c:cat>
          <c:val>
            <c:numRef>
              <c:f>PMIF!$E$109:$E$110</c:f>
              <c:numCache>
                <c:formatCode>General</c:formatCode>
                <c:ptCount val="2"/>
                <c:pt idx="0">
                  <c:v>4</c:v>
                </c:pt>
                <c:pt idx="1">
                  <c:v>2</c:v>
                </c:pt>
              </c:numCache>
            </c:numRef>
          </c:val>
          <c:extLst>
            <c:ext xmlns:c16="http://schemas.microsoft.com/office/drawing/2014/chart" uri="{C3380CC4-5D6E-409C-BE32-E72D297353CC}">
              <c16:uniqueId val="{00000003-ED23-4411-9BE2-823B061ECE17}"/>
            </c:ext>
          </c:extLst>
        </c:ser>
        <c:ser>
          <c:idx val="4"/>
          <c:order val="4"/>
          <c:tx>
            <c:strRef>
              <c:f>PMIF!$F$108</c:f>
              <c:strCache>
                <c:ptCount val="1"/>
                <c:pt idx="0">
                  <c:v>Nezinu / nav īstenojis projektu šajā periodā</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PMIF!$A$109:$A$110</c:f>
              <c:strCache>
                <c:ptCount val="2"/>
                <c:pt idx="0">
                  <c:v>Esošo 2021.-2027. gada plānošanas periodu</c:v>
                </c:pt>
                <c:pt idx="1">
                  <c:v>Iepriekšējo 2007-2013. gada plānošanas periodu </c:v>
                </c:pt>
              </c:strCache>
            </c:strRef>
          </c:cat>
          <c:val>
            <c:numRef>
              <c:f>PMIF!$F$109:$F$110</c:f>
              <c:numCache>
                <c:formatCode>General</c:formatCode>
                <c:ptCount val="2"/>
                <c:pt idx="0">
                  <c:v>7</c:v>
                </c:pt>
                <c:pt idx="1">
                  <c:v>8</c:v>
                </c:pt>
              </c:numCache>
            </c:numRef>
          </c:val>
          <c:extLst>
            <c:ext xmlns:c16="http://schemas.microsoft.com/office/drawing/2014/chart" uri="{C3380CC4-5D6E-409C-BE32-E72D297353CC}">
              <c16:uniqueId val="{00000004-ED23-4411-9BE2-823B061ECE17}"/>
            </c:ext>
          </c:extLst>
        </c:ser>
        <c:dLbls>
          <c:showLegendKey val="0"/>
          <c:showVal val="0"/>
          <c:showCatName val="0"/>
          <c:showSerName val="0"/>
          <c:showPercent val="0"/>
          <c:showBubbleSize val="0"/>
        </c:dLbls>
        <c:gapWidth val="150"/>
        <c:overlap val="100"/>
        <c:axId val="1509610992"/>
        <c:axId val="1509611472"/>
      </c:barChart>
      <c:catAx>
        <c:axId val="1509610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9611472"/>
        <c:crosses val="autoZero"/>
        <c:auto val="1"/>
        <c:lblAlgn val="ctr"/>
        <c:lblOffset val="100"/>
        <c:noMultiLvlLbl val="0"/>
      </c:catAx>
      <c:valAx>
        <c:axId val="1509611472"/>
        <c:scaling>
          <c:orientation val="minMax"/>
        </c:scaling>
        <c:delete val="1"/>
        <c:axPos val="b"/>
        <c:numFmt formatCode="General" sourceLinked="1"/>
        <c:majorTickMark val="none"/>
        <c:minorTickMark val="none"/>
        <c:tickLblPos val="nextTo"/>
        <c:crossAx val="150961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PMIF!$A$120:$A$123</c:f>
              <c:strCache>
                <c:ptCount val="4"/>
                <c:pt idx="0">
                  <c:v>Grūti pateikt</c:v>
                </c:pt>
                <c:pt idx="1">
                  <c:v>Jaunas aktivitātes projektā/-os nebija nepieciešams pievienot</c:v>
                </c:pt>
                <c:pt idx="2">
                  <c:v>Drīzāk viegli</c:v>
                </c:pt>
                <c:pt idx="3">
                  <c:v>Drīzāk sarežģīti</c:v>
                </c:pt>
              </c:strCache>
            </c:strRef>
          </c:cat>
          <c:val>
            <c:numRef>
              <c:f>PMIF!$B$120:$B$123</c:f>
              <c:numCache>
                <c:formatCode>General</c:formatCode>
                <c:ptCount val="4"/>
                <c:pt idx="0">
                  <c:v>1</c:v>
                </c:pt>
                <c:pt idx="1">
                  <c:v>4</c:v>
                </c:pt>
                <c:pt idx="2">
                  <c:v>6</c:v>
                </c:pt>
                <c:pt idx="3">
                  <c:v>7</c:v>
                </c:pt>
              </c:numCache>
            </c:numRef>
          </c:val>
          <c:extLst>
            <c:ext xmlns:c16="http://schemas.microsoft.com/office/drawing/2014/chart" uri="{C3380CC4-5D6E-409C-BE32-E72D297353CC}">
              <c16:uniqueId val="{00000000-2CE3-4606-BE77-832B49C73AB9}"/>
            </c:ext>
          </c:extLst>
        </c:ser>
        <c:dLbls>
          <c:showLegendKey val="0"/>
          <c:showVal val="0"/>
          <c:showCatName val="0"/>
          <c:showSerName val="0"/>
          <c:showPercent val="0"/>
          <c:showBubbleSize val="0"/>
        </c:dLbls>
        <c:gapWidth val="182"/>
        <c:axId val="75429744"/>
        <c:axId val="75428784"/>
      </c:barChart>
      <c:catAx>
        <c:axId val="75429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28784"/>
        <c:crosses val="autoZero"/>
        <c:auto val="1"/>
        <c:lblAlgn val="ctr"/>
        <c:lblOffset val="100"/>
        <c:noMultiLvlLbl val="0"/>
      </c:catAx>
      <c:valAx>
        <c:axId val="75428784"/>
        <c:scaling>
          <c:orientation val="minMax"/>
        </c:scaling>
        <c:delete val="1"/>
        <c:axPos val="b"/>
        <c:numFmt formatCode="General" sourceLinked="1"/>
        <c:majorTickMark val="none"/>
        <c:minorTickMark val="none"/>
        <c:tickLblPos val="nextTo"/>
        <c:crossAx val="754297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ivitta">
      <a:dk1>
        <a:srgbClr val="232323"/>
      </a:dk1>
      <a:lt1>
        <a:srgbClr val="FEFEFE"/>
      </a:lt1>
      <a:dk2>
        <a:srgbClr val="232323"/>
      </a:dk2>
      <a:lt2>
        <a:srgbClr val="FEFEFE"/>
      </a:lt2>
      <a:accent1>
        <a:srgbClr val="232323"/>
      </a:accent1>
      <a:accent2>
        <a:srgbClr val="ACAEAC"/>
      </a:accent2>
      <a:accent3>
        <a:srgbClr val="E6E6E6"/>
      </a:accent3>
      <a:accent4>
        <a:srgbClr val="EBFE41"/>
      </a:accent4>
      <a:accent5>
        <a:srgbClr val="3CEB9D"/>
      </a:accent5>
      <a:accent6>
        <a:srgbClr val="82009B"/>
      </a:accent6>
      <a:hlink>
        <a:srgbClr val="82009B"/>
      </a:hlink>
      <a:folHlink>
        <a:srgbClr val="82009B"/>
      </a:folHlink>
    </a:clrScheme>
    <a:fontScheme name="Civitta Arial">
      <a:majorFont>
        <a:latin typeface="Arial Bold"/>
        <a:ea typeface=""/>
        <a:cs typeface="Arial Bold"/>
      </a:majorFont>
      <a:minorFont>
        <a:latin typeface="Arial"/>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232323"/>
    </a:dk1>
    <a:lt1>
      <a:srgbClr val="FEFEFE"/>
    </a:lt1>
    <a:dk2>
      <a:srgbClr val="232323"/>
    </a:dk2>
    <a:lt2>
      <a:srgbClr val="FEFEFE"/>
    </a:lt2>
    <a:accent1>
      <a:srgbClr val="232323"/>
    </a:accent1>
    <a:accent2>
      <a:srgbClr val="AEAEAE"/>
    </a:accent2>
    <a:accent3>
      <a:srgbClr val="E6E6E6"/>
    </a:accent3>
    <a:accent4>
      <a:srgbClr val="EBFF41"/>
    </a:accent4>
    <a:accent5>
      <a:srgbClr val="3BEC9D"/>
    </a:accent5>
    <a:accent6>
      <a:srgbClr val="83009C"/>
    </a:accent6>
    <a:hlink>
      <a:srgbClr val="83009C"/>
    </a:hlink>
    <a:folHlink>
      <a:srgbClr val="83009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Marts,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CC87D4-6529-48E3-A1FD-7B465992D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5233</TotalTime>
  <Pages>125</Pages>
  <Words>43747</Words>
  <Characters>324663</Characters>
  <Application>Microsoft Office Word</Application>
  <DocSecurity>0</DocSecurity>
  <Lines>2705</Lines>
  <Paragraphs>735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Longer Document title which is expanded to three lines!</vt:lpstr>
      <vt:lpstr>Longer Document title which is expanded to three lines!</vt:lpstr>
    </vt:vector>
  </TitlesOfParts>
  <Company/>
  <LinksUpToDate>false</LinksUpToDate>
  <CharactersWithSpaces>367675</CharactersWithSpaces>
  <SharedDoc>false</SharedDoc>
  <HLinks>
    <vt:vector size="444" baseType="variant">
      <vt:variant>
        <vt:i4>1900598</vt:i4>
      </vt:variant>
      <vt:variant>
        <vt:i4>200</vt:i4>
      </vt:variant>
      <vt:variant>
        <vt:i4>0</vt:i4>
      </vt:variant>
      <vt:variant>
        <vt:i4>5</vt:i4>
      </vt:variant>
      <vt:variant>
        <vt:lpwstr/>
      </vt:variant>
      <vt:variant>
        <vt:lpwstr>_Toc193371313</vt:lpwstr>
      </vt:variant>
      <vt:variant>
        <vt:i4>1900598</vt:i4>
      </vt:variant>
      <vt:variant>
        <vt:i4>194</vt:i4>
      </vt:variant>
      <vt:variant>
        <vt:i4>0</vt:i4>
      </vt:variant>
      <vt:variant>
        <vt:i4>5</vt:i4>
      </vt:variant>
      <vt:variant>
        <vt:lpwstr/>
      </vt:variant>
      <vt:variant>
        <vt:lpwstr>_Toc193371312</vt:lpwstr>
      </vt:variant>
      <vt:variant>
        <vt:i4>1900598</vt:i4>
      </vt:variant>
      <vt:variant>
        <vt:i4>188</vt:i4>
      </vt:variant>
      <vt:variant>
        <vt:i4>0</vt:i4>
      </vt:variant>
      <vt:variant>
        <vt:i4>5</vt:i4>
      </vt:variant>
      <vt:variant>
        <vt:lpwstr/>
      </vt:variant>
      <vt:variant>
        <vt:lpwstr>_Toc193371311</vt:lpwstr>
      </vt:variant>
      <vt:variant>
        <vt:i4>1900598</vt:i4>
      </vt:variant>
      <vt:variant>
        <vt:i4>182</vt:i4>
      </vt:variant>
      <vt:variant>
        <vt:i4>0</vt:i4>
      </vt:variant>
      <vt:variant>
        <vt:i4>5</vt:i4>
      </vt:variant>
      <vt:variant>
        <vt:lpwstr/>
      </vt:variant>
      <vt:variant>
        <vt:lpwstr>_Toc193371310</vt:lpwstr>
      </vt:variant>
      <vt:variant>
        <vt:i4>1835062</vt:i4>
      </vt:variant>
      <vt:variant>
        <vt:i4>176</vt:i4>
      </vt:variant>
      <vt:variant>
        <vt:i4>0</vt:i4>
      </vt:variant>
      <vt:variant>
        <vt:i4>5</vt:i4>
      </vt:variant>
      <vt:variant>
        <vt:lpwstr/>
      </vt:variant>
      <vt:variant>
        <vt:lpwstr>_Toc193371309</vt:lpwstr>
      </vt:variant>
      <vt:variant>
        <vt:i4>1835062</vt:i4>
      </vt:variant>
      <vt:variant>
        <vt:i4>170</vt:i4>
      </vt:variant>
      <vt:variant>
        <vt:i4>0</vt:i4>
      </vt:variant>
      <vt:variant>
        <vt:i4>5</vt:i4>
      </vt:variant>
      <vt:variant>
        <vt:lpwstr/>
      </vt:variant>
      <vt:variant>
        <vt:lpwstr>_Toc193371308</vt:lpwstr>
      </vt:variant>
      <vt:variant>
        <vt:i4>1835062</vt:i4>
      </vt:variant>
      <vt:variant>
        <vt:i4>164</vt:i4>
      </vt:variant>
      <vt:variant>
        <vt:i4>0</vt:i4>
      </vt:variant>
      <vt:variant>
        <vt:i4>5</vt:i4>
      </vt:variant>
      <vt:variant>
        <vt:lpwstr/>
      </vt:variant>
      <vt:variant>
        <vt:lpwstr>_Toc193371307</vt:lpwstr>
      </vt:variant>
      <vt:variant>
        <vt:i4>1835062</vt:i4>
      </vt:variant>
      <vt:variant>
        <vt:i4>158</vt:i4>
      </vt:variant>
      <vt:variant>
        <vt:i4>0</vt:i4>
      </vt:variant>
      <vt:variant>
        <vt:i4>5</vt:i4>
      </vt:variant>
      <vt:variant>
        <vt:lpwstr/>
      </vt:variant>
      <vt:variant>
        <vt:lpwstr>_Toc193371306</vt:lpwstr>
      </vt:variant>
      <vt:variant>
        <vt:i4>1835062</vt:i4>
      </vt:variant>
      <vt:variant>
        <vt:i4>152</vt:i4>
      </vt:variant>
      <vt:variant>
        <vt:i4>0</vt:i4>
      </vt:variant>
      <vt:variant>
        <vt:i4>5</vt:i4>
      </vt:variant>
      <vt:variant>
        <vt:lpwstr/>
      </vt:variant>
      <vt:variant>
        <vt:lpwstr>_Toc193371305</vt:lpwstr>
      </vt:variant>
      <vt:variant>
        <vt:i4>1835062</vt:i4>
      </vt:variant>
      <vt:variant>
        <vt:i4>146</vt:i4>
      </vt:variant>
      <vt:variant>
        <vt:i4>0</vt:i4>
      </vt:variant>
      <vt:variant>
        <vt:i4>5</vt:i4>
      </vt:variant>
      <vt:variant>
        <vt:lpwstr/>
      </vt:variant>
      <vt:variant>
        <vt:lpwstr>_Toc193371304</vt:lpwstr>
      </vt:variant>
      <vt:variant>
        <vt:i4>1835062</vt:i4>
      </vt:variant>
      <vt:variant>
        <vt:i4>140</vt:i4>
      </vt:variant>
      <vt:variant>
        <vt:i4>0</vt:i4>
      </vt:variant>
      <vt:variant>
        <vt:i4>5</vt:i4>
      </vt:variant>
      <vt:variant>
        <vt:lpwstr/>
      </vt:variant>
      <vt:variant>
        <vt:lpwstr>_Toc193371303</vt:lpwstr>
      </vt:variant>
      <vt:variant>
        <vt:i4>1835062</vt:i4>
      </vt:variant>
      <vt:variant>
        <vt:i4>134</vt:i4>
      </vt:variant>
      <vt:variant>
        <vt:i4>0</vt:i4>
      </vt:variant>
      <vt:variant>
        <vt:i4>5</vt:i4>
      </vt:variant>
      <vt:variant>
        <vt:lpwstr/>
      </vt:variant>
      <vt:variant>
        <vt:lpwstr>_Toc193371302</vt:lpwstr>
      </vt:variant>
      <vt:variant>
        <vt:i4>1835062</vt:i4>
      </vt:variant>
      <vt:variant>
        <vt:i4>128</vt:i4>
      </vt:variant>
      <vt:variant>
        <vt:i4>0</vt:i4>
      </vt:variant>
      <vt:variant>
        <vt:i4>5</vt:i4>
      </vt:variant>
      <vt:variant>
        <vt:lpwstr/>
      </vt:variant>
      <vt:variant>
        <vt:lpwstr>_Toc193371301</vt:lpwstr>
      </vt:variant>
      <vt:variant>
        <vt:i4>1835062</vt:i4>
      </vt:variant>
      <vt:variant>
        <vt:i4>122</vt:i4>
      </vt:variant>
      <vt:variant>
        <vt:i4>0</vt:i4>
      </vt:variant>
      <vt:variant>
        <vt:i4>5</vt:i4>
      </vt:variant>
      <vt:variant>
        <vt:lpwstr/>
      </vt:variant>
      <vt:variant>
        <vt:lpwstr>_Toc193371300</vt:lpwstr>
      </vt:variant>
      <vt:variant>
        <vt:i4>1376311</vt:i4>
      </vt:variant>
      <vt:variant>
        <vt:i4>116</vt:i4>
      </vt:variant>
      <vt:variant>
        <vt:i4>0</vt:i4>
      </vt:variant>
      <vt:variant>
        <vt:i4>5</vt:i4>
      </vt:variant>
      <vt:variant>
        <vt:lpwstr/>
      </vt:variant>
      <vt:variant>
        <vt:lpwstr>_Toc193371299</vt:lpwstr>
      </vt:variant>
      <vt:variant>
        <vt:i4>1376311</vt:i4>
      </vt:variant>
      <vt:variant>
        <vt:i4>110</vt:i4>
      </vt:variant>
      <vt:variant>
        <vt:i4>0</vt:i4>
      </vt:variant>
      <vt:variant>
        <vt:i4>5</vt:i4>
      </vt:variant>
      <vt:variant>
        <vt:lpwstr/>
      </vt:variant>
      <vt:variant>
        <vt:lpwstr>_Toc193371298</vt:lpwstr>
      </vt:variant>
      <vt:variant>
        <vt:i4>6553722</vt:i4>
      </vt:variant>
      <vt:variant>
        <vt:i4>171</vt:i4>
      </vt:variant>
      <vt:variant>
        <vt:i4>0</vt:i4>
      </vt:variant>
      <vt:variant>
        <vt:i4>5</vt:i4>
      </vt:variant>
      <vt:variant>
        <vt:lpwstr>https://www.vp.gov.lv/lv/apvarsnis-2020</vt:lpwstr>
      </vt:variant>
      <vt:variant>
        <vt:lpwstr/>
      </vt:variant>
      <vt:variant>
        <vt:i4>3735654</vt:i4>
      </vt:variant>
      <vt:variant>
        <vt:i4>168</vt:i4>
      </vt:variant>
      <vt:variant>
        <vt:i4>0</vt:i4>
      </vt:variant>
      <vt:variant>
        <vt:i4>5</vt:i4>
      </vt:variant>
      <vt:variant>
        <vt:lpwstr>https://www.vp.gov.lv/lv/projekts/latvijas-un-lietuvas-policiju-k9-kapacitates-stiprinasana-latvijas-un-lietuvas-pierobezas-teritorijas</vt:lpwstr>
      </vt:variant>
      <vt:variant>
        <vt:lpwstr/>
      </vt:variant>
      <vt:variant>
        <vt:i4>8257650</vt:i4>
      </vt:variant>
      <vt:variant>
        <vt:i4>165</vt:i4>
      </vt:variant>
      <vt:variant>
        <vt:i4>0</vt:i4>
      </vt:variant>
      <vt:variant>
        <vt:i4>5</vt:i4>
      </vt:variant>
      <vt:variant>
        <vt:lpwstr>https://www.vp.gov.lv/lv/projekts/latvijas-lietuvas-programmas-projekts-sinergiskas-drosibas-platformas-izveide-austrumlatvijas-un-lietuvas-pierobeza-synergy-security</vt:lpwstr>
      </vt:variant>
      <vt:variant>
        <vt:lpwstr/>
      </vt:variant>
      <vt:variant>
        <vt:i4>6422568</vt:i4>
      </vt:variant>
      <vt:variant>
        <vt:i4>162</vt:i4>
      </vt:variant>
      <vt:variant>
        <vt:i4>0</vt:i4>
      </vt:variant>
      <vt:variant>
        <vt:i4>5</vt:i4>
      </vt:variant>
      <vt:variant>
        <vt:lpwstr>https://www.vugd.gov.lv/lv/projekts/latvijas-lietuvas-parrobezu-sadarbibas-programmas-ietvaros-valsts-ugunsdzesibas-un-glabsanas-dienests-isteno-projektu-vides-risku-parvaldibas-resursu-pilnveidosana-pierobezas-regiona-lai-efektivi-veiktu-vides-aizsardzibas-pasakumus-dermr-lli-232</vt:lpwstr>
      </vt:variant>
      <vt:variant>
        <vt:lpwstr/>
      </vt:variant>
      <vt:variant>
        <vt:i4>393235</vt:i4>
      </vt:variant>
      <vt:variant>
        <vt:i4>159</vt:i4>
      </vt:variant>
      <vt:variant>
        <vt:i4>0</vt:i4>
      </vt:variant>
      <vt:variant>
        <vt:i4>5</vt:i4>
      </vt:variant>
      <vt:variant>
        <vt:lpwstr>https://www.vugd.gov.lv/lv/projekts/cbrn-negadijumu-seku-likvidesana-un-piesarnojuma-mazinasana-latvijas-lietuvas-pierobeza-atom-lli-195</vt:lpwstr>
      </vt:variant>
      <vt:variant>
        <vt:lpwstr/>
      </vt:variant>
      <vt:variant>
        <vt:i4>3145853</vt:i4>
      </vt:variant>
      <vt:variant>
        <vt:i4>156</vt:i4>
      </vt:variant>
      <vt:variant>
        <vt:i4>0</vt:i4>
      </vt:variant>
      <vt:variant>
        <vt:i4>5</vt:i4>
      </vt:variant>
      <vt:variant>
        <vt:lpwstr>https://2014-2020.latlit.eu/about-the-programme/ latvi</vt:lpwstr>
      </vt:variant>
      <vt:variant>
        <vt:lpwstr/>
      </vt:variant>
      <vt:variant>
        <vt:i4>8323110</vt:i4>
      </vt:variant>
      <vt:variant>
        <vt:i4>153</vt:i4>
      </vt:variant>
      <vt:variant>
        <vt:i4>0</vt:i4>
      </vt:variant>
      <vt:variant>
        <vt:i4>5</vt:i4>
      </vt:variant>
      <vt:variant>
        <vt:lpwstr>https://www.vid.gov.lv/lv/projekts/eiropas-ekonomikas-zonas-granta-projekti</vt:lpwstr>
      </vt:variant>
      <vt:variant>
        <vt:lpwstr/>
      </vt:variant>
      <vt:variant>
        <vt:i4>4128819</vt:i4>
      </vt:variant>
      <vt:variant>
        <vt:i4>150</vt:i4>
      </vt:variant>
      <vt:variant>
        <vt:i4>0</vt:i4>
      </vt:variant>
      <vt:variant>
        <vt:i4>5</vt:i4>
      </vt:variant>
      <vt:variant>
        <vt:lpwstr>https://www.vp.gov.lv/lv/projekts/nr-eeztm20227-tiesu-ekspertizu-sistemas-un-notikumu-vietas-apskates-kapacitates-stiprinasana</vt:lpwstr>
      </vt:variant>
      <vt:variant>
        <vt:lpwstr/>
      </vt:variant>
      <vt:variant>
        <vt:i4>6750247</vt:i4>
      </vt:variant>
      <vt:variant>
        <vt:i4>147</vt:i4>
      </vt:variant>
      <vt:variant>
        <vt:i4>0</vt:i4>
      </vt:variant>
      <vt:variant>
        <vt:i4>5</vt:i4>
      </vt:variant>
      <vt:variant>
        <vt:lpwstr>https://www.vp.gov.lv/lv/projekts/nreezvp20201-atbalsts-valsts-policijai-ekonomisko-noziegumu-izmeklesanas-paatrinasanai-un-kvalitates-uzlabosanai-latvija</vt:lpwstr>
      </vt:variant>
      <vt:variant>
        <vt:lpwstr/>
      </vt:variant>
      <vt:variant>
        <vt:i4>4653081</vt:i4>
      </vt:variant>
      <vt:variant>
        <vt:i4>144</vt:i4>
      </vt:variant>
      <vt:variant>
        <vt:i4>0</vt:i4>
      </vt:variant>
      <vt:variant>
        <vt:i4>5</vt:i4>
      </vt:variant>
      <vt:variant>
        <vt:lpwstr>https://eeagrants.lv/starptautiska-policijas-sadarbiba/par-programmu/</vt:lpwstr>
      </vt:variant>
      <vt:variant>
        <vt:lpwstr/>
      </vt:variant>
      <vt:variant>
        <vt:i4>5963800</vt:i4>
      </vt:variant>
      <vt:variant>
        <vt:i4>141</vt:i4>
      </vt:variant>
      <vt:variant>
        <vt:i4>0</vt:i4>
      </vt:variant>
      <vt:variant>
        <vt:i4>5</vt:i4>
      </vt:variant>
      <vt:variant>
        <vt:lpwstr>https://home-affairs.ec.europa.eu/document/download/947851ed-fd8f-4200-b313-fa5dfb04a8fc_en?filename=Annual%20work%20programme%20ISF%20Police%20for%202019_en.pdf</vt:lpwstr>
      </vt:variant>
      <vt:variant>
        <vt:lpwstr/>
      </vt:variant>
      <vt:variant>
        <vt:i4>4587604</vt:i4>
      </vt:variant>
      <vt:variant>
        <vt:i4>138</vt:i4>
      </vt:variant>
      <vt:variant>
        <vt:i4>0</vt:i4>
      </vt:variant>
      <vt:variant>
        <vt:i4>5</vt:i4>
      </vt:variant>
      <vt:variant>
        <vt:lpwstr>https://ec.europa.eu/info/funding-tenders/opportunities/portal/screen/opportunities/projects-details/31077817/821194/ISFP?keywords=BALTFORDEX&amp;isExactMatch=true&amp;order=DESC&amp;pageNumber=1&amp;sortBy=title</vt:lpwstr>
      </vt:variant>
      <vt:variant>
        <vt:lpwstr/>
      </vt:variant>
      <vt:variant>
        <vt:i4>3211379</vt:i4>
      </vt:variant>
      <vt:variant>
        <vt:i4>135</vt:i4>
      </vt:variant>
      <vt:variant>
        <vt:i4>0</vt:i4>
      </vt:variant>
      <vt:variant>
        <vt:i4>5</vt:i4>
      </vt:variant>
      <vt:variant>
        <vt:lpwstr>https://ec.europa.eu/info/funding-tenders/opportunities/portal/screen/how-to-participate/org-details/907332957/project/869144/program/31077817/details</vt:lpwstr>
      </vt:variant>
      <vt:variant>
        <vt:lpwstr/>
      </vt:variant>
      <vt:variant>
        <vt:i4>7864436</vt:i4>
      </vt:variant>
      <vt:variant>
        <vt:i4>132</vt:i4>
      </vt:variant>
      <vt:variant>
        <vt:i4>0</vt:i4>
      </vt:variant>
      <vt:variant>
        <vt:i4>5</vt:i4>
      </vt:variant>
      <vt:variant>
        <vt:lpwstr>https://home-affairs.ec.europa.eu/document/download/a0615da5-7d1e-44cd-8eda-b7e97f213851_en?filename=awp_isfp_2018_en.pdf</vt:lpwstr>
      </vt:variant>
      <vt:variant>
        <vt:lpwstr/>
      </vt:variant>
      <vt:variant>
        <vt:i4>1966096</vt:i4>
      </vt:variant>
      <vt:variant>
        <vt:i4>129</vt:i4>
      </vt:variant>
      <vt:variant>
        <vt:i4>0</vt:i4>
      </vt:variant>
      <vt:variant>
        <vt:i4>5</vt:i4>
      </vt:variant>
      <vt:variant>
        <vt:lpwstr>https://home-affairs.ec.europa.eu/document/download/59af3f34-990a-4f82-be4d-e5bf36df4e01_en?filename=2nd%20revised%20Annual%20work%20programme%20ISF%20Police%20for%202016_en.pdf</vt:lpwstr>
      </vt:variant>
      <vt:variant>
        <vt:lpwstr/>
      </vt:variant>
      <vt:variant>
        <vt:i4>4128881</vt:i4>
      </vt:variant>
      <vt:variant>
        <vt:i4>126</vt:i4>
      </vt:variant>
      <vt:variant>
        <vt:i4>0</vt:i4>
      </vt:variant>
      <vt:variant>
        <vt:i4>5</vt:i4>
      </vt:variant>
      <vt:variant>
        <vt:lpwstr>https://ec.europa.eu/info/funding-tenders/opportunities/portal/screen/how-to-participate/org-details/999999999/project/766506/program/31077817/details</vt:lpwstr>
      </vt:variant>
      <vt:variant>
        <vt:lpwstr/>
      </vt:variant>
      <vt:variant>
        <vt:i4>2949242</vt:i4>
      </vt:variant>
      <vt:variant>
        <vt:i4>123</vt:i4>
      </vt:variant>
      <vt:variant>
        <vt:i4>0</vt:i4>
      </vt:variant>
      <vt:variant>
        <vt:i4>5</vt:i4>
      </vt:variant>
      <vt:variant>
        <vt:lpwstr>https://ec.europa.eu/info/funding-tenders/opportunities/portal/screen/opportunities/projects-details/31077817/875896/ISFP?keywords=SCS&amp;isExactMatch=true&amp;order=DESC&amp;pageNumber=NaN&amp;sortBy=title</vt:lpwstr>
      </vt:variant>
      <vt:variant>
        <vt:lpwstr/>
      </vt:variant>
      <vt:variant>
        <vt:i4>5570584</vt:i4>
      </vt:variant>
      <vt:variant>
        <vt:i4>120</vt:i4>
      </vt:variant>
      <vt:variant>
        <vt:i4>0</vt:i4>
      </vt:variant>
      <vt:variant>
        <vt:i4>5</vt:i4>
      </vt:variant>
      <vt:variant>
        <vt:lpwstr>https://ec.europa.eu/info/funding-tenders/opportunities/portal/screen/opportunities/projects-details/31077817/818468/ISFP?keywords=COOPERANT&amp;isExactMatch=true&amp;order=DESC&amp;pageNumber=NaN&amp;sortBy=title</vt:lpwstr>
      </vt:variant>
      <vt:variant>
        <vt:lpwstr/>
      </vt:variant>
      <vt:variant>
        <vt:i4>5374029</vt:i4>
      </vt:variant>
      <vt:variant>
        <vt:i4>117</vt:i4>
      </vt:variant>
      <vt:variant>
        <vt:i4>0</vt:i4>
      </vt:variant>
      <vt:variant>
        <vt:i4>5</vt:i4>
      </vt:variant>
      <vt:variant>
        <vt:lpwstr>https://ec.europa.eu/info/funding-tenders/opportunities/portal/screen/opportunities/projects-details/31077817/827944/ISFP?order=DESC&amp;pageNumber=1&amp;pageSize=10&amp;sortBy=title&amp;keywords=UMF&amp;isExactMatch=true</vt:lpwstr>
      </vt:variant>
      <vt:variant>
        <vt:lpwstr/>
      </vt:variant>
      <vt:variant>
        <vt:i4>7405574</vt:i4>
      </vt:variant>
      <vt:variant>
        <vt:i4>114</vt:i4>
      </vt:variant>
      <vt:variant>
        <vt:i4>0</vt:i4>
      </vt:variant>
      <vt:variant>
        <vt:i4>5</vt:i4>
      </vt:variant>
      <vt:variant>
        <vt:lpwstr>https://home-affairs.ec.europa.eu/document/download/2f4db808-13ae-4919-8b03-13ba7b01aede_en?filename=final-revised-annex-awp-isf-p-2017-4th-amm.pdf</vt:lpwstr>
      </vt:variant>
      <vt:variant>
        <vt:lpwstr/>
      </vt:variant>
      <vt:variant>
        <vt:i4>7733267</vt:i4>
      </vt:variant>
      <vt:variant>
        <vt:i4>111</vt:i4>
      </vt:variant>
      <vt:variant>
        <vt:i4>0</vt:i4>
      </vt:variant>
      <vt:variant>
        <vt:i4>5</vt:i4>
      </vt:variant>
      <vt:variant>
        <vt:lpwstr>https://home-affairs.ec.europa.eu/document/download/d2c5c9aa-0b8e-4d33-86a4-75fc76a0dde8_en</vt:lpwstr>
      </vt:variant>
      <vt:variant>
        <vt:lpwstr/>
      </vt:variant>
      <vt:variant>
        <vt:i4>5242938</vt:i4>
      </vt:variant>
      <vt:variant>
        <vt:i4>108</vt:i4>
      </vt:variant>
      <vt:variant>
        <vt:i4>0</vt:i4>
      </vt:variant>
      <vt:variant>
        <vt:i4>5</vt:i4>
      </vt:variant>
      <vt:variant>
        <vt:lpwstr>https://home-affairs.ec.europa.eu/document/download/fc7344fa-3341-48d6-82f6-109974dfe9e2_en?filename=awp_2014_isf_p_en.pdf</vt:lpwstr>
      </vt:variant>
      <vt:variant>
        <vt:lpwstr/>
      </vt:variant>
      <vt:variant>
        <vt:i4>3211391</vt:i4>
      </vt:variant>
      <vt:variant>
        <vt:i4>105</vt:i4>
      </vt:variant>
      <vt:variant>
        <vt:i4>0</vt:i4>
      </vt:variant>
      <vt:variant>
        <vt:i4>5</vt:i4>
      </vt:variant>
      <vt:variant>
        <vt:lpwstr>https://likumi.lv/ta/id/275751</vt:lpwstr>
      </vt:variant>
      <vt:variant>
        <vt:lpwstr/>
      </vt:variant>
      <vt:variant>
        <vt:i4>3801203</vt:i4>
      </vt:variant>
      <vt:variant>
        <vt:i4>102</vt:i4>
      </vt:variant>
      <vt:variant>
        <vt:i4>0</vt:i4>
      </vt:variant>
      <vt:variant>
        <vt:i4>5</vt:i4>
      </vt:variant>
      <vt:variant>
        <vt:lpwstr>https://www.worldbank.org/en/region/eca/brief/economics-for-disaster-prevention-preparedness-europe</vt:lpwstr>
      </vt:variant>
      <vt:variant>
        <vt:lpwstr/>
      </vt:variant>
      <vt:variant>
        <vt:i4>2949156</vt:i4>
      </vt:variant>
      <vt:variant>
        <vt:i4>99</vt:i4>
      </vt:variant>
      <vt:variant>
        <vt:i4>0</vt:i4>
      </vt:variant>
      <vt:variant>
        <vt:i4>5</vt:i4>
      </vt:variant>
      <vt:variant>
        <vt:lpwstr>https://www.iem.gov.lv/sites/iem/files/c_2015_9377_f1_commission_implementing_decision_lv_v2_p1_83393021.pdf</vt:lpwstr>
      </vt:variant>
      <vt:variant>
        <vt:lpwstr/>
      </vt:variant>
      <vt:variant>
        <vt:i4>1310784</vt:i4>
      </vt:variant>
      <vt:variant>
        <vt:i4>96</vt:i4>
      </vt:variant>
      <vt:variant>
        <vt:i4>0</vt:i4>
      </vt:variant>
      <vt:variant>
        <vt:i4>5</vt:i4>
      </vt:variant>
      <vt:variant>
        <vt:lpwstr>https://www.rs.gov.lv/lv/starptautiskas-migracijas-politikas-attistibas-centra-programma</vt:lpwstr>
      </vt:variant>
      <vt:variant>
        <vt:lpwstr/>
      </vt:variant>
      <vt:variant>
        <vt:i4>7340070</vt:i4>
      </vt:variant>
      <vt:variant>
        <vt:i4>93</vt:i4>
      </vt:variant>
      <vt:variant>
        <vt:i4>0</vt:i4>
      </vt:variant>
      <vt:variant>
        <vt:i4>5</vt:i4>
      </vt:variant>
      <vt:variant>
        <vt:lpwstr>https://www.rs.gov.lv/lv/projekts/intelektualas-mobilas-kontroles-sistemas-izstrade</vt:lpwstr>
      </vt:variant>
      <vt:variant>
        <vt:lpwstr/>
      </vt:variant>
      <vt:variant>
        <vt:i4>7405694</vt:i4>
      </vt:variant>
      <vt:variant>
        <vt:i4>90</vt:i4>
      </vt:variant>
      <vt:variant>
        <vt:i4>0</vt:i4>
      </vt:variant>
      <vt:variant>
        <vt:i4>5</vt:i4>
      </vt:variant>
      <vt:variant>
        <vt:lpwstr>https://www.rs.gov.lv/lv/projekts/sinergiskas-drosibas-platformas-izveide-austrumlatvijas-un-lietuvas-pierobeza</vt:lpwstr>
      </vt:variant>
      <vt:variant>
        <vt:lpwstr/>
      </vt:variant>
      <vt:variant>
        <vt:i4>3735610</vt:i4>
      </vt:variant>
      <vt:variant>
        <vt:i4>87</vt:i4>
      </vt:variant>
      <vt:variant>
        <vt:i4>0</vt:i4>
      </vt:variant>
      <vt:variant>
        <vt:i4>5</vt:i4>
      </vt:variant>
      <vt:variant>
        <vt:lpwstr>https://www.vid.gov.lv/lv/projekts/eiropas-ekonomikas-zonas-granta-projekti</vt:lpwstr>
      </vt:variant>
      <vt:variant>
        <vt:lpwstr>ekonomisko-noziegumu-noversana-un-apkarosana-robezskersosanas-vieta-terehova</vt:lpwstr>
      </vt:variant>
      <vt:variant>
        <vt:i4>4653081</vt:i4>
      </vt:variant>
      <vt:variant>
        <vt:i4>84</vt:i4>
      </vt:variant>
      <vt:variant>
        <vt:i4>0</vt:i4>
      </vt:variant>
      <vt:variant>
        <vt:i4>5</vt:i4>
      </vt:variant>
      <vt:variant>
        <vt:lpwstr>https://eeagrants.lv/starptautiska-policijas-sadarbiba/par-programmu/</vt:lpwstr>
      </vt:variant>
      <vt:variant>
        <vt:lpwstr/>
      </vt:variant>
      <vt:variant>
        <vt:i4>2359354</vt:i4>
      </vt:variant>
      <vt:variant>
        <vt:i4>81</vt:i4>
      </vt:variant>
      <vt:variant>
        <vt:i4>0</vt:i4>
      </vt:variant>
      <vt:variant>
        <vt:i4>5</vt:i4>
      </vt:variant>
      <vt:variant>
        <vt:lpwstr>https://www.eni-cbc.eu/llb/en/programme/thematic-objectives/63</vt:lpwstr>
      </vt:variant>
      <vt:variant>
        <vt:lpwstr/>
      </vt:variant>
      <vt:variant>
        <vt:i4>7929960</vt:i4>
      </vt:variant>
      <vt:variant>
        <vt:i4>78</vt:i4>
      </vt:variant>
      <vt:variant>
        <vt:i4>0</vt:i4>
      </vt:variant>
      <vt:variant>
        <vt:i4>5</vt:i4>
      </vt:variant>
      <vt:variant>
        <vt:lpwstr>https://latruscbc.eu/about-the-programme/objective-priorities/</vt:lpwstr>
      </vt:variant>
      <vt:variant>
        <vt:lpwstr/>
      </vt:variant>
      <vt:variant>
        <vt:i4>6684673</vt:i4>
      </vt:variant>
      <vt:variant>
        <vt:i4>75</vt:i4>
      </vt:variant>
      <vt:variant>
        <vt:i4>0</vt:i4>
      </vt:variant>
      <vt:variant>
        <vt:i4>5</vt:i4>
      </vt:variant>
      <vt:variant>
        <vt:lpwstr>https://home-affairs.ec.europa.eu/document/download/7da505d8-bb4d-4e0e-b4ec-1c556b9d9ffe_en?filename=Revised%20Annual%20work%20programme%20for%20Union%20actions%202020.pdf</vt:lpwstr>
      </vt:variant>
      <vt:variant>
        <vt:lpwstr/>
      </vt:variant>
      <vt:variant>
        <vt:i4>4259929</vt:i4>
      </vt:variant>
      <vt:variant>
        <vt:i4>72</vt:i4>
      </vt:variant>
      <vt:variant>
        <vt:i4>0</vt:i4>
      </vt:variant>
      <vt:variant>
        <vt:i4>5</vt:i4>
      </vt:variant>
      <vt:variant>
        <vt:lpwstr>https://ec.europa.eu/info/funding-tenders/opportunities/portal/screen/opportunities/projects-details/31077833/101045891/ISFB?keywords=EURLO&amp;isExactMatch=true&amp;order=DESC&amp;pageNumber=NaN&amp;sortBy=title</vt:lpwstr>
      </vt:variant>
      <vt:variant>
        <vt:lpwstr/>
      </vt:variant>
      <vt:variant>
        <vt:i4>4784187</vt:i4>
      </vt:variant>
      <vt:variant>
        <vt:i4>69</vt:i4>
      </vt:variant>
      <vt:variant>
        <vt:i4>0</vt:i4>
      </vt:variant>
      <vt:variant>
        <vt:i4>5</vt:i4>
      </vt:variant>
      <vt:variant>
        <vt:lpwstr>https://home-affairs.ec.europa.eu/document/download/888d6446-54ef-48cd-8213-e902d40d3209_en?filename=revised-annual-work-programme-02-03-2017.pdf</vt:lpwstr>
      </vt:variant>
      <vt:variant>
        <vt:lpwstr/>
      </vt:variant>
      <vt:variant>
        <vt:i4>4521992</vt:i4>
      </vt:variant>
      <vt:variant>
        <vt:i4>66</vt:i4>
      </vt:variant>
      <vt:variant>
        <vt:i4>0</vt:i4>
      </vt:variant>
      <vt:variant>
        <vt:i4>5</vt:i4>
      </vt:variant>
      <vt:variant>
        <vt:lpwstr>https://ec.europa.eu/info/funding-tenders/opportunities/portal/screen/opportunities/projects-details/31077833/786413/ISFB?keywords=BSIEG%202&amp;isExactMatch=true&amp;order=DESC&amp;pageNumber=NaN&amp;sortBy=title</vt:lpwstr>
      </vt:variant>
      <vt:variant>
        <vt:lpwstr/>
      </vt:variant>
      <vt:variant>
        <vt:i4>3211391</vt:i4>
      </vt:variant>
      <vt:variant>
        <vt:i4>63</vt:i4>
      </vt:variant>
      <vt:variant>
        <vt:i4>0</vt:i4>
      </vt:variant>
      <vt:variant>
        <vt:i4>5</vt:i4>
      </vt:variant>
      <vt:variant>
        <vt:lpwstr>https://likumi.lv/ta/id/275751</vt:lpwstr>
      </vt:variant>
      <vt:variant>
        <vt:lpwstr/>
      </vt:variant>
      <vt:variant>
        <vt:i4>3866682</vt:i4>
      </vt:variant>
      <vt:variant>
        <vt:i4>60</vt:i4>
      </vt:variant>
      <vt:variant>
        <vt:i4>0</vt:i4>
      </vt:variant>
      <vt:variant>
        <vt:i4>5</vt:i4>
      </vt:variant>
      <vt:variant>
        <vt:lpwstr>https://eur-lex.europa.eu/legal-content/EN/TXT/HTML/?uri=CELEX:52016SC0115</vt:lpwstr>
      </vt:variant>
      <vt:variant>
        <vt:lpwstr/>
      </vt:variant>
      <vt:variant>
        <vt:i4>2097267</vt:i4>
      </vt:variant>
      <vt:variant>
        <vt:i4>57</vt:i4>
      </vt:variant>
      <vt:variant>
        <vt:i4>0</vt:i4>
      </vt:variant>
      <vt:variant>
        <vt:i4>5</vt:i4>
      </vt:variant>
      <vt:variant>
        <vt:lpwstr>https://www.frontex.europa.eu/assets/Publications/Research/Best_Practice_Operational_Guidelines_ABC.pdf</vt:lpwstr>
      </vt:variant>
      <vt:variant>
        <vt:lpwstr/>
      </vt:variant>
      <vt:variant>
        <vt:i4>2949156</vt:i4>
      </vt:variant>
      <vt:variant>
        <vt:i4>54</vt:i4>
      </vt:variant>
      <vt:variant>
        <vt:i4>0</vt:i4>
      </vt:variant>
      <vt:variant>
        <vt:i4>5</vt:i4>
      </vt:variant>
      <vt:variant>
        <vt:lpwstr>https://www.iem.gov.lv/sites/iem/files/c_2015_9377_f1_commission_implementing_decision_lv_v2_p1_83393021.pdf</vt:lpwstr>
      </vt:variant>
      <vt:variant>
        <vt:lpwstr/>
      </vt:variant>
      <vt:variant>
        <vt:i4>3997813</vt:i4>
      </vt:variant>
      <vt:variant>
        <vt:i4>51</vt:i4>
      </vt:variant>
      <vt:variant>
        <vt:i4>0</vt:i4>
      </vt:variant>
      <vt:variant>
        <vt:i4>5</vt:i4>
      </vt:variant>
      <vt:variant>
        <vt:lpwstr>https://likumi.lv/ta/id/283491</vt:lpwstr>
      </vt:variant>
      <vt:variant>
        <vt:lpwstr/>
      </vt:variant>
      <vt:variant>
        <vt:i4>3276921</vt:i4>
      </vt:variant>
      <vt:variant>
        <vt:i4>48</vt:i4>
      </vt:variant>
      <vt:variant>
        <vt:i4>0</vt:i4>
      </vt:variant>
      <vt:variant>
        <vt:i4>5</vt:i4>
      </vt:variant>
      <vt:variant>
        <vt:lpwstr>https://likumi.lv/ta/id/272247</vt:lpwstr>
      </vt:variant>
      <vt:variant>
        <vt:lpwstr/>
      </vt:variant>
      <vt:variant>
        <vt:i4>3866728</vt:i4>
      </vt:variant>
      <vt:variant>
        <vt:i4>45</vt:i4>
      </vt:variant>
      <vt:variant>
        <vt:i4>0</vt:i4>
      </vt:variant>
      <vt:variant>
        <vt:i4>5</vt:i4>
      </vt:variant>
      <vt:variant>
        <vt:lpwstr>https://www.nva.gov.lv/lv/projekts/projekts-beglu-un-alternativo-statusu-ieguvuso-personu-integracija-latvijas-darba-tirgu</vt:lpwstr>
      </vt:variant>
      <vt:variant>
        <vt:lpwstr/>
      </vt:variant>
      <vt:variant>
        <vt:i4>458752</vt:i4>
      </vt:variant>
      <vt:variant>
        <vt:i4>42</vt:i4>
      </vt:variant>
      <vt:variant>
        <vt:i4>0</vt:i4>
      </vt:variant>
      <vt:variant>
        <vt:i4>5</vt:i4>
      </vt:variant>
      <vt:variant>
        <vt:lpwstr>https://www.sif.gov.lv/lv/projekts/dazadibas-veicinasana</vt:lpwstr>
      </vt:variant>
      <vt:variant>
        <vt:lpwstr/>
      </vt:variant>
      <vt:variant>
        <vt:i4>5242946</vt:i4>
      </vt:variant>
      <vt:variant>
        <vt:i4>39</vt:i4>
      </vt:variant>
      <vt:variant>
        <vt:i4>0</vt:i4>
      </vt:variant>
      <vt:variant>
        <vt:i4>5</vt:i4>
      </vt:variant>
      <vt:variant>
        <vt:lpwstr>https://www.emn.lv/par-mums/</vt:lpwstr>
      </vt:variant>
      <vt:variant>
        <vt:lpwstr/>
      </vt:variant>
      <vt:variant>
        <vt:i4>1048619</vt:i4>
      </vt:variant>
      <vt:variant>
        <vt:i4>36</vt:i4>
      </vt:variant>
      <vt:variant>
        <vt:i4>0</vt:i4>
      </vt:variant>
      <vt:variant>
        <vt:i4>5</vt:i4>
      </vt:variant>
      <vt:variant>
        <vt:lpwstr>https://home-affairs.ec.europa.eu/funding/asylum-migration-and-integration-funds/asylum-migration-and-integration-fund-2014-2020/union-actions_en</vt:lpwstr>
      </vt:variant>
      <vt:variant>
        <vt:lpwstr/>
      </vt:variant>
      <vt:variant>
        <vt:i4>2359350</vt:i4>
      </vt:variant>
      <vt:variant>
        <vt:i4>33</vt:i4>
      </vt:variant>
      <vt:variant>
        <vt:i4>0</vt:i4>
      </vt:variant>
      <vt:variant>
        <vt:i4>5</vt:i4>
      </vt:variant>
      <vt:variant>
        <vt:lpwstr>https://www.km.gov.lv/lv/media/444/download?attachment</vt:lpwstr>
      </vt:variant>
      <vt:variant>
        <vt:lpwstr/>
      </vt:variant>
      <vt:variant>
        <vt:i4>3211391</vt:i4>
      </vt:variant>
      <vt:variant>
        <vt:i4>30</vt:i4>
      </vt:variant>
      <vt:variant>
        <vt:i4>0</vt:i4>
      </vt:variant>
      <vt:variant>
        <vt:i4>5</vt:i4>
      </vt:variant>
      <vt:variant>
        <vt:lpwstr>https://likumi.lv/ta/id/275751</vt:lpwstr>
      </vt:variant>
      <vt:variant>
        <vt:lpwstr/>
      </vt:variant>
      <vt:variant>
        <vt:i4>2359350</vt:i4>
      </vt:variant>
      <vt:variant>
        <vt:i4>27</vt:i4>
      </vt:variant>
      <vt:variant>
        <vt:i4>0</vt:i4>
      </vt:variant>
      <vt:variant>
        <vt:i4>5</vt:i4>
      </vt:variant>
      <vt:variant>
        <vt:lpwstr>https://www.km.gov.lv/lv/media/444/download?attachment</vt:lpwstr>
      </vt:variant>
      <vt:variant>
        <vt:lpwstr/>
      </vt:variant>
      <vt:variant>
        <vt:i4>2556014</vt:i4>
      </vt:variant>
      <vt:variant>
        <vt:i4>24</vt:i4>
      </vt:variant>
      <vt:variant>
        <vt:i4>0</vt:i4>
      </vt:variant>
      <vt:variant>
        <vt:i4>5</vt:i4>
      </vt:variant>
      <vt:variant>
        <vt:lpwstr>https://eur-lex.europa.eu/legal-content/EN/TXT/?uri=legissum:jl0014</vt:lpwstr>
      </vt:variant>
      <vt:variant>
        <vt:lpwstr/>
      </vt:variant>
      <vt:variant>
        <vt:i4>7209080</vt:i4>
      </vt:variant>
      <vt:variant>
        <vt:i4>21</vt:i4>
      </vt:variant>
      <vt:variant>
        <vt:i4>0</vt:i4>
      </vt:variant>
      <vt:variant>
        <vt:i4>5</vt:i4>
      </vt:variant>
      <vt:variant>
        <vt:lpwstr>https://www.mipex.eu/latvia</vt:lpwstr>
      </vt:variant>
      <vt:variant>
        <vt:lpwstr/>
      </vt:variant>
      <vt:variant>
        <vt:i4>4653061</vt:i4>
      </vt:variant>
      <vt:variant>
        <vt:i4>18</vt:i4>
      </vt:variant>
      <vt:variant>
        <vt:i4>0</vt:i4>
      </vt:variant>
      <vt:variant>
        <vt:i4>5</vt:i4>
      </vt:variant>
      <vt:variant>
        <vt:lpwstr>https://eur-lex.europa.eu/legal-content/LV/TXT/HTML/?uri=CELEX:32013R0604</vt:lpwstr>
      </vt:variant>
      <vt:variant>
        <vt:lpwstr/>
      </vt:variant>
      <vt:variant>
        <vt:i4>327755</vt:i4>
      </vt:variant>
      <vt:variant>
        <vt:i4>15</vt:i4>
      </vt:variant>
      <vt:variant>
        <vt:i4>0</vt:i4>
      </vt:variant>
      <vt:variant>
        <vt:i4>5</vt:i4>
      </vt:variant>
      <vt:variant>
        <vt:lpwstr>https://lrvk.gov.lv/lv/getrevisionfile/29703-JMLRRDM2Dc7QReGOM-RTSqbisVedQ1Wt.pdf</vt:lpwstr>
      </vt:variant>
      <vt:variant>
        <vt:lpwstr/>
      </vt:variant>
      <vt:variant>
        <vt:i4>4718604</vt:i4>
      </vt:variant>
      <vt:variant>
        <vt:i4>12</vt:i4>
      </vt:variant>
      <vt:variant>
        <vt:i4>0</vt:i4>
      </vt:variant>
      <vt:variant>
        <vt:i4>5</vt:i4>
      </vt:variant>
      <vt:variant>
        <vt:lpwstr>https://lrvk.gov.lv/lv/getrevisionfile/29703-TrunR1tvpeFUQLmyE62yFTRi0VBDd3T-.pdf</vt:lpwstr>
      </vt:variant>
      <vt:variant>
        <vt:lpwstr/>
      </vt:variant>
      <vt:variant>
        <vt:i4>262226</vt:i4>
      </vt:variant>
      <vt:variant>
        <vt:i4>9</vt:i4>
      </vt:variant>
      <vt:variant>
        <vt:i4>0</vt:i4>
      </vt:variant>
      <vt:variant>
        <vt:i4>5</vt:i4>
      </vt:variant>
      <vt:variant>
        <vt:lpwstr>https://www.emn.lv/wp-content/uploads/2025/01/EMN_labour_migration_study_template_Latvia_Final-LV.pdf</vt:lpwstr>
      </vt:variant>
      <vt:variant>
        <vt:lpwstr/>
      </vt:variant>
      <vt:variant>
        <vt:i4>7929901</vt:i4>
      </vt:variant>
      <vt:variant>
        <vt:i4>6</vt:i4>
      </vt:variant>
      <vt:variant>
        <vt:i4>0</vt:i4>
      </vt:variant>
      <vt:variant>
        <vt:i4>5</vt:i4>
      </vt:variant>
      <vt:variant>
        <vt:lpwstr>https://www.iem.gov.lv/sites/iem/files/c_2016_1820_f1_commission_implementing_decision_en_v3_p1_843684-11.pdf</vt:lpwstr>
      </vt:variant>
      <vt:variant>
        <vt:lpwstr/>
      </vt:variant>
      <vt:variant>
        <vt:i4>1048685</vt:i4>
      </vt:variant>
      <vt:variant>
        <vt:i4>3</vt:i4>
      </vt:variant>
      <vt:variant>
        <vt:i4>0</vt:i4>
      </vt:variant>
      <vt:variant>
        <vt:i4>5</vt:i4>
      </vt:variant>
      <vt:variant>
        <vt:lpwstr>https://commission.europa.eu/system/files/2018-09/soteu2018-eurosur-evaluation_en.pdf</vt:lpwstr>
      </vt:variant>
      <vt:variant>
        <vt:lpwstr/>
      </vt:variant>
      <vt:variant>
        <vt:i4>6094939</vt:i4>
      </vt:variant>
      <vt:variant>
        <vt:i4>0</vt:i4>
      </vt:variant>
      <vt:variant>
        <vt:i4>0</vt:i4>
      </vt:variant>
      <vt:variant>
        <vt:i4>5</vt:i4>
      </vt:variant>
      <vt:variant>
        <vt:lpwstr>http://eur-lex.europa.eu/legal-content/LV/TXT/HTML/?uri=CELEX:32017R0207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Longer Document title which is expanded to three lines!</dc:title>
  <dc:subject/>
  <dc:creator>Elza Marcinkeviča</dc:creator>
  <cp:keywords/>
  <dc:description/>
  <cp:lastModifiedBy>Elza Marcinkeviča</cp:lastModifiedBy>
  <cp:revision>1912</cp:revision>
  <cp:lastPrinted>2024-10-19T13:27:00Z</cp:lastPrinted>
  <dcterms:created xsi:type="dcterms:W3CDTF">2025-02-20T05:43:00Z</dcterms:created>
  <dcterms:modified xsi:type="dcterms:W3CDTF">2025-03-20T12:09:00Z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015959bb4cd8783f2f0fc09f2536390557c232686ef6c7600a558c6a57862922</vt:lpwstr>
  </property>
</Properties>
</file>